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widowControl/>
        <w:bidi w:val="0"/>
        <w:spacing w:lineRule="atLeast" w:line="142"/>
        <w:ind w:left="0" w:right="0" w:hanging="0"/>
        <w:jc w:val="left"/>
        <w:rPr>
          <w:caps w:val="false"/>
          <w:smallCaps w:val="false"/>
          <w:color w:val="000000"/>
          <w:spacing w:val="0"/>
          <w:bdr w:val="single" w:sz="24" w:space="1" w:color="000000"/>
        </w:rPr>
      </w:pPr>
      <w:bookmarkStart w:id="0" w:name="eeft-20240630.htm"/>
      <w:bookmarkStart w:id="1" w:name="kseeft20240630"/>
      <w:bookmarkEnd w:id="0"/>
      <w:bookmarkEnd w:id="1"/>
      <w:r>
        <w:rPr>
          <w:caps w:val="false"/>
          <w:smallCaps w:val="false"/>
          <w:color w:val="000000"/>
          <w:spacing w:val="0"/>
          <w:bdr w:val="single" w:sz="24" w:space="1" w:color="000000"/>
        </w:rPr>
        <w:t> </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UNITED STATES</w:t>
      </w:r>
    </w:p>
    <w:p>
      <w:pPr>
        <w:pStyle w:val="TextBody"/>
        <w:widowControl/>
        <w:bidi w:val="0"/>
        <w:spacing w:before="0" w:after="0"/>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SECURITIES AND EXCHANGE COMMISSION</w:t>
      </w:r>
    </w:p>
    <w:p>
      <w:pPr>
        <w:pStyle w:val="TextBody"/>
        <w:widowControl/>
        <w:bidi w:val="0"/>
        <w:spacing w:before="0" w:after="0"/>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WASHINGTON, D.C. 20549</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times" w:hAnsi="times new roman;times"/>
          <w:b/>
          <w:i w:val="false"/>
          <w:caps w:val="false"/>
          <w:smallCaps w:val="false"/>
          <w:color w:val="000000"/>
          <w:spacing w:val="0"/>
          <w:sz w:val="20"/>
        </w:rPr>
        <w:t>FORM 10-Q</w:t>
      </w:r>
      <w:r>
        <w:rPr>
          <w:rFonts w:ascii="Times New Roman" w:hAnsi="Times New Roman"/>
          <w:b w:val="false"/>
          <w:i w:val="false"/>
          <w:caps w:val="false"/>
          <w:smallCaps w:val="false"/>
          <w:color w:val="000000"/>
          <w:spacing w:val="0"/>
          <w:sz w:val="20"/>
        </w:rPr>
        <w:t xml:space="preserve"> </w:t>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10203" w:type="dxa"/>
        <w:jc w:val="left"/>
        <w:tblInd w:w="0" w:type="dxa"/>
        <w:tblLayout w:type="fixed"/>
        <w:tblCellMar>
          <w:top w:w="0" w:type="dxa"/>
          <w:left w:w="0" w:type="dxa"/>
          <w:bottom w:w="0" w:type="dxa"/>
          <w:right w:w="0" w:type="dxa"/>
        </w:tblCellMar>
      </w:tblPr>
      <w:tblGrid>
        <w:gridCol w:w="245"/>
        <w:gridCol w:w="9920"/>
        <w:gridCol w:w="38"/>
      </w:tblGrid>
      <w:tr>
        <w:trPr/>
        <w:tc>
          <w:tcPr>
            <w:tcW w:w="245" w:type="dxa"/>
            <w:tcBorders/>
            <w:vAlign w:val="center"/>
          </w:tcPr>
          <w:p>
            <w:pPr>
              <w:pStyle w:val="TableContents"/>
              <w:bidi w:val="0"/>
              <w:spacing w:before="0" w:after="0"/>
              <w:ind w:left="0" w:right="0" w:hanging="0"/>
              <w:jc w:val="left"/>
              <w:rPr/>
            </w:pPr>
            <w:r>
              <w:rPr/>
              <w:t> </w:t>
            </w:r>
          </w:p>
        </w:tc>
        <w:tc>
          <w:tcPr>
            <w:tcW w:w="9920" w:type="dxa"/>
            <w:tcBorders/>
            <w:vAlign w:val="center"/>
          </w:tcPr>
          <w:p>
            <w:pPr>
              <w:pStyle w:val="TableContents"/>
              <w:bidi w:val="0"/>
              <w:spacing w:before="0" w:after="0"/>
              <w:jc w:val="left"/>
              <w:rPr/>
            </w:pPr>
            <w:r>
              <w:rPr/>
              <w:t> </w:t>
            </w:r>
          </w:p>
        </w:tc>
        <w:tc>
          <w:tcPr>
            <w:tcW w:w="38" w:type="dxa"/>
            <w:tcBorders/>
            <w:vAlign w:val="center"/>
          </w:tcPr>
          <w:p>
            <w:pPr>
              <w:pStyle w:val="TableContents"/>
              <w:bidi w:val="0"/>
              <w:spacing w:before="0" w:after="283"/>
              <w:jc w:val="left"/>
              <w:rPr/>
            </w:pPr>
            <w:r>
              <w:rPr/>
            </w:r>
          </w:p>
        </w:tc>
      </w:tr>
      <w:tr>
        <w:trPr/>
        <w:tc>
          <w:tcPr>
            <w:tcW w:w="245" w:type="dxa"/>
            <w:tcBorders/>
          </w:tcPr>
          <w:p>
            <w:pPr>
              <w:pStyle w:val="TableContents"/>
              <w:bidi w:val="0"/>
              <w:spacing w:before="0" w:after="0"/>
              <w:jc w:val="right"/>
              <w:rPr/>
            </w:pPr>
            <w:r>
              <w:rPr/>
              <w:t>☑</w:t>
            </w:r>
          </w:p>
        </w:tc>
        <w:tc>
          <w:tcPr>
            <w:tcW w:w="9920" w:type="dxa"/>
            <w:tcBorders/>
          </w:tcPr>
          <w:p>
            <w:pPr>
              <w:pStyle w:val="TableContents"/>
              <w:bidi w:val="0"/>
              <w:spacing w:before="0" w:after="0"/>
              <w:jc w:val="left"/>
              <w:rPr>
                <w:rFonts w:ascii="inherit" w:hAnsi="inherit"/>
                <w:b/>
                <w:sz w:val="18"/>
              </w:rPr>
            </w:pPr>
            <w:r>
              <w:rPr>
                <w:rFonts w:ascii="times new roman;times" w:hAnsi="times new roman;times"/>
                <w:b/>
                <w:sz w:val="18"/>
              </w:rPr>
              <w:t>QUARTERLY REPORT PURSUANT TO SECTION</w:t>
            </w:r>
            <w:r>
              <w:rPr>
                <w:rFonts w:ascii="inherit" w:hAnsi="inherit"/>
                <w:b/>
                <w:sz w:val="18"/>
              </w:rPr>
              <w:t xml:space="preserve"> 13 OR 15(d) OF THE SECURITIES EXCHANGE ACT OF 1934</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widowControl/>
        <w:bidi w:val="0"/>
        <w:jc w:val="left"/>
        <w:rPr>
          <w:rFonts w:ascii="Times New Roman" w:hAnsi="Times New Roman" w:eastAsia="Times New Roman" w:cs="Times New Roman"/>
          <w:b w:val="false"/>
          <w:b w:val="false"/>
          <w:bCs w:val="false"/>
          <w:i w:val="false"/>
          <w:i w:val="false"/>
          <w:iCs w:val="false"/>
          <w:caps w:val="false"/>
          <w:smallCaps w:val="false"/>
          <w:color w:val="000000"/>
          <w:spacing w:val="0"/>
        </w:rPr>
      </w:pPr>
      <w:r>
        <w:rPr>
          <w:rFonts w:eastAsia="Times New Roman" w:cs="Times New Roman" w:ascii="Times New Roman" w:hAnsi="Times New Roman"/>
          <w:b w:val="false"/>
          <w:bCs w:val="false"/>
          <w:i w:val="false"/>
          <w:iCs w:val="false"/>
          <w:caps w:val="false"/>
          <w:smallCaps w:val="false"/>
          <w:color w:val="000000"/>
          <w:spacing w:val="0"/>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widowControl/>
        <w:bidi w:val="0"/>
        <w:spacing w:before="0" w:after="0"/>
        <w:jc w:val="left"/>
        <w:rPr>
          <w:rFonts w:ascii="times new roman;times" w:hAnsi="times new roman;times" w:eastAsia="Times New Roman" w:cs="Times New Roman"/>
          <w:b/>
          <w:b w:val="false"/>
          <w:bCs w:val="false"/>
          <w:i w:val="false"/>
          <w:i w:val="false"/>
          <w:iCs w:val="false"/>
          <w:caps w:val="false"/>
          <w:smallCaps w:val="false"/>
          <w:color w:val="000000"/>
          <w:spacing w:val="0"/>
          <w:sz w:val="18"/>
        </w:rPr>
      </w:pPr>
      <w:r>
        <w:rPr>
          <w:rFonts w:eastAsia="Times New Roman" w:cs="Times New Roman" w:ascii="times new roman;times" w:hAnsi="times new roman;times"/>
          <w:b/>
          <w:bCs w:val="false"/>
          <w:i w:val="false"/>
          <w:iCs w:val="false"/>
          <w:caps w:val="false"/>
          <w:smallCaps w:val="false"/>
          <w:color w:val="000000"/>
          <w:spacing w:val="0"/>
          <w:sz w:val="18"/>
        </w:rPr>
        <w:t>For the quarterly period ended June 30, 2024</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times" w:hAnsi="times new roman;times"/>
          <w:b/>
          <w:i w:val="false"/>
          <w:caps w:val="false"/>
          <w:smallCaps w:val="false"/>
          <w:color w:val="000000"/>
          <w:spacing w:val="0"/>
          <w:sz w:val="18"/>
        </w:rPr>
        <w:t>OR</w:t>
      </w:r>
      <w:r>
        <w:rPr>
          <w:rFonts w:ascii="Times New Roman" w:hAnsi="Times New Roman"/>
          <w:b w:val="false"/>
          <w:i w:val="false"/>
          <w:caps w:val="false"/>
          <w:smallCaps w:val="false"/>
          <w:color w:val="000000"/>
          <w:spacing w:val="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9933" w:type="dxa"/>
        <w:jc w:val="left"/>
        <w:tblInd w:w="0" w:type="dxa"/>
        <w:tblLayout w:type="fixed"/>
        <w:tblCellMar>
          <w:top w:w="0" w:type="dxa"/>
          <w:left w:w="0" w:type="dxa"/>
          <w:bottom w:w="0" w:type="dxa"/>
          <w:right w:w="0" w:type="dxa"/>
        </w:tblCellMar>
      </w:tblPr>
      <w:tblGrid>
        <w:gridCol w:w="245"/>
        <w:gridCol w:w="9650"/>
        <w:gridCol w:w="38"/>
      </w:tblGrid>
      <w:tr>
        <w:trPr/>
        <w:tc>
          <w:tcPr>
            <w:tcW w:w="245" w:type="dxa"/>
            <w:tcBorders/>
          </w:tcPr>
          <w:p>
            <w:pPr>
              <w:pStyle w:val="TableContents"/>
              <w:bidi w:val="0"/>
              <w:spacing w:before="0" w:after="0"/>
              <w:jc w:val="right"/>
              <w:rPr/>
            </w:pPr>
            <w:r>
              <w:rPr/>
              <w:t>☐</w:t>
            </w:r>
          </w:p>
        </w:tc>
        <w:tc>
          <w:tcPr>
            <w:tcW w:w="9650" w:type="dxa"/>
            <w:tcBorders/>
          </w:tcPr>
          <w:p>
            <w:pPr>
              <w:pStyle w:val="TableContents"/>
              <w:bidi w:val="0"/>
              <w:spacing w:before="0" w:after="0"/>
              <w:jc w:val="left"/>
              <w:rPr>
                <w:rFonts w:ascii="times new roman;times" w:hAnsi="times new roman;times"/>
                <w:b/>
                <w:sz w:val="20"/>
              </w:rPr>
            </w:pPr>
            <w:r>
              <w:rPr>
                <w:rFonts w:ascii="times new roman;times" w:hAnsi="times new roman;times"/>
                <w:b/>
                <w:sz w:val="18"/>
              </w:rPr>
              <w:t>TRANSITION REPORT PURSUANT TO SECTION</w:t>
            </w:r>
            <w:r>
              <w:rPr>
                <w:rFonts w:ascii="times new roman;times" w:hAnsi="times new roman;times"/>
                <w:b/>
                <w:sz w:val="20"/>
              </w:rPr>
              <w:t xml:space="preserve"> 13 OR 15(d) OF THE SECURITIES EXCHANGE ACT OF 1934</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553" w:type="dxa"/>
        <w:jc w:val="left"/>
        <w:tblInd w:w="150" w:type="dxa"/>
        <w:tblLayout w:type="fixed"/>
        <w:tblCellMar>
          <w:top w:w="0" w:type="dxa"/>
          <w:left w:w="0" w:type="dxa"/>
          <w:bottom w:w="0" w:type="dxa"/>
          <w:right w:w="0" w:type="dxa"/>
        </w:tblCellMar>
      </w:tblPr>
      <w:tblGrid>
        <w:gridCol w:w="2345"/>
        <w:gridCol w:w="23"/>
        <w:gridCol w:w="185"/>
      </w:tblGrid>
      <w:tr>
        <w:trPr/>
        <w:tc>
          <w:tcPr>
            <w:tcW w:w="2345" w:type="dxa"/>
            <w:tcBorders/>
            <w:vAlign w:val="center"/>
          </w:tcPr>
          <w:p>
            <w:pPr>
              <w:pStyle w:val="TableContents"/>
              <w:bidi w:val="0"/>
              <w:spacing w:before="0" w:after="0"/>
              <w:jc w:val="right"/>
              <w:rPr>
                <w:rFonts w:ascii="times new roman;times" w:hAnsi="times new roman;times"/>
                <w:b/>
                <w:sz w:val="18"/>
              </w:rPr>
            </w:pPr>
            <w:r>
              <w:rPr>
                <w:rFonts w:ascii="times new roman;times" w:hAnsi="times new roman;times"/>
                <w:b/>
                <w:sz w:val="18"/>
              </w:rPr>
              <w:t>For the transition period from</w:t>
            </w:r>
          </w:p>
        </w:tc>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0"/>
              <w:jc w:val="left"/>
              <w:rPr>
                <w:rFonts w:ascii="times new roman;times" w:hAnsi="times new roman;times"/>
                <w:b/>
                <w:sz w:val="18"/>
              </w:rPr>
            </w:pPr>
            <w:r>
              <w:rPr>
                <w:rFonts w:ascii="times new roman;times" w:hAnsi="times new roman;times"/>
                <w:b/>
                <w:sz w:val="18"/>
              </w:rPr>
              <w:t>to</w:t>
            </w:r>
          </w:p>
        </w:tc>
      </w:tr>
    </w:tbl>
    <w:p>
      <w:pPr>
        <w:pStyle w:val="TextBody"/>
        <w:widowControl/>
        <w:bidi w:val="0"/>
        <w:spacing w:before="150" w:after="150"/>
        <w:ind w:left="150" w:right="150" w:hanging="0"/>
        <w:jc w:val="left"/>
        <w:rPr>
          <w:rFonts w:ascii="Times New Roman" w:hAnsi="Times New Roman" w:eastAsia="Times New Roman" w:cs="Times New Roman"/>
          <w:b w:val="false"/>
          <w:b w:val="false"/>
          <w:bCs w:val="false"/>
          <w:i w:val="false"/>
          <w:i w:val="false"/>
          <w:iCs w:val="false"/>
          <w:caps w:val="false"/>
          <w:smallCaps w:val="false"/>
          <w:color w:val="000000"/>
          <w:spacing w:val="0"/>
          <w:sz w:val="20"/>
          <w:szCs w:val="20"/>
        </w:rPr>
      </w:pPr>
      <w:r>
        <w:rPr>
          <w:rFonts w:eastAsia="Times New Roman" w:cs="Times New Roman" w:ascii="Times New Roman" w:hAnsi="Times New Roman"/>
          <w:b w:val="false"/>
          <w:bCs w:val="false"/>
          <w:i w:val="false"/>
          <w:iCs w:val="false"/>
          <w:caps w:val="false"/>
          <w:smallCaps w:val="false"/>
          <w:color w:val="000000"/>
          <w:spacing w:val="0"/>
          <w:sz w:val="20"/>
          <w:szCs w:val="20"/>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18"/>
        </w:rPr>
      </w:pPr>
      <w:r>
        <w:rPr>
          <w:rFonts w:ascii="times new roman;times" w:hAnsi="times new roman;times"/>
          <w:b/>
          <w:i w:val="false"/>
          <w:caps w:val="false"/>
          <w:smallCaps w:val="false"/>
          <w:color w:val="000000"/>
          <w:spacing w:val="0"/>
          <w:sz w:val="18"/>
        </w:rPr>
        <w:t>Commission File Number: </w:t>
      </w:r>
      <w:r>
        <w:rPr>
          <w:rFonts w:ascii="times new roman;times" w:hAnsi="times new roman;times"/>
          <w:b/>
          <w:i w:val="false"/>
          <w:caps w:val="false"/>
          <w:smallCaps w:val="false"/>
          <w:color w:val="000000"/>
          <w:spacing w:val="0"/>
          <w:sz w:val="18"/>
        </w:rPr>
        <w:t>001-31648</w:t>
      </w:r>
    </w:p>
    <w:p>
      <w:pPr>
        <w:pStyle w:val="TextBody"/>
        <w:widowControl/>
        <w:bidi w:val="0"/>
        <w:spacing w:before="0" w:after="0"/>
        <w:ind w:left="0" w:right="0" w:hanging="0"/>
        <w:jc w:val="left"/>
        <w:rPr>
          <w:rFonts w:ascii="times new roman;times" w:hAnsi="times new roman;times"/>
          <w:b/>
          <w:i w:val="false"/>
          <w:caps w:val="false"/>
          <w:smallCaps w:val="false"/>
          <w:color w:val="000000"/>
          <w:spacing w:val="0"/>
          <w:sz w:val="32"/>
        </w:rPr>
      </w:pPr>
      <w:r>
        <w:rPr>
          <w:rFonts w:ascii="times new roman;times" w:hAnsi="times new roman;times"/>
          <w:b/>
          <w:i w:val="false"/>
          <w:caps w:val="false"/>
          <w:smallCaps w:val="false"/>
          <w:color w:val="000000"/>
          <w:spacing w:val="0"/>
          <w:sz w:val="32"/>
        </w:rPr>
        <w:t>EURONET WORLDWIDE, INC.</w:t>
      </w:r>
    </w:p>
    <w:p>
      <w:pPr>
        <w:pStyle w:val="TextBody"/>
        <w:widowControl/>
        <w:bidi w:val="0"/>
        <w:spacing w:before="0" w:after="0"/>
        <w:ind w:left="0" w:right="0" w:hanging="0"/>
        <w:jc w:val="left"/>
        <w:rPr>
          <w:rFonts w:ascii="times new roman;times" w:hAnsi="times new roman;times"/>
          <w:b/>
          <w:i w:val="false"/>
          <w:caps w:val="false"/>
          <w:smallCaps w:val="false"/>
          <w:color w:val="000000"/>
          <w:spacing w:val="0"/>
          <w:sz w:val="18"/>
        </w:rPr>
      </w:pPr>
      <w:r>
        <w:rPr>
          <w:rFonts w:ascii="times new roman;times" w:hAnsi="times new roman;times"/>
          <w:b/>
          <w:i w:val="false"/>
          <w:caps w:val="false"/>
          <w:smallCaps w:val="false"/>
          <w:color w:val="000000"/>
          <w:spacing w:val="0"/>
          <w:sz w:val="18"/>
        </w:rPr>
        <w:t>(Exact name of registrant as specified in its charter)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7434" w:type="dxa"/>
        <w:jc w:val="left"/>
        <w:tblInd w:w="0" w:type="dxa"/>
        <w:tblLayout w:type="fixed"/>
        <w:tblCellMar>
          <w:top w:w="0" w:type="dxa"/>
          <w:left w:w="0" w:type="dxa"/>
          <w:bottom w:w="0" w:type="dxa"/>
          <w:right w:w="0" w:type="dxa"/>
        </w:tblCellMar>
      </w:tblPr>
      <w:tblGrid>
        <w:gridCol w:w="2649"/>
        <w:gridCol w:w="1990"/>
        <w:gridCol w:w="2795"/>
      </w:tblGrid>
      <w:tr>
        <w:trPr/>
        <w:tc>
          <w:tcPr>
            <w:tcW w:w="4639" w:type="dxa"/>
            <w:gridSpan w:val="2"/>
            <w:tcBorders/>
            <w:vAlign w:val="center"/>
          </w:tcPr>
          <w:p>
            <w:pPr>
              <w:pStyle w:val="TableContents"/>
              <w:bidi w:val="0"/>
              <w:spacing w:before="0" w:after="0"/>
              <w:jc w:val="center"/>
              <w:rPr>
                <w:rFonts w:ascii="times new roman;times" w:hAnsi="times new roman;times"/>
                <w:b/>
                <w:sz w:val="18"/>
              </w:rPr>
            </w:pPr>
            <w:r>
              <w:rPr>
                <w:rFonts w:ascii="times new roman;times" w:hAnsi="times new roman;times"/>
                <w:b/>
                <w:sz w:val="18"/>
              </w:rPr>
              <w:t>Delaware</w:t>
            </w:r>
          </w:p>
        </w:tc>
        <w:tc>
          <w:tcPr>
            <w:tcW w:w="2795" w:type="dxa"/>
            <w:tcBorders/>
            <w:vAlign w:val="center"/>
          </w:tcPr>
          <w:p>
            <w:pPr>
              <w:pStyle w:val="TableContents"/>
              <w:bidi w:val="0"/>
              <w:spacing w:before="0" w:after="0"/>
              <w:jc w:val="center"/>
              <w:rPr>
                <w:rFonts w:ascii="times new roman;times" w:hAnsi="times new roman;times"/>
                <w:b/>
                <w:sz w:val="18"/>
              </w:rPr>
            </w:pPr>
            <w:r>
              <w:rPr>
                <w:rFonts w:ascii="times new roman;times" w:hAnsi="times new roman;times"/>
                <w:b/>
                <w:sz w:val="18"/>
              </w:rPr>
              <w:t>74-2806888</w:t>
            </w:r>
          </w:p>
        </w:tc>
      </w:tr>
      <w:tr>
        <w:trPr/>
        <w:tc>
          <w:tcPr>
            <w:tcW w:w="4639" w:type="dxa"/>
            <w:gridSpan w:val="2"/>
            <w:tcBorders/>
            <w:vAlign w:val="center"/>
          </w:tcPr>
          <w:p>
            <w:pPr>
              <w:pStyle w:val="TableContents"/>
              <w:widowControl/>
              <w:bidi w:val="0"/>
              <w:spacing w:before="0" w:after="0"/>
              <w:ind w:left="0" w:right="0" w:hanging="0"/>
              <w:jc w:val="center"/>
              <w:rPr>
                <w:rFonts w:ascii="times new roman;times" w:hAnsi="times new roman;times"/>
                <w:b/>
                <w:sz w:val="18"/>
              </w:rPr>
            </w:pPr>
            <w:r>
              <w:rPr>
                <w:rFonts w:ascii="times new roman;times" w:hAnsi="times new roman;times"/>
                <w:b/>
                <w:sz w:val="18"/>
              </w:rPr>
              <w:t xml:space="preserve">(State or other jurisdiction </w:t>
            </w:r>
            <w:r>
              <w:rPr>
                <w:rFonts w:ascii="times new roman;times" w:hAnsi="times new roman;times"/>
                <w:b/>
                <w:color w:val="000000"/>
                <w:spacing w:val="0"/>
                <w:sz w:val="18"/>
              </w:rPr>
              <w:t>of incorporation or organization)</w:t>
            </w:r>
          </w:p>
        </w:tc>
        <w:tc>
          <w:tcPr>
            <w:tcW w:w="2795" w:type="dxa"/>
            <w:tcBorders/>
            <w:vAlign w:val="center"/>
          </w:tcPr>
          <w:p>
            <w:pPr>
              <w:pStyle w:val="TableContents"/>
              <w:widowControl/>
              <w:bidi w:val="0"/>
              <w:spacing w:before="0" w:after="0"/>
              <w:ind w:left="0" w:right="0" w:hanging="0"/>
              <w:jc w:val="center"/>
              <w:rPr>
                <w:rFonts w:ascii="times new roman;times" w:hAnsi="times new roman;times"/>
                <w:b/>
                <w:sz w:val="18"/>
              </w:rPr>
            </w:pPr>
            <w:r>
              <w:rPr>
                <w:rFonts w:ascii="times new roman;times" w:hAnsi="times new roman;times"/>
                <w:b/>
                <w:sz w:val="18"/>
              </w:rPr>
              <w:t xml:space="preserve">(I.R.S. Employer </w:t>
            </w:r>
            <w:r>
              <w:rPr>
                <w:rFonts w:ascii="times new roman;times" w:hAnsi="times new roman;times"/>
                <w:b/>
                <w:color w:val="000000"/>
                <w:spacing w:val="0"/>
                <w:sz w:val="18"/>
              </w:rPr>
              <w:t>Identification No.)</w:t>
            </w:r>
          </w:p>
        </w:tc>
      </w:tr>
      <w:tr>
        <w:trPr/>
        <w:tc>
          <w:tcPr>
            <w:tcW w:w="4639" w:type="dxa"/>
            <w:gridSpan w:val="2"/>
            <w:tcBorders/>
            <w:vAlign w:val="center"/>
          </w:tcPr>
          <w:p>
            <w:pPr>
              <w:pStyle w:val="TableContents"/>
              <w:bidi w:val="0"/>
              <w:spacing w:before="0" w:after="0"/>
              <w:jc w:val="center"/>
              <w:rPr>
                <w:rFonts w:ascii="times new roman;times" w:hAnsi="times new roman;times"/>
                <w:b/>
                <w:sz w:val="18"/>
              </w:rPr>
            </w:pPr>
            <w:r>
              <w:rPr>
                <w:rFonts w:ascii="times new roman;times" w:hAnsi="times new roman;times"/>
                <w:b/>
                <w:sz w:val="18"/>
              </w:rPr>
              <w:t xml:space="preserve">11400 Tomahawk Creek Parkway, Suite 300 </w:t>
            </w:r>
          </w:p>
        </w:tc>
        <w:tc>
          <w:tcPr>
            <w:tcW w:w="2795" w:type="dxa"/>
            <w:tcBorders/>
            <w:vAlign w:val="center"/>
          </w:tcPr>
          <w:p>
            <w:pPr>
              <w:pStyle w:val="TableContents"/>
              <w:bidi w:val="0"/>
              <w:spacing w:before="0" w:after="0"/>
              <w:jc w:val="center"/>
              <w:rPr/>
            </w:pPr>
            <w:r>
              <w:rPr/>
              <w:t> </w:t>
            </w:r>
          </w:p>
        </w:tc>
      </w:tr>
      <w:tr>
        <w:trPr/>
        <w:tc>
          <w:tcPr>
            <w:tcW w:w="2649" w:type="dxa"/>
            <w:tcBorders/>
            <w:vAlign w:val="center"/>
          </w:tcPr>
          <w:p>
            <w:pPr>
              <w:pStyle w:val="TableContents"/>
              <w:bidi w:val="0"/>
              <w:spacing w:before="0" w:after="0"/>
              <w:jc w:val="right"/>
              <w:rPr>
                <w:rFonts w:ascii="times new roman;times" w:hAnsi="times new roman;times"/>
                <w:b/>
                <w:sz w:val="18"/>
              </w:rPr>
            </w:pPr>
            <w:r>
              <w:rPr>
                <w:rFonts w:ascii="times new roman;times" w:hAnsi="times new roman;times"/>
                <w:b/>
                <w:sz w:val="18"/>
              </w:rPr>
              <w:t>Leawood,</w:t>
            </w:r>
          </w:p>
        </w:tc>
        <w:tc>
          <w:tcPr>
            <w:tcW w:w="1990" w:type="dxa"/>
            <w:tcBorders/>
            <w:vAlign w:val="center"/>
          </w:tcPr>
          <w:p>
            <w:pPr>
              <w:pStyle w:val="TableContents"/>
              <w:bidi w:val="0"/>
              <w:spacing w:before="0" w:after="0"/>
              <w:jc w:val="left"/>
              <w:rPr>
                <w:rFonts w:ascii="times new roman;times" w:hAnsi="times new roman;times"/>
                <w:b/>
                <w:sz w:val="18"/>
              </w:rPr>
            </w:pPr>
            <w:r>
              <w:rPr>
                <w:rFonts w:ascii="times new roman;times" w:hAnsi="times new roman;times"/>
                <w:b/>
                <w:sz w:val="18"/>
              </w:rPr>
              <w:t>Kansas</w:t>
            </w:r>
          </w:p>
        </w:tc>
        <w:tc>
          <w:tcPr>
            <w:tcW w:w="2795" w:type="dxa"/>
            <w:tcBorders/>
            <w:vAlign w:val="center"/>
          </w:tcPr>
          <w:p>
            <w:pPr>
              <w:pStyle w:val="TableContents"/>
              <w:bidi w:val="0"/>
              <w:spacing w:before="0" w:after="0"/>
              <w:jc w:val="center"/>
              <w:rPr>
                <w:rFonts w:ascii="times new roman;times" w:hAnsi="times new roman;times"/>
                <w:b/>
                <w:sz w:val="18"/>
              </w:rPr>
            </w:pPr>
            <w:r>
              <w:rPr>
                <w:rFonts w:ascii="times new roman;times" w:hAnsi="times new roman;times"/>
                <w:b/>
                <w:sz w:val="18"/>
              </w:rPr>
              <w:t>66211</w:t>
            </w:r>
          </w:p>
        </w:tc>
      </w:tr>
      <w:tr>
        <w:trPr/>
        <w:tc>
          <w:tcPr>
            <w:tcW w:w="4639" w:type="dxa"/>
            <w:gridSpan w:val="2"/>
            <w:tcBorders/>
            <w:vAlign w:val="center"/>
          </w:tcPr>
          <w:p>
            <w:pPr>
              <w:pStyle w:val="TableContents"/>
              <w:bidi w:val="0"/>
              <w:spacing w:before="0" w:after="0"/>
              <w:jc w:val="center"/>
              <w:rPr>
                <w:rFonts w:ascii="times new roman;times" w:hAnsi="times new roman;times"/>
                <w:b/>
                <w:sz w:val="18"/>
              </w:rPr>
            </w:pPr>
            <w:r>
              <w:rPr>
                <w:rFonts w:ascii="times new roman;times" w:hAnsi="times new roman;times"/>
                <w:b/>
                <w:sz w:val="18"/>
              </w:rPr>
              <w:t>(Address of principal executive offices)</w:t>
            </w:r>
          </w:p>
        </w:tc>
        <w:tc>
          <w:tcPr>
            <w:tcW w:w="2795" w:type="dxa"/>
            <w:tcBorders/>
            <w:vAlign w:val="center"/>
          </w:tcPr>
          <w:p>
            <w:pPr>
              <w:pStyle w:val="TableContents"/>
              <w:bidi w:val="0"/>
              <w:spacing w:before="0" w:after="0"/>
              <w:jc w:val="center"/>
              <w:rPr>
                <w:rFonts w:ascii="times new roman;times" w:hAnsi="times new roman;times"/>
                <w:b/>
                <w:sz w:val="18"/>
              </w:rPr>
            </w:pPr>
            <w:r>
              <w:rPr>
                <w:rFonts w:ascii="times new roman;times" w:hAnsi="times new roman;times"/>
                <w:b/>
                <w:sz w:val="18"/>
              </w:rPr>
              <w:t>(Zip Code)</w:t>
            </w:r>
          </w:p>
        </w:tc>
      </w:tr>
    </w:tbl>
    <w:p>
      <w:pPr>
        <w:pStyle w:val="TextBody"/>
        <w:widowControl/>
        <w:bidi w:val="0"/>
        <w:jc w:val="left"/>
        <w:rPr>
          <w:rFonts w:ascii="Times New Roman" w:hAnsi="Times New Roman" w:eastAsia="Times New Roman" w:cs="Times New Roman"/>
          <w:b w:val="false"/>
          <w:b w:val="false"/>
          <w:bCs w:val="false"/>
          <w:i w:val="false"/>
          <w:i w:val="false"/>
          <w:iCs w:val="false"/>
          <w:caps w:val="false"/>
          <w:smallCaps w:val="false"/>
          <w:color w:val="000000"/>
          <w:spacing w:val="0"/>
          <w:sz w:val="20"/>
          <w:szCs w:val="20"/>
        </w:rPr>
      </w:pPr>
      <w:r>
        <w:rPr>
          <w:rFonts w:eastAsia="Times New Roman" w:cs="Times New Roman" w:ascii="Times New Roman" w:hAnsi="Times New Roman"/>
          <w:b w:val="false"/>
          <w:bCs w:val="false"/>
          <w:i w:val="false"/>
          <w:iCs w:val="false"/>
          <w:caps w:val="false"/>
          <w:smallCaps w:val="false"/>
          <w:color w:val="000000"/>
          <w:spacing w:val="0"/>
          <w:sz w:val="20"/>
          <w:szCs w:val="20"/>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18"/>
        </w:rPr>
      </w:pPr>
      <w:r>
        <w:rPr>
          <w:rFonts w:ascii="inherit" w:hAnsi="inherit"/>
          <w:b/>
          <w:i w:val="false"/>
          <w:caps w:val="false"/>
          <w:smallCaps w:val="false"/>
          <w:color w:val="000000"/>
          <w:spacing w:val="0"/>
          <w:sz w:val="18"/>
        </w:rPr>
        <w:t>(913)</w:t>
      </w:r>
      <w:r>
        <w:rPr>
          <w:rFonts w:ascii="Times New Roman" w:hAnsi="Times New Roman"/>
          <w:b w:val="false"/>
          <w:i w:val="false"/>
          <w:caps w:val="false"/>
          <w:smallCaps w:val="false"/>
          <w:color w:val="000000"/>
          <w:spacing w:val="0"/>
          <w:sz w:val="18"/>
        </w:rPr>
        <w:t> </w:t>
      </w:r>
      <w:r>
        <w:rPr>
          <w:rFonts w:ascii="Times New Roman" w:hAnsi="Times New Roman"/>
          <w:b/>
          <w:i w:val="false"/>
          <w:caps w:val="false"/>
          <w:smallCaps w:val="false"/>
          <w:color w:val="000000"/>
          <w:spacing w:val="0"/>
          <w:sz w:val="18"/>
        </w:rPr>
        <w:t>327-4200</w:t>
      </w:r>
    </w:p>
    <w:p>
      <w:pPr>
        <w:pStyle w:val="TextBody"/>
        <w:widowControl/>
        <w:bidi w:val="0"/>
        <w:spacing w:before="0" w:after="0"/>
        <w:ind w:left="0" w:right="0" w:hanging="0"/>
        <w:jc w:val="left"/>
        <w:rPr>
          <w:rFonts w:ascii="times new roman;times" w:hAnsi="times new roman;times"/>
          <w:b/>
          <w:i w:val="false"/>
          <w:caps w:val="false"/>
          <w:smallCaps w:val="false"/>
          <w:color w:val="000000"/>
          <w:spacing w:val="0"/>
          <w:sz w:val="18"/>
        </w:rPr>
      </w:pPr>
      <w:r>
        <w:rPr>
          <w:rFonts w:ascii="times new roman;times" w:hAnsi="times new roman;times"/>
          <w:b/>
          <w:i w:val="false"/>
          <w:caps w:val="false"/>
          <w:smallCaps w:val="false"/>
          <w:color w:val="000000"/>
          <w:spacing w:val="0"/>
          <w:sz w:val="18"/>
        </w:rPr>
        <w:t>(Registrant’s telephone number, including area code)</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bidi w:val="0"/>
        <w:spacing w:before="0" w:after="0"/>
        <w:ind w:left="0" w:right="0" w:hanging="0"/>
        <w:jc w:val="left"/>
        <w:rPr>
          <w:rFonts w:ascii="times new roman;times" w:hAnsi="times new roman;times"/>
          <w:b/>
          <w:i w:val="false"/>
          <w:caps w:val="false"/>
          <w:smallCaps w:val="false"/>
          <w:color w:val="000000"/>
          <w:spacing w:val="0"/>
          <w:sz w:val="18"/>
        </w:rPr>
      </w:pPr>
      <w:r>
        <w:rPr>
          <w:rFonts w:ascii="times new roman;times" w:hAnsi="times new roman;times"/>
          <w:b/>
          <w:i w:val="false"/>
          <w:caps w:val="false"/>
          <w:smallCaps w:val="false"/>
          <w:color w:val="000000"/>
          <w:spacing w:val="0"/>
          <w:sz w:val="18"/>
        </w:rPr>
        <w:t>(Former name, former address and former fiscal year, if changed since last report)</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18"/>
        </w:rPr>
        <w:t>Securities registered pursuant to Section 12(b) of the Act:</w:t>
      </w:r>
      <w:r>
        <w:rPr>
          <w:rFonts w:ascii="Times New Roman" w:hAnsi="Times New Roman"/>
          <w:b w:val="false"/>
          <w:i w:val="false"/>
          <w:caps w:val="false"/>
          <w:smallCaps w:val="false"/>
          <w:color w:val="000000"/>
          <w:spacing w:val="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7110" w:type="dxa"/>
        <w:jc w:val="left"/>
        <w:tblInd w:w="150" w:type="dxa"/>
        <w:tblLayout w:type="fixed"/>
        <w:tblCellMar>
          <w:top w:w="0" w:type="dxa"/>
          <w:left w:w="0" w:type="dxa"/>
          <w:bottom w:w="0" w:type="dxa"/>
          <w:right w:w="0" w:type="dxa"/>
        </w:tblCellMar>
      </w:tblPr>
      <w:tblGrid>
        <w:gridCol w:w="2270"/>
        <w:gridCol w:w="1475"/>
        <w:gridCol w:w="3365"/>
      </w:tblGrid>
      <w:tr>
        <w:trPr/>
        <w:tc>
          <w:tcPr>
            <w:tcW w:w="2270" w:type="dxa"/>
            <w:tcBorders/>
            <w:vAlign w:val="center"/>
          </w:tcPr>
          <w:p>
            <w:pPr>
              <w:pStyle w:val="TableContents"/>
              <w:bidi w:val="0"/>
              <w:spacing w:before="0" w:after="0"/>
              <w:jc w:val="center"/>
              <w:rPr>
                <w:rFonts w:ascii="times new roman;times" w:hAnsi="times new roman;times"/>
                <w:b/>
                <w:sz w:val="18"/>
                <w:u w:val="single"/>
              </w:rPr>
            </w:pPr>
            <w:r>
              <w:rPr>
                <w:rFonts w:ascii="times new roman;times" w:hAnsi="times new roman;times"/>
                <w:b/>
                <w:sz w:val="18"/>
                <w:u w:val="single"/>
              </w:rPr>
              <w:t>Title of each class</w:t>
            </w:r>
          </w:p>
        </w:tc>
        <w:tc>
          <w:tcPr>
            <w:tcW w:w="1475" w:type="dxa"/>
            <w:tcBorders/>
            <w:vAlign w:val="center"/>
          </w:tcPr>
          <w:p>
            <w:pPr>
              <w:pStyle w:val="TableContents"/>
              <w:bidi w:val="0"/>
              <w:spacing w:before="0" w:after="0"/>
              <w:jc w:val="center"/>
              <w:rPr>
                <w:rFonts w:ascii="times new roman;times" w:hAnsi="times new roman;times"/>
                <w:b/>
                <w:sz w:val="18"/>
                <w:u w:val="single"/>
              </w:rPr>
            </w:pPr>
            <w:r>
              <w:rPr>
                <w:rFonts w:ascii="times new roman;times" w:hAnsi="times new roman;times"/>
                <w:b/>
                <w:sz w:val="18"/>
                <w:u w:val="single"/>
              </w:rPr>
              <w:t>Trading Symbol(s)</w:t>
            </w:r>
          </w:p>
        </w:tc>
        <w:tc>
          <w:tcPr>
            <w:tcW w:w="3365" w:type="dxa"/>
            <w:tcBorders/>
            <w:vAlign w:val="center"/>
          </w:tcPr>
          <w:p>
            <w:pPr>
              <w:pStyle w:val="TableContents"/>
              <w:bidi w:val="0"/>
              <w:spacing w:before="0" w:after="0"/>
              <w:jc w:val="center"/>
              <w:rPr>
                <w:rFonts w:ascii="times new roman;times" w:hAnsi="times new roman;times"/>
                <w:b/>
                <w:sz w:val="18"/>
                <w:u w:val="single"/>
              </w:rPr>
            </w:pPr>
            <w:r>
              <w:rPr>
                <w:rFonts w:ascii="times new roman;times" w:hAnsi="times new roman;times"/>
                <w:b/>
                <w:sz w:val="18"/>
                <w:u w:val="single"/>
              </w:rPr>
              <w:t>Name of each exchange on which registered</w:t>
            </w:r>
          </w:p>
        </w:tc>
      </w:tr>
      <w:tr>
        <w:trPr/>
        <w:tc>
          <w:tcPr>
            <w:tcW w:w="2270"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pPr>
              <w:pStyle w:val="TableContents"/>
              <w:bidi w:val="0"/>
              <w:spacing w:before="0" w:after="0"/>
              <w:jc w:val="center"/>
              <w:rPr>
                <w:rFonts w:ascii="times new roman;times" w:hAnsi="times new roman;times"/>
                <w:sz w:val="18"/>
              </w:rPr>
            </w:pPr>
            <w:r>
              <w:rPr>
                <w:rFonts w:ascii="times new roman;times" w:hAnsi="times new roman;times"/>
                <w:sz w:val="18"/>
              </w:rPr>
              <w:t>Common Stock</w:t>
            </w:r>
          </w:p>
        </w:tc>
        <w:tc>
          <w:tcPr>
            <w:tcW w:w="1475"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pPr>
              <w:pStyle w:val="TableContents"/>
              <w:bidi w:val="0"/>
              <w:spacing w:before="0" w:after="0"/>
              <w:jc w:val="center"/>
              <w:rPr>
                <w:rFonts w:ascii="times new roman;times" w:hAnsi="times new roman;times"/>
                <w:sz w:val="18"/>
              </w:rPr>
            </w:pPr>
            <w:r>
              <w:rPr>
                <w:rFonts w:ascii="times new roman;times" w:hAnsi="times new roman;times"/>
                <w:sz w:val="18"/>
              </w:rPr>
              <w:t>EEFT</w:t>
            </w:r>
          </w:p>
        </w:tc>
        <w:tc>
          <w:tcPr>
            <w:tcW w:w="3365"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pPr>
              <w:pStyle w:val="TableContents"/>
              <w:bidi w:val="0"/>
              <w:spacing w:before="0" w:after="0"/>
              <w:jc w:val="center"/>
              <w:rPr>
                <w:rFonts w:ascii="times new roman;times" w:hAnsi="times new roman;times"/>
                <w:sz w:val="18"/>
              </w:rPr>
            </w:pPr>
            <w:r>
              <w:rPr>
                <w:rFonts w:ascii="times new roman;times" w:hAnsi="times new roman;times"/>
                <w:sz w:val="18"/>
              </w:rPr>
              <w:t>Nasdaq Global Select Market</w:t>
            </w:r>
          </w:p>
        </w:tc>
      </w:tr>
      <w:tr>
        <w:trPr/>
        <w:tc>
          <w:tcPr>
            <w:tcW w:w="2270" w:type="dxa"/>
            <w:tcBorders/>
            <w:vAlign w:val="center"/>
          </w:tcPr>
          <w:p>
            <w:pPr>
              <w:pStyle w:val="TableContents"/>
              <w:bidi w:val="0"/>
              <w:spacing w:before="0" w:after="0"/>
              <w:jc w:val="center"/>
              <w:rPr>
                <w:rFonts w:ascii="times new roman;times" w:hAnsi="times new roman;times"/>
                <w:sz w:val="18"/>
              </w:rPr>
            </w:pPr>
            <w:r>
              <w:rPr>
                <w:rFonts w:ascii="times new roman;times" w:hAnsi="times new roman;times"/>
                <w:sz w:val="18"/>
              </w:rPr>
              <w:t>1.375% Senior Notes due 2026</w:t>
            </w:r>
          </w:p>
        </w:tc>
        <w:tc>
          <w:tcPr>
            <w:tcW w:w="1475" w:type="dxa"/>
            <w:tcBorders/>
            <w:vAlign w:val="center"/>
          </w:tcPr>
          <w:p>
            <w:pPr>
              <w:pStyle w:val="TableContents"/>
              <w:bidi w:val="0"/>
              <w:spacing w:before="0" w:after="0"/>
              <w:jc w:val="center"/>
              <w:rPr>
                <w:rFonts w:ascii="times new roman;times" w:hAnsi="times new roman;times"/>
                <w:sz w:val="18"/>
              </w:rPr>
            </w:pPr>
            <w:r>
              <w:rPr>
                <w:rFonts w:ascii="times new roman;times" w:hAnsi="times new roman;times"/>
                <w:sz w:val="18"/>
              </w:rPr>
              <w:t>EEFT26</w:t>
            </w:r>
          </w:p>
        </w:tc>
        <w:tc>
          <w:tcPr>
            <w:tcW w:w="3365" w:type="dxa"/>
            <w:tcBorders/>
            <w:vAlign w:val="center"/>
          </w:tcPr>
          <w:p>
            <w:pPr>
              <w:pStyle w:val="TableContents"/>
              <w:bidi w:val="0"/>
              <w:spacing w:before="0" w:after="0"/>
              <w:jc w:val="center"/>
              <w:rPr>
                <w:rFonts w:ascii="times new roman;times" w:hAnsi="times new roman;times"/>
                <w:sz w:val="18"/>
              </w:rPr>
            </w:pPr>
            <w:r>
              <w:rPr>
                <w:rFonts w:ascii="times new roman;times" w:hAnsi="times new roman;times"/>
                <w:sz w:val="18"/>
              </w:rPr>
              <w:t>Nasdaq Global Market</w:t>
            </w:r>
          </w:p>
        </w:tc>
      </w:tr>
    </w:tbl>
    <w:p>
      <w:pPr>
        <w:pStyle w:val="TextBody"/>
        <w:widowControl/>
        <w:bidi w:val="0"/>
        <w:spacing w:before="150" w:after="150"/>
        <w:ind w:left="150" w:right="150" w:hanging="0"/>
        <w:jc w:val="left"/>
        <w:rPr>
          <w:rFonts w:ascii="Times New Roman" w:hAnsi="Times New Roman" w:eastAsia="Times New Roman" w:cs="Times New Roman"/>
          <w:b w:val="false"/>
          <w:b w:val="false"/>
          <w:bCs w:val="false"/>
          <w:i w:val="false"/>
          <w:i w:val="false"/>
          <w:iCs w:val="false"/>
          <w:caps w:val="false"/>
          <w:smallCaps w:val="false"/>
          <w:color w:val="000000"/>
          <w:spacing w:val="0"/>
          <w:sz w:val="20"/>
          <w:szCs w:val="20"/>
        </w:rPr>
      </w:pPr>
      <w:r>
        <w:rPr>
          <w:rFonts w:eastAsia="Times New Roman" w:cs="Times New Roman" w:ascii="Times New Roman" w:hAnsi="Times New Roman"/>
          <w:b w:val="false"/>
          <w:bCs w:val="false"/>
          <w:i w:val="false"/>
          <w:iCs w:val="false"/>
          <w:caps w:val="false"/>
          <w:smallCaps w:val="false"/>
          <w:color w:val="000000"/>
          <w:spacing w:val="0"/>
          <w:sz w:val="20"/>
          <w:szCs w:val="20"/>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18"/>
        </w:rPr>
      </w:pPr>
      <w:r>
        <w:rPr>
          <w:rFonts w:ascii="times new roman;times" w:hAnsi="times new roman;times"/>
          <w:b w:val="false"/>
          <w:i w:val="false"/>
          <w:caps w:val="false"/>
          <w:smallCaps w:val="false"/>
          <w:color w:val="000000"/>
          <w:spacing w:val="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times" w:hAnsi="times new roman;times"/>
          <w:b w:val="false"/>
          <w:i w:val="false"/>
          <w:caps w:val="false"/>
          <w:smallCaps w:val="false"/>
          <w:color w:val="000000"/>
          <w:spacing w:val="0"/>
          <w:sz w:val="18"/>
        </w:rPr>
        <w:t>Yes</w:t>
      </w:r>
      <w:r>
        <w:rPr>
          <w:rFonts w:ascii="times new roman;times" w:hAnsi="times new roman;times"/>
          <w:b w:val="false"/>
          <w:i w:val="false"/>
          <w:caps w:val="false"/>
          <w:smallCaps w:val="false"/>
          <w:color w:val="000000"/>
          <w:spacing w:val="0"/>
          <w:sz w:val="18"/>
        </w:rPr>
        <w:t xml:space="preserve"> ☑ No ☐</w:t>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18"/>
        </w:rPr>
      </w:pPr>
      <w:r>
        <w:rPr>
          <w:rFonts w:ascii="times new roman;times" w:hAnsi="times new roman;times"/>
          <w:b w:val="false"/>
          <w:i w:val="false"/>
          <w:caps w:val="false"/>
          <w:smallCaps w:val="false"/>
          <w:color w:val="000000"/>
          <w:spacing w:val="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times new roman;times" w:hAnsi="times new roman;times"/>
          <w:b w:val="false"/>
          <w:i w:val="false"/>
          <w:caps w:val="false"/>
          <w:smallCaps w:val="false"/>
          <w:color w:val="000000"/>
          <w:spacing w:val="0"/>
          <w:sz w:val="18"/>
        </w:rPr>
        <w:t>Yes</w:t>
      </w:r>
      <w:r>
        <w:rPr>
          <w:rFonts w:ascii="times new roman;times" w:hAnsi="times new roman;times"/>
          <w:b w:val="false"/>
          <w:i w:val="false"/>
          <w:caps w:val="false"/>
          <w:smallCaps w:val="false"/>
          <w:color w:val="000000"/>
          <w:spacing w:val="0"/>
          <w:sz w:val="18"/>
        </w:rPr>
        <w:t xml:space="preserve"> ☑ No ☐</w:t>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18"/>
        </w:rPr>
      </w:pPr>
      <w:r>
        <w:rPr>
          <w:rFonts w:ascii="times new roman;times" w:hAnsi="times new roman;times"/>
          <w:b w:val="false"/>
          <w:i w:val="false"/>
          <w:caps w:val="false"/>
          <w:smallCaps w:val="false"/>
          <w:color w:val="000000"/>
          <w:spacing w:val="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10205" w:type="dxa"/>
        <w:jc w:val="left"/>
        <w:tblInd w:w="0" w:type="dxa"/>
        <w:tblLayout w:type="fixed"/>
        <w:tblCellMar>
          <w:top w:w="0" w:type="dxa"/>
          <w:left w:w="0" w:type="dxa"/>
          <w:bottom w:w="0" w:type="dxa"/>
          <w:right w:w="0" w:type="dxa"/>
        </w:tblCellMar>
      </w:tblPr>
      <w:tblGrid>
        <w:gridCol w:w="4153"/>
        <w:gridCol w:w="619"/>
        <w:gridCol w:w="61"/>
        <w:gridCol w:w="4709"/>
        <w:gridCol w:w="663"/>
      </w:tblGrid>
      <w:tr>
        <w:trPr/>
        <w:tc>
          <w:tcPr>
            <w:tcW w:w="4153" w:type="dxa"/>
            <w:tcBorders/>
            <w:vAlign w:val="center"/>
          </w:tcPr>
          <w:p>
            <w:pPr>
              <w:pStyle w:val="TableContents"/>
              <w:bidi w:val="0"/>
              <w:spacing w:before="0" w:after="0"/>
              <w:ind w:left="0" w:right="0" w:hanging="0"/>
              <w:jc w:val="left"/>
              <w:rPr>
                <w:rFonts w:ascii="times new roman;times" w:hAnsi="times new roman;times"/>
                <w:sz w:val="18"/>
              </w:rPr>
            </w:pPr>
            <w:r>
              <w:rPr>
                <w:rFonts w:ascii="times new roman;times" w:hAnsi="times new roman;times"/>
                <w:sz w:val="18"/>
              </w:rPr>
              <w:t>Large accelerated filer </w:t>
            </w:r>
          </w:p>
        </w:tc>
        <w:tc>
          <w:tcPr>
            <w:tcW w:w="619" w:type="dxa"/>
            <w:tcBorders/>
            <w:vAlign w:val="center"/>
          </w:tcPr>
          <w:p>
            <w:pPr>
              <w:pStyle w:val="TableContents"/>
              <w:widowControl/>
              <w:bidi w:val="0"/>
              <w:spacing w:before="0" w:after="0"/>
              <w:ind w:left="0" w:right="0" w:hanging="0"/>
              <w:jc w:val="left"/>
              <w:rPr>
                <w:caps w:val="false"/>
                <w:smallCaps w:val="false"/>
                <w:color w:val="000000"/>
                <w:spacing w:val="0"/>
              </w:rPr>
            </w:pPr>
            <w:r>
              <w:rPr>
                <w:caps w:val="false"/>
                <w:smallCaps w:val="false"/>
                <w:color w:val="000000"/>
                <w:spacing w:val="0"/>
              </w:rPr>
              <w:t>☑</w:t>
            </w:r>
          </w:p>
        </w:tc>
        <w:tc>
          <w:tcPr>
            <w:tcW w:w="61" w:type="dxa"/>
            <w:tcBorders/>
            <w:vAlign w:val="center"/>
          </w:tcPr>
          <w:p>
            <w:pPr>
              <w:pStyle w:val="TableContents"/>
              <w:bidi w:val="0"/>
              <w:spacing w:before="0" w:after="283"/>
              <w:ind w:left="0" w:right="0" w:hanging="0"/>
              <w:jc w:val="left"/>
              <w:rPr>
                <w:sz w:val="4"/>
                <w:szCs w:val="4"/>
              </w:rPr>
            </w:pPr>
            <w:r>
              <w:rPr>
                <w:sz w:val="4"/>
                <w:szCs w:val="4"/>
              </w:rPr>
            </w:r>
          </w:p>
        </w:tc>
        <w:tc>
          <w:tcPr>
            <w:tcW w:w="4709" w:type="dxa"/>
            <w:tcBorders/>
            <w:vAlign w:val="center"/>
          </w:tcPr>
          <w:p>
            <w:pPr>
              <w:pStyle w:val="TableContents"/>
              <w:widowControl/>
              <w:bidi w:val="0"/>
              <w:spacing w:before="0" w:after="0"/>
              <w:ind w:left="0" w:right="0" w:hanging="0"/>
              <w:jc w:val="center"/>
              <w:rPr>
                <w:sz w:val="18"/>
              </w:rPr>
            </w:pPr>
            <w:r>
              <w:rPr>
                <w:rFonts w:ascii="times new roman" w:hAnsi="times new roman"/>
                <w:b w:val="false"/>
                <w:i w:val="false"/>
                <w:caps w:val="false"/>
                <w:smallCaps w:val="false"/>
                <w:color w:val="000000"/>
                <w:spacing w:val="0"/>
                <w:sz w:val="18"/>
              </w:rPr>
              <w:t>Accelerated filer</w:t>
            </w:r>
            <w:r>
              <w:rPr>
                <w:caps w:val="false"/>
                <w:smallCaps w:val="false"/>
                <w:color w:val="000000"/>
                <w:spacing w:val="0"/>
                <w:sz w:val="18"/>
              </w:rPr>
              <w:t> </w:t>
            </w:r>
          </w:p>
        </w:tc>
        <w:tc>
          <w:tcPr>
            <w:tcW w:w="663" w:type="dxa"/>
            <w:tcBorders/>
            <w:vAlign w:val="center"/>
          </w:tcPr>
          <w:p>
            <w:pPr>
              <w:pStyle w:val="TableContents"/>
              <w:widowControl/>
              <w:bidi w:val="0"/>
              <w:spacing w:before="0" w:after="0"/>
              <w:ind w:left="0" w:right="0" w:hanging="0"/>
              <w:jc w:val="center"/>
              <w:rPr>
                <w:rFonts w:ascii="Wingdings" w:hAnsi="Wingdings"/>
                <w:b w:val="false"/>
                <w:i w:val="false"/>
                <w:caps w:val="false"/>
                <w:smallCaps w:val="false"/>
                <w:color w:val="000000"/>
                <w:spacing w:val="0"/>
                <w:sz w:val="18"/>
              </w:rPr>
            </w:pPr>
            <w:r>
              <w:rPr>
                <w:rFonts w:ascii="Wingdings" w:hAnsi="Wingdings"/>
                <w:b w:val="false"/>
                <w:i w:val="false"/>
                <w:caps w:val="false"/>
                <w:smallCaps w:val="false"/>
                <w:color w:val="000000"/>
                <w:spacing w:val="0"/>
                <w:sz w:val="18"/>
              </w:rPr>
              <w:t>o</w:t>
            </w:r>
          </w:p>
        </w:tc>
      </w:tr>
      <w:tr>
        <w:trPr/>
        <w:tc>
          <w:tcPr>
            <w:tcW w:w="4153" w:type="dxa"/>
            <w:tcBorders/>
            <w:vAlign w:val="center"/>
          </w:tcPr>
          <w:p>
            <w:pPr>
              <w:pStyle w:val="TableContents"/>
              <w:bidi w:val="0"/>
              <w:spacing w:before="0" w:after="0"/>
              <w:ind w:left="0" w:right="0" w:hanging="0"/>
              <w:jc w:val="left"/>
              <w:rPr>
                <w:rFonts w:ascii="times new roman;times" w:hAnsi="times new roman;times"/>
                <w:sz w:val="18"/>
              </w:rPr>
            </w:pPr>
            <w:r>
              <w:rPr>
                <w:rFonts w:ascii="times new roman;times" w:hAnsi="times new roman;times"/>
                <w:sz w:val="18"/>
              </w:rPr>
              <w:t>Non-accelerated filer </w:t>
            </w:r>
          </w:p>
        </w:tc>
        <w:tc>
          <w:tcPr>
            <w:tcW w:w="619" w:type="dxa"/>
            <w:tcBorders/>
            <w:vAlign w:val="center"/>
          </w:tcPr>
          <w:p>
            <w:pPr>
              <w:pStyle w:val="TableContents"/>
              <w:widowControl/>
              <w:bidi w:val="0"/>
              <w:spacing w:before="0" w:after="0"/>
              <w:ind w:left="0" w:right="0" w:hanging="0"/>
              <w:jc w:val="left"/>
              <w:rPr>
                <w:rFonts w:ascii="Wingdings" w:hAnsi="Wingdings"/>
                <w:b w:val="false"/>
                <w:i w:val="false"/>
                <w:caps w:val="false"/>
                <w:smallCaps w:val="false"/>
                <w:color w:val="000000"/>
                <w:spacing w:val="0"/>
                <w:sz w:val="18"/>
              </w:rPr>
            </w:pPr>
            <w:r>
              <w:rPr>
                <w:rFonts w:ascii="Wingdings" w:hAnsi="Wingdings"/>
                <w:b w:val="false"/>
                <w:i w:val="false"/>
                <w:caps w:val="false"/>
                <w:smallCaps w:val="false"/>
                <w:color w:val="000000"/>
                <w:spacing w:val="0"/>
                <w:sz w:val="18"/>
              </w:rPr>
              <w:t>o</w:t>
            </w:r>
          </w:p>
        </w:tc>
        <w:tc>
          <w:tcPr>
            <w:tcW w:w="61" w:type="dxa"/>
            <w:tcBorders/>
            <w:vAlign w:val="center"/>
          </w:tcPr>
          <w:p>
            <w:pPr>
              <w:pStyle w:val="TableContents"/>
              <w:bidi w:val="0"/>
              <w:spacing w:before="0" w:after="283"/>
              <w:ind w:left="0" w:right="0" w:hanging="0"/>
              <w:jc w:val="left"/>
              <w:rPr>
                <w:sz w:val="4"/>
                <w:szCs w:val="4"/>
              </w:rPr>
            </w:pPr>
            <w:r>
              <w:rPr>
                <w:sz w:val="4"/>
                <w:szCs w:val="4"/>
              </w:rPr>
            </w:r>
          </w:p>
        </w:tc>
        <w:tc>
          <w:tcPr>
            <w:tcW w:w="4709" w:type="dxa"/>
            <w:tcBorders/>
            <w:vAlign w:val="center"/>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18"/>
              </w:rPr>
            </w:pPr>
            <w:r>
              <w:rPr>
                <w:rFonts w:ascii="times new roman" w:hAnsi="times new roman"/>
                <w:b w:val="false"/>
                <w:i w:val="false"/>
                <w:caps w:val="false"/>
                <w:smallCaps w:val="false"/>
                <w:color w:val="000000"/>
                <w:spacing w:val="0"/>
                <w:sz w:val="18"/>
              </w:rPr>
              <w:t>Smaller reporting company</w:t>
            </w:r>
          </w:p>
        </w:tc>
        <w:tc>
          <w:tcPr>
            <w:tcW w:w="663" w:type="dxa"/>
            <w:tcBorders/>
            <w:vAlign w:val="center"/>
          </w:tcPr>
          <w:p>
            <w:pPr>
              <w:pStyle w:val="TableContents"/>
              <w:bidi w:val="0"/>
              <w:spacing w:before="0" w:after="0"/>
              <w:ind w:left="0" w:right="0" w:hanging="0"/>
              <w:jc w:val="left"/>
              <w:rPr/>
            </w:pPr>
            <w:r>
              <w:rPr/>
              <w:t>☐</w:t>
            </w:r>
          </w:p>
        </w:tc>
      </w:tr>
      <w:tr>
        <w:trPr/>
        <w:tc>
          <w:tcPr>
            <w:tcW w:w="4772" w:type="dxa"/>
            <w:gridSpan w:val="2"/>
            <w:tcBorders/>
            <w:vAlign w:val="center"/>
          </w:tcPr>
          <w:p>
            <w:pPr>
              <w:pStyle w:val="TableContents"/>
              <w:bidi w:val="0"/>
              <w:spacing w:before="0" w:after="283"/>
              <w:ind w:left="0" w:right="0" w:hanging="0"/>
              <w:jc w:val="left"/>
              <w:rPr>
                <w:sz w:val="4"/>
                <w:szCs w:val="4"/>
              </w:rPr>
            </w:pPr>
            <w:r>
              <w:rPr>
                <w:sz w:val="4"/>
                <w:szCs w:val="4"/>
              </w:rPr>
            </w:r>
          </w:p>
        </w:tc>
        <w:tc>
          <w:tcPr>
            <w:tcW w:w="61" w:type="dxa"/>
            <w:tcBorders/>
            <w:vAlign w:val="center"/>
          </w:tcPr>
          <w:p>
            <w:pPr>
              <w:pStyle w:val="TableContents"/>
              <w:bidi w:val="0"/>
              <w:spacing w:before="0" w:after="283"/>
              <w:ind w:left="0" w:right="0" w:hanging="0"/>
              <w:jc w:val="left"/>
              <w:rPr>
                <w:sz w:val="4"/>
                <w:szCs w:val="4"/>
              </w:rPr>
            </w:pPr>
            <w:r>
              <w:rPr>
                <w:sz w:val="4"/>
                <w:szCs w:val="4"/>
              </w:rPr>
            </w:r>
          </w:p>
        </w:tc>
        <w:tc>
          <w:tcPr>
            <w:tcW w:w="4709" w:type="dxa"/>
            <w:tcBorders/>
            <w:vAlign w:val="center"/>
          </w:tcPr>
          <w:p>
            <w:pPr>
              <w:pStyle w:val="TableContents"/>
              <w:widowControl/>
              <w:bidi w:val="0"/>
              <w:spacing w:before="0" w:after="0"/>
              <w:ind w:left="0" w:right="0" w:hanging="0"/>
              <w:jc w:val="right"/>
              <w:rPr>
                <w:rFonts w:ascii="times new roman" w:hAnsi="times new roman"/>
                <w:b w:val="false"/>
                <w:i w:val="false"/>
                <w:caps w:val="false"/>
                <w:smallCaps w:val="false"/>
                <w:color w:val="000000"/>
                <w:spacing w:val="0"/>
                <w:sz w:val="18"/>
              </w:rPr>
            </w:pPr>
            <w:r>
              <w:rPr>
                <w:rFonts w:ascii="times new roman" w:hAnsi="times new roman"/>
                <w:b w:val="false"/>
                <w:i w:val="false"/>
                <w:caps w:val="false"/>
                <w:smallCaps w:val="false"/>
                <w:color w:val="000000"/>
                <w:spacing w:val="0"/>
                <w:sz w:val="18"/>
              </w:rPr>
              <w:t>Emerging growth company</w:t>
            </w:r>
          </w:p>
        </w:tc>
        <w:tc>
          <w:tcPr>
            <w:tcW w:w="663" w:type="dxa"/>
            <w:tcBorders/>
            <w:vAlign w:val="center"/>
          </w:tcPr>
          <w:p>
            <w:pPr>
              <w:pStyle w:val="TableContents"/>
              <w:bidi w:val="0"/>
              <w:spacing w:before="0" w:after="0"/>
              <w:ind w:left="0" w:right="0" w:hanging="0"/>
              <w:jc w:val="left"/>
              <w:rPr/>
            </w:pPr>
            <w:r>
              <w:rPr/>
              <w:t>☐</w:t>
            </w:r>
          </w:p>
        </w:tc>
      </w:tr>
      <w:tr>
        <w:trPr/>
        <w:tc>
          <w:tcPr>
            <w:tcW w:w="10205" w:type="dxa"/>
            <w:gridSpan w:val="5"/>
            <w:tcBorders/>
            <w:vAlign w:val="center"/>
          </w:tcPr>
          <w:p>
            <w:pPr>
              <w:pStyle w:val="TableContents"/>
              <w:bidi w:val="0"/>
              <w:spacing w:lineRule="auto" w:line="288" w:before="0" w:after="0"/>
              <w:ind w:left="0" w:right="0" w:hanging="0"/>
              <w:jc w:val="left"/>
              <w:rPr>
                <w:sz w:val="18"/>
              </w:rPr>
            </w:pPr>
            <w:r>
              <w:rPr>
                <w:rFonts w:ascii="times new roman;times" w:hAnsi="times new roman;times"/>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inherit" w:hAnsi="inherit"/>
                <w:sz w:val="18"/>
              </w:rPr>
              <w:t> </w:t>
            </w:r>
            <w:r>
              <w:rPr>
                <w:rFonts w:ascii="Wingdings" w:hAnsi="Wingdings"/>
                <w:sz w:val="18"/>
              </w:rPr>
              <w:t>o</w:t>
            </w:r>
          </w:p>
        </w:tc>
      </w:tr>
    </w:tbl>
    <w:p>
      <w:pPr>
        <w:pStyle w:val="TextBody"/>
        <w:widowControl/>
        <w:bidi w:val="0"/>
        <w:spacing w:before="0" w:after="0"/>
        <w:jc w:val="left"/>
        <w:rPr>
          <w:rFonts w:ascii="Times New Roman" w:hAnsi="Times New Roman" w:eastAsia="Times New Roman" w:cs="Times New Roman"/>
          <w:b w:val="false"/>
          <w:b w:val="false"/>
          <w:bCs w:val="false"/>
          <w:i w:val="false"/>
          <w:i w:val="false"/>
          <w:iCs w:val="false"/>
          <w:caps w:val="false"/>
          <w:smallCaps w:val="false"/>
          <w:color w:val="000000"/>
          <w:spacing w:val="0"/>
          <w:sz w:val="20"/>
          <w:szCs w:val="20"/>
        </w:rPr>
      </w:pPr>
      <w:r>
        <w:rPr>
          <w:rFonts w:eastAsia="Times New Roman" w:cs="Times New Roman" w:ascii="Times New Roman" w:hAnsi="Times New Roman"/>
          <w:b w:val="false"/>
          <w:bCs w:val="false"/>
          <w:i w:val="false"/>
          <w:iCs w:val="false"/>
          <w:caps w:val="false"/>
          <w:smallCaps w:val="false"/>
          <w:color w:val="000000"/>
          <w:spacing w:val="0"/>
          <w:sz w:val="20"/>
          <w:szCs w:val="20"/>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widowControl/>
        <w:bidi w:val="0"/>
        <w:spacing w:before="0" w:after="0"/>
        <w:jc w:val="left"/>
        <w:rPr>
          <w:rFonts w:ascii="Times New Roman" w:hAnsi="Times New Roman" w:eastAsia="Times New Roman" w:cs="Times New Roman"/>
          <w:b w:val="false"/>
          <w:b w:val="false"/>
          <w:bCs w:val="false"/>
          <w:i w:val="false"/>
          <w:i w:val="false"/>
          <w:iCs w:val="false"/>
          <w:caps w:val="false"/>
          <w:smallCaps w:val="false"/>
          <w:color w:val="000000"/>
          <w:spacing w:val="0"/>
          <w:sz w:val="18"/>
          <w:szCs w:val="20"/>
        </w:rPr>
      </w:pPr>
      <w:r>
        <w:rPr>
          <w:rFonts w:eastAsia="Times New Roman" w:cs="Times New Roman" w:ascii="times new roman;times" w:hAnsi="times new roman;times"/>
          <w:b w:val="false"/>
          <w:bCs w:val="false"/>
          <w:i w:val="false"/>
          <w:iCs w:val="false"/>
          <w:caps w:val="false"/>
          <w:smallCaps w:val="false"/>
          <w:color w:val="000000"/>
          <w:spacing w:val="0"/>
          <w:sz w:val="18"/>
          <w:szCs w:val="20"/>
        </w:rPr>
        <w:t>Indicate by check mark whether the registrant is a shell company (as defined in Rule 12b-2 of the Exchange Act). Yes</w:t>
      </w:r>
      <w:r>
        <w:rPr>
          <w:rFonts w:eastAsia="Times New Roman" w:cs="Times New Roman" w:ascii="inherit" w:hAnsi="inherit"/>
          <w:b w:val="false"/>
          <w:bCs w:val="false"/>
          <w:i w:val="false"/>
          <w:iCs w:val="false"/>
          <w:caps w:val="false"/>
          <w:smallCaps w:val="false"/>
          <w:color w:val="000000"/>
          <w:spacing w:val="0"/>
          <w:sz w:val="18"/>
          <w:szCs w:val="20"/>
        </w:rPr>
        <w:t xml:space="preserve"> ☐</w:t>
      </w:r>
      <w:r>
        <w:rPr>
          <w:rFonts w:eastAsia="Times New Roman" w:cs="Times New Roman" w:ascii="Times New Roman" w:hAnsi="Times New Roman"/>
          <w:b w:val="false"/>
          <w:bCs w:val="false"/>
          <w:i w:val="false"/>
          <w:iCs w:val="false"/>
          <w:caps w:val="false"/>
          <w:smallCaps w:val="false"/>
          <w:color w:val="000000"/>
          <w:spacing w:val="0"/>
          <w:sz w:val="18"/>
          <w:szCs w:val="20"/>
        </w:rPr>
        <w:t> </w:t>
      </w:r>
      <w:r>
        <w:rPr>
          <w:rFonts w:eastAsia="Times New Roman" w:cs="Times New Roman" w:ascii="times new roman;times" w:hAnsi="times new roman;times"/>
          <w:b w:val="false"/>
          <w:bCs w:val="false"/>
          <w:i w:val="false"/>
          <w:iCs w:val="false"/>
          <w:caps w:val="false"/>
          <w:smallCaps w:val="false"/>
          <w:color w:val="000000"/>
          <w:spacing w:val="0"/>
          <w:sz w:val="18"/>
          <w:szCs w:val="20"/>
        </w:rPr>
        <w:t>No</w:t>
      </w:r>
      <w:r>
        <w:rPr>
          <w:rFonts w:eastAsia="Times New Roman" w:cs="Times New Roman" w:ascii="inherit" w:hAnsi="inherit"/>
          <w:b w:val="false"/>
          <w:bCs w:val="false"/>
          <w:i w:val="false"/>
          <w:iCs w:val="false"/>
          <w:caps w:val="false"/>
          <w:smallCaps w:val="false"/>
          <w:color w:val="000000"/>
          <w:spacing w:val="0"/>
          <w:sz w:val="18"/>
          <w:szCs w:val="20"/>
        </w:rPr>
        <w:t xml:space="preserve"> ☑</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18"/>
        </w:rPr>
        <w:t>On August 1, 2024, Euronet Worldwide, Inc. had 44,914,254 shares</w:t>
      </w:r>
      <w:r>
        <w:rPr>
          <w:rFonts w:ascii="Times New Roman" w:hAnsi="Times New Roman"/>
          <w:b w:val="false"/>
          <w:i w:val="false"/>
          <w:caps w:val="false"/>
          <w:smallCaps w:val="false"/>
          <w:color w:val="000000"/>
          <w:spacing w:val="0"/>
          <w:sz w:val="20"/>
        </w:rPr>
        <w:t xml:space="preserve"> </w:t>
      </w:r>
      <w:r>
        <w:rPr>
          <w:rFonts w:ascii="times new roman;times" w:hAnsi="times new roman;times"/>
          <w:b w:val="false"/>
          <w:i w:val="false"/>
          <w:caps w:val="false"/>
          <w:smallCaps w:val="false"/>
          <w:color w:val="000000"/>
          <w:spacing w:val="0"/>
          <w:sz w:val="18"/>
        </w:rPr>
        <w:t>of common stock outstanding.</w:t>
      </w:r>
    </w:p>
    <w:p>
      <w:pPr>
        <w:pStyle w:val="TextBody"/>
        <w:widowControl/>
        <w:bidi w:val="0"/>
        <w:spacing w:lineRule="auto" w:line="288" w:before="0" w:after="0"/>
        <w:ind w:left="0" w:right="0" w:hanging="0"/>
        <w:jc w:val="left"/>
        <w:rPr>
          <w:caps w:val="false"/>
          <w:smallCaps w:val="false"/>
          <w:color w:val="000000"/>
          <w:spacing w:val="0"/>
          <w:bdr w:val="single" w:sz="8" w:space="1" w:color="000000"/>
        </w:rPr>
      </w:pPr>
      <w:r>
        <w:rPr>
          <w:caps w:val="false"/>
          <w:smallCaps w:val="false"/>
          <w:color w:val="000000"/>
          <w:spacing w:val="0"/>
          <w:bdr w:val="single" w:sz="8" w:space="1" w:color="000000"/>
        </w:rPr>
        <w:t> </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xml:space="preserve">  </w:t>
      </w:r>
    </w:p>
    <w:p>
      <w:pPr>
        <w:pStyle w:val="HorizontalLine"/>
        <w:widowControl/>
        <w:bidi w:val="0"/>
        <w:jc w:val="left"/>
        <w:rPr/>
      </w:pPr>
      <w:r>
        <w:rPr/>
      </w:r>
    </w:p>
    <w:p>
      <w:pPr>
        <w:pStyle w:val="TextBody"/>
        <w:widowControl/>
        <w:bidi w:val="0"/>
        <w:spacing w:before="0" w:after="0"/>
        <w:jc w:val="left"/>
        <w:rPr/>
      </w:pPr>
      <w:r>
        <w:rPr/>
      </w:r>
    </w:p>
    <w:p>
      <w:pPr>
        <w:pStyle w:val="TextBody"/>
        <w:widowControl/>
        <w:bidi w:val="0"/>
        <w:spacing w:before="0" w:after="0"/>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EURONET WORLDWIDE, INC. AND SUBSIDIARIES</w:t>
      </w:r>
    </w:p>
    <w:p>
      <w:pPr>
        <w:pStyle w:val="TextBody"/>
        <w:widowControl/>
        <w:bidi w:val="0"/>
        <w:spacing w:before="0" w:after="0"/>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Table of Contents</w:t>
      </w:r>
    </w:p>
    <w:p>
      <w:pPr>
        <w:pStyle w:val="Normal"/>
        <w:bidi w:val="0"/>
        <w:spacing w:before="0" w:after="0"/>
        <w:ind w:left="0" w:right="0" w:hanging="0"/>
        <w:jc w:val="left"/>
        <w:rPr>
          <w:sz w:val="4"/>
          <w:szCs w:val="4"/>
        </w:rPr>
      </w:pPr>
      <w:r>
        <w:rPr>
          <w:sz w:val="4"/>
          <w:szCs w:val="4"/>
        </w:rPr>
      </w:r>
      <w:bookmarkStart w:id="2" w:name="TOC"/>
      <w:bookmarkStart w:id="3" w:name="TOC"/>
      <w:bookmarkEnd w:id="3"/>
    </w:p>
    <w:tbl>
      <w:tblPr>
        <w:tblW w:w="10205" w:type="dxa"/>
        <w:jc w:val="left"/>
        <w:tblInd w:w="0" w:type="dxa"/>
        <w:tblLayout w:type="fixed"/>
        <w:tblCellMar>
          <w:top w:w="0" w:type="dxa"/>
          <w:left w:w="0" w:type="dxa"/>
          <w:bottom w:w="0" w:type="dxa"/>
          <w:right w:w="0" w:type="dxa"/>
        </w:tblCellMar>
      </w:tblPr>
      <w:tblGrid>
        <w:gridCol w:w="705"/>
        <w:gridCol w:w="9059"/>
        <w:gridCol w:w="441"/>
      </w:tblGrid>
      <w:tr>
        <w:trPr/>
        <w:tc>
          <w:tcPr>
            <w:tcW w:w="705"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9059" w:type="dxa"/>
            <w:tcBorders/>
            <w:shd w:fill="CCEEFF" w:val="clear"/>
            <w:vAlign w:val="center"/>
          </w:tcPr>
          <w:p>
            <w:pPr>
              <w:pStyle w:val="TableContents"/>
              <w:pBdr/>
              <w:bidi w:val="0"/>
              <w:spacing w:before="0" w:after="0"/>
              <w:ind w:left="0" w:right="0" w:hanging="0"/>
              <w:jc w:val="center"/>
              <w:rPr/>
            </w:pPr>
            <w:r>
              <w:rPr/>
              <w:t> </w:t>
            </w:r>
          </w:p>
        </w:tc>
        <w:tc>
          <w:tcPr>
            <w:tcW w:w="441" w:type="dxa"/>
            <w:tcBorders/>
            <w:shd w:fill="CCEEFF" w:val="clear"/>
            <w:vAlign w:val="center"/>
          </w:tcPr>
          <w:p>
            <w:pPr>
              <w:pStyle w:val="TableContents"/>
              <w:pBdr/>
              <w:bidi w:val="0"/>
              <w:spacing w:before="0" w:after="0"/>
              <w:ind w:left="0" w:right="0" w:hanging="0"/>
              <w:jc w:val="center"/>
              <w:rPr>
                <w:rFonts w:ascii="times new roman;times" w:hAnsi="times new roman;times"/>
                <w:b/>
                <w:sz w:val="20"/>
                <w:u w:val="single"/>
              </w:rPr>
            </w:pPr>
            <w:r>
              <w:rPr>
                <w:rFonts w:ascii="times new roman;times" w:hAnsi="times new roman;times"/>
                <w:b/>
                <w:sz w:val="20"/>
                <w:u w:val="single"/>
              </w:rPr>
              <w:t>Page</w:t>
            </w:r>
          </w:p>
        </w:tc>
      </w:tr>
      <w:tr>
        <w:trPr/>
        <w:tc>
          <w:tcPr>
            <w:tcW w:w="9764" w:type="dxa"/>
            <w:gridSpan w:val="2"/>
            <w:tcBorders/>
            <w:vAlign w:val="center"/>
          </w:tcPr>
          <w:p>
            <w:pPr>
              <w:pStyle w:val="TableContents"/>
              <w:bidi w:val="0"/>
              <w:spacing w:before="0" w:after="283"/>
              <w:ind w:left="0" w:right="0" w:hanging="0"/>
              <w:jc w:val="left"/>
              <w:rPr>
                <w:sz w:val="4"/>
                <w:szCs w:val="4"/>
              </w:rPr>
            </w:pPr>
            <w:r>
              <w:rPr>
                <w:sz w:val="4"/>
                <w:szCs w:val="4"/>
              </w:rPr>
            </w:r>
          </w:p>
        </w:tc>
        <w:tc>
          <w:tcPr>
            <w:tcW w:w="441" w:type="dxa"/>
            <w:tcBorders/>
            <w:vAlign w:val="center"/>
          </w:tcPr>
          <w:p>
            <w:pPr>
              <w:pStyle w:val="TableContents"/>
              <w:bidi w:val="0"/>
              <w:spacing w:before="0" w:after="0"/>
              <w:jc w:val="left"/>
              <w:rPr/>
            </w:pPr>
            <w:r>
              <w:rPr/>
              <w:t> </w:t>
            </w:r>
          </w:p>
        </w:tc>
      </w:tr>
      <w:tr>
        <w:trPr/>
        <w:tc>
          <w:tcPr>
            <w:tcW w:w="9764" w:type="dxa"/>
            <w:gridSpan w:val="2"/>
            <w:tcBorders/>
            <w:shd w:fill="CCEEFF" w:val="clear"/>
            <w:vAlign w:val="center"/>
          </w:tcPr>
          <w:p>
            <w:pPr>
              <w:pStyle w:val="TableContents"/>
              <w:bidi w:val="0"/>
              <w:spacing w:before="0" w:after="283"/>
              <w:ind w:left="0" w:right="0" w:hanging="0"/>
              <w:jc w:val="left"/>
              <w:rPr/>
            </w:pPr>
            <w:hyperlink w:anchor="BA_7QIWQ1779S00000000000000000000">
              <w:r>
                <w:rPr>
                  <w:rStyle w:val="InternetLink"/>
                  <w:rFonts w:ascii="times new roman;times" w:hAnsi="times new roman;times"/>
                  <w:sz w:val="20"/>
                </w:rPr>
                <w:t>PART I—FINANCIAL INFORMATION</w:t>
              </w:r>
            </w:hyperlink>
          </w:p>
        </w:tc>
        <w:tc>
          <w:tcPr>
            <w:tcW w:w="441" w:type="dxa"/>
            <w:tcBorders/>
            <w:shd w:fill="CCEEFF" w:val="clear"/>
            <w:vAlign w:val="center"/>
          </w:tcPr>
          <w:p>
            <w:pPr>
              <w:pStyle w:val="TableContents"/>
              <w:bidi w:val="0"/>
              <w:spacing w:before="0" w:after="0"/>
              <w:jc w:val="left"/>
              <w:rPr/>
            </w:pPr>
            <w:r>
              <w:rPr/>
              <w:t> </w:t>
            </w:r>
          </w:p>
        </w:tc>
      </w:tr>
      <w:tr>
        <w:trPr/>
        <w:tc>
          <w:tcPr>
            <w:tcW w:w="705" w:type="dxa"/>
            <w:tcBorders/>
            <w:vAlign w:val="center"/>
          </w:tcPr>
          <w:p>
            <w:pPr>
              <w:pStyle w:val="TableContents"/>
              <w:bidi w:val="0"/>
              <w:spacing w:before="0" w:after="283"/>
              <w:jc w:val="left"/>
              <w:rPr>
                <w:rFonts w:ascii="times new roman;times" w:hAnsi="times new roman;times"/>
                <w:color w:val="000000"/>
                <w:sz w:val="20"/>
              </w:rPr>
            </w:pPr>
            <w:r>
              <w:rPr>
                <w:rFonts w:ascii="times new roman;times" w:hAnsi="times new roman;times"/>
                <w:color w:val="000000"/>
                <w:sz w:val="20"/>
              </w:rPr>
              <w:t>Item 1.</w:t>
            </w:r>
            <w:bookmarkStart w:id="4" w:name="BM_BB_9BAVOBGEQ800000000000000000000"/>
            <w:bookmarkEnd w:id="4"/>
          </w:p>
        </w:tc>
        <w:tc>
          <w:tcPr>
            <w:tcW w:w="9059" w:type="dxa"/>
            <w:tcBorders/>
            <w:vAlign w:val="center"/>
          </w:tcPr>
          <w:p>
            <w:pPr>
              <w:pStyle w:val="TableContents"/>
              <w:bidi w:val="0"/>
              <w:spacing w:before="0" w:after="283"/>
              <w:ind w:left="0" w:right="0" w:hanging="0"/>
              <w:jc w:val="left"/>
              <w:rPr/>
            </w:pPr>
            <w:hyperlink w:anchor="BB_9BAVOBGEQ800000000000000000000">
              <w:r>
                <w:rPr>
                  <w:rStyle w:val="InternetLink"/>
                  <w:rFonts w:ascii="times new roman;times" w:hAnsi="times new roman;times"/>
                  <w:sz w:val="20"/>
                </w:rPr>
                <w:t>Financial Statements (unaudited)</w:t>
              </w:r>
            </w:hyperlink>
            <w:bookmarkStart w:id="5" w:name="BMP_BB_9BAVOBGEQ800000000000000000000"/>
            <w:bookmarkEnd w:id="5"/>
          </w:p>
        </w:tc>
        <w:tc>
          <w:tcPr>
            <w:tcW w:w="441" w:type="dxa"/>
            <w:tcBorders/>
            <w:vAlign w:val="center"/>
          </w:tcPr>
          <w:p>
            <w:pPr>
              <w:pStyle w:val="TableContents"/>
              <w:bidi w:val="0"/>
              <w:spacing w:before="0" w:after="0"/>
              <w:jc w:val="center"/>
              <w:rPr/>
            </w:pPr>
            <w:r>
              <w:rPr/>
              <w:t>1</w:t>
            </w:r>
          </w:p>
        </w:tc>
      </w:tr>
      <w:tr>
        <w:trPr/>
        <w:tc>
          <w:tcPr>
            <w:tcW w:w="705" w:type="dxa"/>
            <w:tcBorders/>
            <w:shd w:fill="CCEEFF" w:val="clear"/>
            <w:vAlign w:val="center"/>
          </w:tcPr>
          <w:p>
            <w:pPr>
              <w:pStyle w:val="TableContents"/>
              <w:bidi w:val="0"/>
              <w:spacing w:before="0" w:after="283"/>
              <w:jc w:val="left"/>
              <w:rPr/>
            </w:pPr>
            <w:r>
              <w:rPr/>
              <w:t> </w:t>
            </w:r>
            <w:bookmarkStart w:id="6" w:name="BM_BC_XC3MA3XVTC00000000000000000000"/>
            <w:bookmarkEnd w:id="6"/>
          </w:p>
        </w:tc>
        <w:tc>
          <w:tcPr>
            <w:tcW w:w="9059" w:type="dxa"/>
            <w:tcBorders/>
            <w:shd w:fill="CCEEFF" w:val="clear"/>
            <w:vAlign w:val="center"/>
          </w:tcPr>
          <w:p>
            <w:pPr>
              <w:pStyle w:val="TableContents"/>
              <w:bidi w:val="0"/>
              <w:spacing w:before="0" w:after="283"/>
              <w:ind w:left="0" w:right="0" w:hanging="0"/>
              <w:jc w:val="left"/>
              <w:rPr/>
            </w:pPr>
            <w:hyperlink w:anchor="BC_XC3MA3XVTC00000000000000000000">
              <w:r>
                <w:rPr>
                  <w:rStyle w:val="InternetLink"/>
                  <w:rFonts w:ascii="times new roman;times" w:hAnsi="times new roman;times"/>
                  <w:sz w:val="20"/>
                </w:rPr>
                <w:t>Consolidated Balance Sheets as of June 30, 2024 and December 31, 2023</w:t>
              </w:r>
            </w:hyperlink>
            <w:bookmarkStart w:id="7" w:name="BMP_BC_XC3MA3XVTC00000000000000000000"/>
            <w:bookmarkEnd w:id="7"/>
          </w:p>
        </w:tc>
        <w:tc>
          <w:tcPr>
            <w:tcW w:w="441" w:type="dxa"/>
            <w:tcBorders/>
            <w:shd w:fill="CCEEFF" w:val="clear"/>
            <w:vAlign w:val="center"/>
          </w:tcPr>
          <w:p>
            <w:pPr>
              <w:pStyle w:val="TableContents"/>
              <w:bidi w:val="0"/>
              <w:spacing w:before="0" w:after="0"/>
              <w:jc w:val="center"/>
              <w:rPr/>
            </w:pPr>
            <w:r>
              <w:rPr/>
              <w:t>1</w:t>
            </w:r>
          </w:p>
        </w:tc>
      </w:tr>
      <w:tr>
        <w:trPr/>
        <w:tc>
          <w:tcPr>
            <w:tcW w:w="705" w:type="dxa"/>
            <w:tcBorders/>
            <w:vAlign w:val="center"/>
          </w:tcPr>
          <w:p>
            <w:pPr>
              <w:pStyle w:val="TableContents"/>
              <w:bidi w:val="0"/>
              <w:spacing w:before="0" w:after="283"/>
              <w:jc w:val="left"/>
              <w:rPr/>
            </w:pPr>
            <w:r>
              <w:rPr/>
              <w:t> </w:t>
            </w:r>
            <w:bookmarkStart w:id="8" w:name="BM_BD_F025HRURI800000000000000000000"/>
            <w:bookmarkEnd w:id="8"/>
          </w:p>
        </w:tc>
        <w:tc>
          <w:tcPr>
            <w:tcW w:w="9059" w:type="dxa"/>
            <w:tcBorders/>
            <w:vAlign w:val="center"/>
          </w:tcPr>
          <w:p>
            <w:pPr>
              <w:pStyle w:val="TableContents"/>
              <w:bidi w:val="0"/>
              <w:spacing w:before="0" w:after="283"/>
              <w:ind w:left="0" w:right="0" w:hanging="0"/>
              <w:jc w:val="left"/>
              <w:rPr/>
            </w:pPr>
            <w:hyperlink w:anchor="BD_F025HRURI800000000000000000000">
              <w:r>
                <w:rPr>
                  <w:rStyle w:val="InternetLink"/>
                  <w:rFonts w:ascii="times new roman;times" w:hAnsi="times new roman;times"/>
                  <w:sz w:val="20"/>
                </w:rPr>
                <w:t>Consolidated Statements of Operations for the Three and Six Months Ended June 30, 2024 and 2023</w:t>
              </w:r>
            </w:hyperlink>
            <w:bookmarkStart w:id="9" w:name="BMP_BD_F025HRURI800000000000000000000"/>
            <w:bookmarkEnd w:id="9"/>
          </w:p>
        </w:tc>
        <w:tc>
          <w:tcPr>
            <w:tcW w:w="441" w:type="dxa"/>
            <w:tcBorders/>
            <w:vAlign w:val="center"/>
          </w:tcPr>
          <w:p>
            <w:pPr>
              <w:pStyle w:val="TableContents"/>
              <w:bidi w:val="0"/>
              <w:spacing w:before="0" w:after="0"/>
              <w:jc w:val="center"/>
              <w:rPr/>
            </w:pPr>
            <w:r>
              <w:rPr/>
              <w:t>2</w:t>
            </w:r>
          </w:p>
        </w:tc>
      </w:tr>
      <w:tr>
        <w:trPr/>
        <w:tc>
          <w:tcPr>
            <w:tcW w:w="705" w:type="dxa"/>
            <w:tcBorders/>
            <w:shd w:fill="CCEEFF" w:val="clear"/>
            <w:vAlign w:val="center"/>
          </w:tcPr>
          <w:p>
            <w:pPr>
              <w:pStyle w:val="TableContents"/>
              <w:bidi w:val="0"/>
              <w:spacing w:before="0" w:after="283"/>
              <w:jc w:val="left"/>
              <w:rPr/>
            </w:pPr>
            <w:r>
              <w:rPr/>
              <w:t> </w:t>
            </w:r>
            <w:bookmarkStart w:id="10" w:name="BM_BE_SYSJ1C623K00000000000000000000"/>
            <w:bookmarkEnd w:id="10"/>
          </w:p>
        </w:tc>
        <w:tc>
          <w:tcPr>
            <w:tcW w:w="9059" w:type="dxa"/>
            <w:tcBorders/>
            <w:shd w:fill="CCEEFF" w:val="clear"/>
            <w:vAlign w:val="center"/>
          </w:tcPr>
          <w:p>
            <w:pPr>
              <w:pStyle w:val="TableContents"/>
              <w:bidi w:val="0"/>
              <w:spacing w:before="0" w:after="283"/>
              <w:ind w:left="0" w:right="0" w:hanging="0"/>
              <w:jc w:val="left"/>
              <w:rPr/>
            </w:pPr>
            <w:hyperlink w:anchor="BE_SYSJ1C623K00000000000000000000">
              <w:r>
                <w:rPr>
                  <w:rStyle w:val="InternetLink"/>
                  <w:rFonts w:ascii="times new roman;times" w:hAnsi="times new roman;times"/>
                  <w:sz w:val="20"/>
                </w:rPr>
                <w:t>Consolidated Statements of Comprehensive Income for the Three and Six Months Ended June 30, 2024 and 2023</w:t>
              </w:r>
            </w:hyperlink>
            <w:bookmarkStart w:id="11" w:name="BMP_BE_SYSJ1C623K00000000000000000000"/>
            <w:bookmarkEnd w:id="11"/>
          </w:p>
        </w:tc>
        <w:tc>
          <w:tcPr>
            <w:tcW w:w="441" w:type="dxa"/>
            <w:tcBorders/>
            <w:shd w:fill="CCEEFF" w:val="clear"/>
            <w:vAlign w:val="center"/>
          </w:tcPr>
          <w:p>
            <w:pPr>
              <w:pStyle w:val="TableContents"/>
              <w:bidi w:val="0"/>
              <w:spacing w:before="0" w:after="0"/>
              <w:jc w:val="center"/>
              <w:rPr/>
            </w:pPr>
            <w:r>
              <w:rPr/>
              <w:t>3</w:t>
            </w:r>
          </w:p>
        </w:tc>
      </w:tr>
      <w:tr>
        <w:trPr/>
        <w:tc>
          <w:tcPr>
            <w:tcW w:w="705" w:type="dxa"/>
            <w:tcBorders/>
            <w:vAlign w:val="center"/>
          </w:tcPr>
          <w:p>
            <w:pPr>
              <w:pStyle w:val="TableContents"/>
              <w:bidi w:val="0"/>
              <w:spacing w:before="0" w:after="283"/>
              <w:jc w:val="left"/>
              <w:rPr/>
            </w:pPr>
            <w:r>
              <w:rPr/>
              <w:t> </w:t>
            </w:r>
            <w:bookmarkStart w:id="12" w:name="BM_BF_RPZMQB42ZK00000000000000000000"/>
            <w:bookmarkEnd w:id="12"/>
          </w:p>
        </w:tc>
        <w:tc>
          <w:tcPr>
            <w:tcW w:w="9059" w:type="dxa"/>
            <w:tcBorders/>
            <w:vAlign w:val="center"/>
          </w:tcPr>
          <w:p>
            <w:pPr>
              <w:pStyle w:val="TableContents"/>
              <w:bidi w:val="0"/>
              <w:spacing w:before="0" w:after="283"/>
              <w:ind w:left="0" w:right="0" w:hanging="0"/>
              <w:jc w:val="left"/>
              <w:rPr/>
            </w:pPr>
            <w:hyperlink w:anchor="BF_RPZMQB42ZK00000000000000000000">
              <w:r>
                <w:rPr>
                  <w:rStyle w:val="InternetLink"/>
                  <w:rFonts w:ascii="times new roman;times" w:hAnsi="times new roman;times"/>
                  <w:sz w:val="20"/>
                </w:rPr>
                <w:t>Consolidated Statements of Changes in Equity for the Three and Six Months Ended June 30, 2024 and 2023</w:t>
              </w:r>
            </w:hyperlink>
            <w:bookmarkStart w:id="13" w:name="BMP_BF_RPZMQB42ZK00000000000000000000"/>
            <w:bookmarkEnd w:id="13"/>
          </w:p>
        </w:tc>
        <w:tc>
          <w:tcPr>
            <w:tcW w:w="441" w:type="dxa"/>
            <w:tcBorders/>
            <w:vAlign w:val="center"/>
          </w:tcPr>
          <w:p>
            <w:pPr>
              <w:pStyle w:val="TableContents"/>
              <w:bidi w:val="0"/>
              <w:spacing w:before="0" w:after="0"/>
              <w:jc w:val="center"/>
              <w:rPr/>
            </w:pPr>
            <w:r>
              <w:rPr/>
              <w:t>4</w:t>
            </w:r>
          </w:p>
        </w:tc>
      </w:tr>
      <w:tr>
        <w:trPr/>
        <w:tc>
          <w:tcPr>
            <w:tcW w:w="705" w:type="dxa"/>
            <w:tcBorders/>
            <w:shd w:fill="CCEEFF" w:val="clear"/>
            <w:vAlign w:val="center"/>
          </w:tcPr>
          <w:p>
            <w:pPr>
              <w:pStyle w:val="TableContents"/>
              <w:bidi w:val="0"/>
              <w:spacing w:before="0" w:after="283"/>
              <w:jc w:val="left"/>
              <w:rPr/>
            </w:pPr>
            <w:r>
              <w:rPr/>
              <w:t> </w:t>
            </w:r>
            <w:bookmarkStart w:id="14" w:name="BM_BG_NTOBOJAMA800000000000000000000"/>
            <w:bookmarkEnd w:id="14"/>
          </w:p>
        </w:tc>
        <w:tc>
          <w:tcPr>
            <w:tcW w:w="9059" w:type="dxa"/>
            <w:tcBorders/>
            <w:shd w:fill="CCEEFF" w:val="clear"/>
            <w:vAlign w:val="center"/>
          </w:tcPr>
          <w:p>
            <w:pPr>
              <w:pStyle w:val="TableContents"/>
              <w:bidi w:val="0"/>
              <w:spacing w:before="0" w:after="283"/>
              <w:ind w:left="0" w:right="0" w:hanging="0"/>
              <w:jc w:val="left"/>
              <w:rPr/>
            </w:pPr>
            <w:hyperlink w:anchor="BG_NTOBOJAMA800000000000000000000">
              <w:r>
                <w:rPr>
                  <w:rStyle w:val="InternetLink"/>
                  <w:rFonts w:ascii="times new roman;times" w:hAnsi="times new roman;times"/>
                  <w:sz w:val="20"/>
                </w:rPr>
                <w:t>Consolidated Statements of Cash Flows for the Six Months Ended June 30, 2024 and 2023</w:t>
              </w:r>
            </w:hyperlink>
            <w:bookmarkStart w:id="15" w:name="BMP_BG_NTOBOJAMA800000000000000000000"/>
            <w:bookmarkEnd w:id="15"/>
          </w:p>
        </w:tc>
        <w:tc>
          <w:tcPr>
            <w:tcW w:w="441" w:type="dxa"/>
            <w:tcBorders/>
            <w:shd w:fill="CCEEFF" w:val="clear"/>
            <w:vAlign w:val="center"/>
          </w:tcPr>
          <w:p>
            <w:pPr>
              <w:pStyle w:val="TableContents"/>
              <w:bidi w:val="0"/>
              <w:spacing w:before="0" w:after="0"/>
              <w:jc w:val="center"/>
              <w:rPr/>
            </w:pPr>
            <w:r>
              <w:rPr/>
              <w:t>6</w:t>
            </w:r>
          </w:p>
        </w:tc>
      </w:tr>
      <w:tr>
        <w:trPr/>
        <w:tc>
          <w:tcPr>
            <w:tcW w:w="705" w:type="dxa"/>
            <w:tcBorders/>
            <w:vAlign w:val="center"/>
          </w:tcPr>
          <w:p>
            <w:pPr>
              <w:pStyle w:val="TableContents"/>
              <w:bidi w:val="0"/>
              <w:spacing w:before="0" w:after="283"/>
              <w:jc w:val="left"/>
              <w:rPr/>
            </w:pPr>
            <w:r>
              <w:rPr/>
              <w:t> </w:t>
            </w:r>
            <w:bookmarkStart w:id="16" w:name="BM_BH_0DMC6LCZGW00000000000000000000"/>
            <w:bookmarkEnd w:id="16"/>
          </w:p>
        </w:tc>
        <w:tc>
          <w:tcPr>
            <w:tcW w:w="9059" w:type="dxa"/>
            <w:tcBorders/>
            <w:vAlign w:val="center"/>
          </w:tcPr>
          <w:p>
            <w:pPr>
              <w:pStyle w:val="TableContents"/>
              <w:bidi w:val="0"/>
              <w:spacing w:before="0" w:after="283"/>
              <w:ind w:left="0" w:right="0" w:hanging="0"/>
              <w:jc w:val="left"/>
              <w:rPr/>
            </w:pPr>
            <w:hyperlink w:anchor="BH_0DMC6LCZGW00000000000000000000">
              <w:r>
                <w:rPr>
                  <w:rStyle w:val="InternetLink"/>
                  <w:rFonts w:ascii="times new roman;times" w:hAnsi="times new roman;times"/>
                  <w:sz w:val="20"/>
                </w:rPr>
                <w:t>Notes to the Unaudited Consolidated Financial Statements</w:t>
              </w:r>
            </w:hyperlink>
            <w:bookmarkStart w:id="17" w:name="BMP_BH_0DMC6LCZGW00000000000000000000"/>
            <w:bookmarkEnd w:id="17"/>
          </w:p>
        </w:tc>
        <w:tc>
          <w:tcPr>
            <w:tcW w:w="441" w:type="dxa"/>
            <w:tcBorders/>
            <w:vAlign w:val="center"/>
          </w:tcPr>
          <w:p>
            <w:pPr>
              <w:pStyle w:val="TableContents"/>
              <w:bidi w:val="0"/>
              <w:spacing w:before="0" w:after="0"/>
              <w:jc w:val="center"/>
              <w:rPr/>
            </w:pPr>
            <w:r>
              <w:rPr/>
              <w:t>7</w:t>
            </w:r>
          </w:p>
        </w:tc>
      </w:tr>
      <w:tr>
        <w:trPr/>
        <w:tc>
          <w:tcPr>
            <w:tcW w:w="705" w:type="dxa"/>
            <w:tcBorders/>
            <w:shd w:fill="CCEEFF" w:val="clear"/>
            <w:vAlign w:val="center"/>
          </w:tcPr>
          <w:p>
            <w:pPr>
              <w:pStyle w:val="TableContents"/>
              <w:bidi w:val="0"/>
              <w:spacing w:before="0" w:after="283"/>
              <w:jc w:val="left"/>
              <w:rPr>
                <w:rFonts w:ascii="times new roman;times" w:hAnsi="times new roman;times"/>
                <w:color w:val="000000"/>
                <w:sz w:val="20"/>
              </w:rPr>
            </w:pPr>
            <w:r>
              <w:rPr>
                <w:rFonts w:ascii="times new roman;times" w:hAnsi="times new roman;times"/>
                <w:color w:val="000000"/>
                <w:sz w:val="20"/>
              </w:rPr>
              <w:t>Item 2.</w:t>
            </w:r>
            <w:bookmarkStart w:id="18" w:name="BM_BI_YBM69S5UGG00000000000000000000"/>
            <w:bookmarkEnd w:id="18"/>
          </w:p>
        </w:tc>
        <w:tc>
          <w:tcPr>
            <w:tcW w:w="9059" w:type="dxa"/>
            <w:tcBorders/>
            <w:shd w:fill="CCEEFF" w:val="clear"/>
            <w:vAlign w:val="center"/>
          </w:tcPr>
          <w:p>
            <w:pPr>
              <w:pStyle w:val="TableContents"/>
              <w:bidi w:val="0"/>
              <w:spacing w:before="0" w:after="283"/>
              <w:ind w:left="0" w:right="0" w:hanging="0"/>
              <w:jc w:val="left"/>
              <w:rPr/>
            </w:pPr>
            <w:hyperlink w:anchor="BI_YBM69S5UGG00000000000000000000">
              <w:r>
                <w:rPr>
                  <w:rStyle w:val="InternetLink"/>
                  <w:rFonts w:ascii="times new roman;times" w:hAnsi="times new roman;times"/>
                  <w:sz w:val="20"/>
                </w:rPr>
                <w:t>Management's Discussion and Analysis of Financial Condition and Results of Operations</w:t>
              </w:r>
            </w:hyperlink>
            <w:bookmarkStart w:id="19" w:name="BMP_BI_YBM69S5UGG00000000000000000000"/>
            <w:bookmarkEnd w:id="19"/>
          </w:p>
        </w:tc>
        <w:tc>
          <w:tcPr>
            <w:tcW w:w="441" w:type="dxa"/>
            <w:tcBorders/>
            <w:shd w:fill="CCEEFF" w:val="clear"/>
            <w:vAlign w:val="center"/>
          </w:tcPr>
          <w:p>
            <w:pPr>
              <w:pStyle w:val="TableContents"/>
              <w:bidi w:val="0"/>
              <w:spacing w:before="0" w:after="0"/>
              <w:jc w:val="center"/>
              <w:rPr/>
            </w:pPr>
            <w:r>
              <w:rPr/>
              <w:t>24</w:t>
            </w:r>
          </w:p>
        </w:tc>
      </w:tr>
      <w:tr>
        <w:trPr/>
        <w:tc>
          <w:tcPr>
            <w:tcW w:w="705" w:type="dxa"/>
            <w:tcBorders/>
            <w:vAlign w:val="center"/>
          </w:tcPr>
          <w:p>
            <w:pPr>
              <w:pStyle w:val="TableContents"/>
              <w:bidi w:val="0"/>
              <w:spacing w:before="0" w:after="283"/>
              <w:jc w:val="left"/>
              <w:rPr>
                <w:rFonts w:ascii="times new roman;times" w:hAnsi="times new roman;times"/>
                <w:color w:val="000000"/>
                <w:sz w:val="20"/>
              </w:rPr>
            </w:pPr>
            <w:r>
              <w:rPr>
                <w:rFonts w:ascii="times new roman;times" w:hAnsi="times new roman;times"/>
                <w:color w:val="000000"/>
                <w:sz w:val="20"/>
              </w:rPr>
              <w:t>Item 3.</w:t>
            </w:r>
            <w:bookmarkStart w:id="20" w:name="BM_BJ_XJID6L54K000000000000000000000"/>
            <w:bookmarkEnd w:id="20"/>
          </w:p>
        </w:tc>
        <w:tc>
          <w:tcPr>
            <w:tcW w:w="9059" w:type="dxa"/>
            <w:tcBorders/>
            <w:vAlign w:val="center"/>
          </w:tcPr>
          <w:p>
            <w:pPr>
              <w:pStyle w:val="TableContents"/>
              <w:bidi w:val="0"/>
              <w:spacing w:before="0" w:after="283"/>
              <w:ind w:left="0" w:right="0" w:hanging="0"/>
              <w:jc w:val="left"/>
              <w:rPr/>
            </w:pPr>
            <w:hyperlink w:anchor="BJ_XJID6L54K000000000000000000000">
              <w:r>
                <w:rPr>
                  <w:rStyle w:val="InternetLink"/>
                  <w:rFonts w:ascii="times new roman;times" w:hAnsi="times new roman;times"/>
                  <w:sz w:val="20"/>
                </w:rPr>
                <w:t>Quantitative and Qualitative Disclosures About Market Risk</w:t>
              </w:r>
            </w:hyperlink>
            <w:bookmarkStart w:id="21" w:name="BMP_BJ_XJID6L54K000000000000000000000"/>
            <w:bookmarkEnd w:id="21"/>
          </w:p>
        </w:tc>
        <w:tc>
          <w:tcPr>
            <w:tcW w:w="441" w:type="dxa"/>
            <w:tcBorders/>
            <w:vAlign w:val="center"/>
          </w:tcPr>
          <w:p>
            <w:pPr>
              <w:pStyle w:val="TableContents"/>
              <w:bidi w:val="0"/>
              <w:spacing w:before="0" w:after="0"/>
              <w:jc w:val="center"/>
              <w:rPr/>
            </w:pPr>
            <w:r>
              <w:rPr/>
              <w:t>40</w:t>
            </w:r>
          </w:p>
        </w:tc>
      </w:tr>
      <w:tr>
        <w:trPr/>
        <w:tc>
          <w:tcPr>
            <w:tcW w:w="705" w:type="dxa"/>
            <w:tcBorders/>
            <w:shd w:fill="CCEEFF" w:val="clear"/>
            <w:vAlign w:val="center"/>
          </w:tcPr>
          <w:p>
            <w:pPr>
              <w:pStyle w:val="TableContents"/>
              <w:bidi w:val="0"/>
              <w:spacing w:before="0" w:after="283"/>
              <w:jc w:val="left"/>
              <w:rPr>
                <w:rFonts w:ascii="times new roman;times" w:hAnsi="times new roman;times"/>
                <w:color w:val="000000"/>
                <w:sz w:val="20"/>
              </w:rPr>
            </w:pPr>
            <w:r>
              <w:rPr>
                <w:rFonts w:ascii="times new roman;times" w:hAnsi="times new roman;times"/>
                <w:color w:val="000000"/>
                <w:sz w:val="20"/>
              </w:rPr>
              <w:t>Item 4.</w:t>
            </w:r>
            <w:bookmarkStart w:id="22" w:name="BM_BK_BNO1HW2O4W00000000000000000000"/>
            <w:bookmarkEnd w:id="22"/>
          </w:p>
        </w:tc>
        <w:tc>
          <w:tcPr>
            <w:tcW w:w="9059" w:type="dxa"/>
            <w:tcBorders/>
            <w:shd w:fill="CCEEFF" w:val="clear"/>
            <w:vAlign w:val="center"/>
          </w:tcPr>
          <w:p>
            <w:pPr>
              <w:pStyle w:val="TableContents"/>
              <w:bidi w:val="0"/>
              <w:spacing w:before="0" w:after="283"/>
              <w:ind w:left="0" w:right="0" w:hanging="0"/>
              <w:jc w:val="left"/>
              <w:rPr/>
            </w:pPr>
            <w:hyperlink w:anchor="BK_BNO1HW2O4W00000000000000000000">
              <w:r>
                <w:rPr>
                  <w:rStyle w:val="InternetLink"/>
                  <w:rFonts w:ascii="times new roman;times" w:hAnsi="times new roman;times"/>
                  <w:sz w:val="20"/>
                </w:rPr>
                <w:t>Controls and Procedures</w:t>
              </w:r>
            </w:hyperlink>
            <w:bookmarkStart w:id="23" w:name="BMP_BK_BNO1HW2O4W00000000000000000000"/>
            <w:bookmarkEnd w:id="23"/>
          </w:p>
        </w:tc>
        <w:tc>
          <w:tcPr>
            <w:tcW w:w="441" w:type="dxa"/>
            <w:tcBorders/>
            <w:shd w:fill="CCEEFF" w:val="clear"/>
            <w:vAlign w:val="center"/>
          </w:tcPr>
          <w:p>
            <w:pPr>
              <w:pStyle w:val="TableContents"/>
              <w:bidi w:val="0"/>
              <w:spacing w:before="0" w:after="0"/>
              <w:jc w:val="center"/>
              <w:rPr/>
            </w:pPr>
            <w:r>
              <w:rPr/>
              <w:t>41</w:t>
            </w:r>
          </w:p>
        </w:tc>
      </w:tr>
      <w:tr>
        <w:trPr/>
        <w:tc>
          <w:tcPr>
            <w:tcW w:w="9764" w:type="dxa"/>
            <w:gridSpan w:val="2"/>
            <w:tcBorders/>
            <w:vAlign w:val="center"/>
          </w:tcPr>
          <w:p>
            <w:pPr>
              <w:pStyle w:val="TableContents"/>
              <w:bidi w:val="0"/>
              <w:spacing w:before="0" w:after="283"/>
              <w:ind w:left="0" w:right="0" w:hanging="0"/>
              <w:jc w:val="left"/>
              <w:rPr/>
            </w:pPr>
            <w:hyperlink w:anchor="BL_AMVLAF0ZB400000000000000000000">
              <w:r>
                <w:rPr>
                  <w:rStyle w:val="InternetLink"/>
                  <w:rFonts w:ascii="times new roman;times" w:hAnsi="times new roman;times"/>
                  <w:sz w:val="20"/>
                </w:rPr>
                <w:t>PART II—OTHER INFORMATION</w:t>
              </w:r>
            </w:hyperlink>
          </w:p>
        </w:tc>
        <w:tc>
          <w:tcPr>
            <w:tcW w:w="441" w:type="dxa"/>
            <w:tcBorders/>
            <w:vAlign w:val="center"/>
          </w:tcPr>
          <w:p>
            <w:pPr>
              <w:pStyle w:val="TableContents"/>
              <w:bidi w:val="0"/>
              <w:spacing w:before="0" w:after="283"/>
              <w:jc w:val="left"/>
              <w:rPr>
                <w:sz w:val="4"/>
                <w:szCs w:val="4"/>
              </w:rPr>
            </w:pPr>
            <w:r>
              <w:rPr>
                <w:sz w:val="4"/>
                <w:szCs w:val="4"/>
              </w:rPr>
            </w:r>
          </w:p>
        </w:tc>
      </w:tr>
      <w:tr>
        <w:trPr/>
        <w:tc>
          <w:tcPr>
            <w:tcW w:w="705" w:type="dxa"/>
            <w:tcBorders/>
            <w:shd w:fill="CCEEFF" w:val="clear"/>
            <w:vAlign w:val="center"/>
          </w:tcPr>
          <w:p>
            <w:pPr>
              <w:pStyle w:val="TableContents"/>
              <w:bidi w:val="0"/>
              <w:spacing w:before="0" w:after="283"/>
              <w:jc w:val="left"/>
              <w:rPr>
                <w:rFonts w:ascii="times new roman;times" w:hAnsi="times new roman;times"/>
                <w:color w:val="000000"/>
                <w:sz w:val="20"/>
              </w:rPr>
            </w:pPr>
            <w:r>
              <w:rPr>
                <w:rFonts w:ascii="times new roman;times" w:hAnsi="times new roman;times"/>
                <w:color w:val="000000"/>
                <w:sz w:val="20"/>
              </w:rPr>
              <w:t>Item 1.</w:t>
            </w:r>
            <w:bookmarkStart w:id="24" w:name="BM_BM_RNIT215VHS00000000000000000000"/>
            <w:bookmarkEnd w:id="24"/>
          </w:p>
        </w:tc>
        <w:tc>
          <w:tcPr>
            <w:tcW w:w="9059" w:type="dxa"/>
            <w:tcBorders/>
            <w:shd w:fill="CCEEFF" w:val="clear"/>
            <w:vAlign w:val="center"/>
          </w:tcPr>
          <w:p>
            <w:pPr>
              <w:pStyle w:val="TableContents"/>
              <w:bidi w:val="0"/>
              <w:spacing w:before="0" w:after="283"/>
              <w:ind w:left="0" w:right="0" w:hanging="0"/>
              <w:jc w:val="left"/>
              <w:rPr/>
            </w:pPr>
            <w:hyperlink w:anchor="BM_RNIT215VHS00000000000000000000">
              <w:r>
                <w:rPr>
                  <w:rStyle w:val="InternetLink"/>
                  <w:rFonts w:ascii="times new roman;times" w:hAnsi="times new roman;times"/>
                  <w:sz w:val="20"/>
                </w:rPr>
                <w:t>Legal Proceedings</w:t>
              </w:r>
            </w:hyperlink>
            <w:bookmarkStart w:id="25" w:name="BMP_BM_RNIT215VHS00000000000000000000"/>
            <w:bookmarkEnd w:id="25"/>
          </w:p>
        </w:tc>
        <w:tc>
          <w:tcPr>
            <w:tcW w:w="441" w:type="dxa"/>
            <w:tcBorders/>
            <w:shd w:fill="CCEEFF" w:val="clear"/>
            <w:vAlign w:val="center"/>
          </w:tcPr>
          <w:p>
            <w:pPr>
              <w:pStyle w:val="TableContents"/>
              <w:bidi w:val="0"/>
              <w:spacing w:before="0" w:after="0"/>
              <w:jc w:val="center"/>
              <w:rPr/>
            </w:pPr>
            <w:r>
              <w:rPr/>
              <w:t>41</w:t>
            </w:r>
          </w:p>
        </w:tc>
      </w:tr>
      <w:tr>
        <w:trPr/>
        <w:tc>
          <w:tcPr>
            <w:tcW w:w="705" w:type="dxa"/>
            <w:tcBorders/>
            <w:vAlign w:val="center"/>
          </w:tcPr>
          <w:p>
            <w:pPr>
              <w:pStyle w:val="TableContents"/>
              <w:bidi w:val="0"/>
              <w:spacing w:before="0" w:after="283"/>
              <w:jc w:val="left"/>
              <w:rPr>
                <w:rFonts w:ascii="times new roman;times" w:hAnsi="times new roman;times"/>
                <w:color w:val="000000"/>
                <w:sz w:val="20"/>
              </w:rPr>
            </w:pPr>
            <w:r>
              <w:rPr>
                <w:rFonts w:ascii="times new roman;times" w:hAnsi="times new roman;times"/>
                <w:color w:val="000000"/>
                <w:sz w:val="20"/>
              </w:rPr>
              <w:t>Item 1A.</w:t>
            </w:r>
            <w:bookmarkStart w:id="26" w:name="BM_BN_7MHUS74L4000000000000000000000"/>
            <w:bookmarkEnd w:id="26"/>
          </w:p>
        </w:tc>
        <w:tc>
          <w:tcPr>
            <w:tcW w:w="9059" w:type="dxa"/>
            <w:tcBorders/>
            <w:vAlign w:val="center"/>
          </w:tcPr>
          <w:p>
            <w:pPr>
              <w:pStyle w:val="TableContents"/>
              <w:bidi w:val="0"/>
              <w:spacing w:before="0" w:after="283"/>
              <w:ind w:left="0" w:right="0" w:hanging="0"/>
              <w:jc w:val="left"/>
              <w:rPr/>
            </w:pPr>
            <w:hyperlink w:anchor="BN_7MHUS74L4000000000000000000000">
              <w:r>
                <w:rPr>
                  <w:rStyle w:val="InternetLink"/>
                  <w:rFonts w:ascii="times new roman;times" w:hAnsi="times new roman;times"/>
                  <w:sz w:val="20"/>
                </w:rPr>
                <w:t>Risk Factors</w:t>
              </w:r>
            </w:hyperlink>
            <w:bookmarkStart w:id="27" w:name="BMP_BN_7MHUS74L4000000000000000000000"/>
            <w:bookmarkEnd w:id="27"/>
          </w:p>
        </w:tc>
        <w:tc>
          <w:tcPr>
            <w:tcW w:w="441" w:type="dxa"/>
            <w:tcBorders/>
            <w:vAlign w:val="center"/>
          </w:tcPr>
          <w:p>
            <w:pPr>
              <w:pStyle w:val="TableContents"/>
              <w:bidi w:val="0"/>
              <w:spacing w:before="0" w:after="0"/>
              <w:jc w:val="center"/>
              <w:rPr/>
            </w:pPr>
            <w:r>
              <w:rPr/>
              <w:t>42</w:t>
            </w:r>
          </w:p>
        </w:tc>
      </w:tr>
      <w:tr>
        <w:trPr/>
        <w:tc>
          <w:tcPr>
            <w:tcW w:w="705" w:type="dxa"/>
            <w:tcBorders/>
            <w:shd w:fill="CCEEFF" w:val="clear"/>
            <w:vAlign w:val="center"/>
          </w:tcPr>
          <w:p>
            <w:pPr>
              <w:pStyle w:val="TableContents"/>
              <w:bidi w:val="0"/>
              <w:spacing w:before="0" w:after="283"/>
              <w:jc w:val="left"/>
              <w:rPr>
                <w:rFonts w:ascii="times new roman;times" w:hAnsi="times new roman;times"/>
                <w:color w:val="000000"/>
                <w:sz w:val="20"/>
              </w:rPr>
            </w:pPr>
            <w:r>
              <w:rPr>
                <w:rFonts w:ascii="times new roman;times" w:hAnsi="times new roman;times"/>
                <w:color w:val="000000"/>
                <w:sz w:val="20"/>
              </w:rPr>
              <w:t>Item 2.</w:t>
            </w:r>
            <w:bookmarkStart w:id="28" w:name="BM_BO_IIRO4FFNM800000000000000000000"/>
            <w:bookmarkEnd w:id="28"/>
          </w:p>
        </w:tc>
        <w:tc>
          <w:tcPr>
            <w:tcW w:w="9059" w:type="dxa"/>
            <w:tcBorders/>
            <w:shd w:fill="CCEEFF" w:val="clear"/>
            <w:vAlign w:val="center"/>
          </w:tcPr>
          <w:p>
            <w:pPr>
              <w:pStyle w:val="TableContents"/>
              <w:bidi w:val="0"/>
              <w:spacing w:before="0" w:after="283"/>
              <w:ind w:left="0" w:right="0" w:hanging="0"/>
              <w:jc w:val="left"/>
              <w:rPr/>
            </w:pPr>
            <w:hyperlink w:anchor="BO_IIRO4FFNM800000000000000000000">
              <w:r>
                <w:rPr>
                  <w:rStyle w:val="InternetLink"/>
                  <w:rFonts w:ascii="times new roman;times" w:hAnsi="times new roman;times"/>
                  <w:sz w:val="20"/>
                </w:rPr>
                <w:t>Unregistered Sales of Equity Securities and Use of Proceeds</w:t>
              </w:r>
            </w:hyperlink>
            <w:bookmarkStart w:id="29" w:name="BMP_BO_IIRO4FFNM800000000000000000000"/>
            <w:bookmarkEnd w:id="29"/>
          </w:p>
        </w:tc>
        <w:tc>
          <w:tcPr>
            <w:tcW w:w="441" w:type="dxa"/>
            <w:tcBorders/>
            <w:shd w:fill="CCEEFF" w:val="clear"/>
            <w:vAlign w:val="center"/>
          </w:tcPr>
          <w:p>
            <w:pPr>
              <w:pStyle w:val="TableContents"/>
              <w:bidi w:val="0"/>
              <w:spacing w:before="0" w:after="0"/>
              <w:jc w:val="center"/>
              <w:rPr/>
            </w:pPr>
            <w:r>
              <w:rPr/>
              <w:t>42</w:t>
            </w:r>
          </w:p>
        </w:tc>
      </w:tr>
      <w:tr>
        <w:trPr/>
        <w:tc>
          <w:tcPr>
            <w:tcW w:w="705" w:type="dxa"/>
            <w:tcBorders/>
            <w:vAlign w:val="center"/>
          </w:tcPr>
          <w:p>
            <w:pPr>
              <w:pStyle w:val="TableContents"/>
              <w:bidi w:val="0"/>
              <w:spacing w:before="0" w:after="283"/>
              <w:jc w:val="left"/>
              <w:rPr/>
            </w:pPr>
            <w:r>
              <w:rPr/>
              <w:t>Item 5</w:t>
            </w:r>
            <w:bookmarkStart w:id="30" w:name="BM_Bitem5.1_2102023194952769"/>
            <w:bookmarkEnd w:id="30"/>
          </w:p>
        </w:tc>
        <w:tc>
          <w:tcPr>
            <w:tcW w:w="9059" w:type="dxa"/>
            <w:tcBorders/>
            <w:vAlign w:val="center"/>
          </w:tcPr>
          <w:p>
            <w:pPr>
              <w:pStyle w:val="TableContents"/>
              <w:bidi w:val="0"/>
              <w:spacing w:before="0" w:after="283"/>
              <w:ind w:left="0" w:right="0" w:hanging="0"/>
              <w:jc w:val="left"/>
              <w:rPr/>
            </w:pPr>
            <w:hyperlink w:anchor="Bitem5.1_2102023194952769">
              <w:r>
                <w:rPr>
                  <w:rStyle w:val="InternetLink"/>
                  <w:rFonts w:ascii="times new roman;times" w:hAnsi="times new roman;times"/>
                  <w:sz w:val="20"/>
                </w:rPr>
                <w:t>Other Information</w:t>
              </w:r>
            </w:hyperlink>
            <w:bookmarkStart w:id="31" w:name="BMP_Bitem5.1_2102023194952769"/>
            <w:bookmarkEnd w:id="31"/>
          </w:p>
        </w:tc>
        <w:tc>
          <w:tcPr>
            <w:tcW w:w="441" w:type="dxa"/>
            <w:tcBorders/>
            <w:vAlign w:val="center"/>
          </w:tcPr>
          <w:p>
            <w:pPr>
              <w:pStyle w:val="TableContents"/>
              <w:bidi w:val="0"/>
              <w:spacing w:before="0" w:after="0"/>
              <w:jc w:val="center"/>
              <w:rPr/>
            </w:pPr>
            <w:r>
              <w:rPr/>
              <w:t>42</w:t>
            </w:r>
          </w:p>
        </w:tc>
      </w:tr>
      <w:tr>
        <w:trPr/>
        <w:tc>
          <w:tcPr>
            <w:tcW w:w="705" w:type="dxa"/>
            <w:tcBorders/>
            <w:shd w:fill="CCEEFF" w:val="clear"/>
            <w:vAlign w:val="center"/>
          </w:tcPr>
          <w:p>
            <w:pPr>
              <w:pStyle w:val="TableContents"/>
              <w:bidi w:val="0"/>
              <w:spacing w:before="0" w:after="283"/>
              <w:jc w:val="left"/>
              <w:rPr>
                <w:rFonts w:ascii="times new roman;times" w:hAnsi="times new roman;times"/>
                <w:color w:val="000000"/>
                <w:sz w:val="20"/>
              </w:rPr>
            </w:pPr>
            <w:r>
              <w:rPr>
                <w:rFonts w:ascii="times new roman;times" w:hAnsi="times new roman;times"/>
                <w:color w:val="000000"/>
                <w:sz w:val="20"/>
              </w:rPr>
              <w:t>Item 6.</w:t>
            </w:r>
            <w:bookmarkStart w:id="32" w:name="BM_BP_FLMNPYLHE800000000000000000000"/>
            <w:bookmarkEnd w:id="32"/>
          </w:p>
        </w:tc>
        <w:tc>
          <w:tcPr>
            <w:tcW w:w="9059" w:type="dxa"/>
            <w:tcBorders/>
            <w:shd w:fill="CCEEFF" w:val="clear"/>
            <w:vAlign w:val="center"/>
          </w:tcPr>
          <w:p>
            <w:pPr>
              <w:pStyle w:val="TableContents"/>
              <w:bidi w:val="0"/>
              <w:spacing w:before="0" w:after="283"/>
              <w:ind w:left="0" w:right="0" w:hanging="0"/>
              <w:jc w:val="left"/>
              <w:rPr/>
            </w:pPr>
            <w:hyperlink w:anchor="BP_FLMNPYLHE800000000000000000000">
              <w:r>
                <w:rPr>
                  <w:rStyle w:val="InternetLink"/>
                  <w:rFonts w:ascii="times new roman;times" w:hAnsi="times new roman;times"/>
                  <w:sz w:val="20"/>
                </w:rPr>
                <w:t>Exhibits</w:t>
              </w:r>
            </w:hyperlink>
            <w:bookmarkStart w:id="33" w:name="BMP_BP_FLMNPYLHE800000000000000000000"/>
            <w:bookmarkEnd w:id="33"/>
          </w:p>
        </w:tc>
        <w:tc>
          <w:tcPr>
            <w:tcW w:w="441" w:type="dxa"/>
            <w:tcBorders/>
            <w:shd w:fill="CCEEFF" w:val="clear"/>
            <w:vAlign w:val="center"/>
          </w:tcPr>
          <w:p>
            <w:pPr>
              <w:pStyle w:val="TableContents"/>
              <w:bidi w:val="0"/>
              <w:spacing w:before="0" w:after="0"/>
              <w:jc w:val="center"/>
              <w:rPr/>
            </w:pPr>
            <w:r>
              <w:rPr/>
              <w:t>43</w:t>
            </w:r>
          </w:p>
        </w:tc>
      </w:tr>
      <w:tr>
        <w:trPr/>
        <w:tc>
          <w:tcPr>
            <w:tcW w:w="705" w:type="dxa"/>
            <w:tcBorders/>
            <w:vAlign w:val="center"/>
          </w:tcPr>
          <w:p>
            <w:pPr>
              <w:pStyle w:val="TableContents"/>
              <w:bidi w:val="0"/>
              <w:spacing w:before="0" w:after="283"/>
              <w:jc w:val="left"/>
              <w:rPr>
                <w:sz w:val="4"/>
                <w:szCs w:val="4"/>
              </w:rPr>
            </w:pPr>
            <w:r>
              <w:rPr>
                <w:sz w:val="4"/>
                <w:szCs w:val="4"/>
              </w:rPr>
            </w:r>
            <w:bookmarkStart w:id="34" w:name="BM_BQ_94FYEIYU6800000000000000000000"/>
            <w:bookmarkStart w:id="35" w:name="BM_BQ_94FYEIYU6800000000000000000000"/>
            <w:bookmarkEnd w:id="35"/>
          </w:p>
        </w:tc>
        <w:tc>
          <w:tcPr>
            <w:tcW w:w="9059" w:type="dxa"/>
            <w:tcBorders/>
            <w:vAlign w:val="center"/>
          </w:tcPr>
          <w:p>
            <w:pPr>
              <w:pStyle w:val="TableContents"/>
              <w:bidi w:val="0"/>
              <w:spacing w:before="0" w:after="283"/>
              <w:ind w:left="0" w:right="0" w:hanging="0"/>
              <w:jc w:val="left"/>
              <w:rPr/>
            </w:pPr>
            <w:hyperlink w:anchor="BQ_94FYEIYU6800000000000000000000">
              <w:r>
                <w:rPr>
                  <w:rStyle w:val="InternetLink"/>
                  <w:rFonts w:ascii="times new roman;times" w:hAnsi="times new roman;times"/>
                  <w:sz w:val="20"/>
                </w:rPr>
                <w:t>Signatures</w:t>
              </w:r>
            </w:hyperlink>
            <w:bookmarkStart w:id="36" w:name="BMP_BQ_94FYEIYU6800000000000000000000"/>
            <w:bookmarkEnd w:id="36"/>
          </w:p>
        </w:tc>
        <w:tc>
          <w:tcPr>
            <w:tcW w:w="441" w:type="dxa"/>
            <w:tcBorders/>
            <w:vAlign w:val="center"/>
          </w:tcPr>
          <w:p>
            <w:pPr>
              <w:pStyle w:val="TableContents"/>
              <w:bidi w:val="0"/>
              <w:spacing w:before="0" w:after="0"/>
              <w:jc w:val="center"/>
              <w:rPr/>
            </w:pPr>
            <w:r>
              <w:rPr/>
              <w:t>44</w:t>
            </w:r>
          </w:p>
        </w:tc>
      </w:tr>
    </w:tbl>
    <w:p>
      <w:pPr>
        <w:pStyle w:val="TextBody"/>
        <w:bidi w:val="0"/>
        <w:spacing w:before="0" w:after="0"/>
        <w:ind w:left="0" w:right="0" w:hanging="0"/>
        <w:jc w:val="both"/>
        <w:rPr/>
      </w:pPr>
      <w:r>
        <w:rPr/>
        <w:t> </w:t>
      </w:r>
    </w:p>
    <w:p>
      <w:pPr>
        <w:pStyle w:val="HorizontalLine"/>
        <w:bidi w:val="0"/>
        <w:spacing w:before="0" w:after="0"/>
        <w:jc w:val="left"/>
        <w:rPr/>
      </w:pPr>
      <w:r>
        <w:rPr/>
      </w:r>
    </w:p>
    <w:p>
      <w:pPr>
        <w:pStyle w:val="TextBody"/>
        <w:bidi w:val="0"/>
        <w:spacing w:before="0" w:after="0"/>
        <w:jc w:val="left"/>
        <w:rPr/>
      </w:pPr>
      <w:r>
        <w:rPr/>
      </w:r>
    </w:p>
    <w:p>
      <w:pPr>
        <w:pStyle w:val="TextBody"/>
        <w:widowControl/>
        <w:bidi w:val="0"/>
        <w:spacing w:lineRule="atLeast" w:line="240"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pPr>
      <w:hyperlink w:anchor="TOC">
        <w:bookmarkStart w:id="37" w:name="BA_7QIWQ1779S00000000000000000000"/>
        <w:bookmarkEnd w:id="37"/>
        <w:r>
          <w:rPr>
            <w:rStyle w:val="InternetLink"/>
            <w:caps w:val="false"/>
            <w:smallCaps w:val="false"/>
            <w:strike w:val="false"/>
            <w:dstrike w:val="false"/>
            <w:color w:val="000000"/>
            <w:spacing w:val="0"/>
            <w:u w:val="none"/>
            <w:effect w:val="none"/>
          </w:rPr>
          <w:t> </w:t>
        </w:r>
      </w:hyperlink>
      <w:hyperlink w:anchor="TOC">
        <w:r>
          <w:rPr>
            <w:rStyle w:val="InternetLink"/>
            <w:rFonts w:ascii="times new roman;times" w:hAnsi="times new roman;times"/>
            <w:b/>
            <w:i w:val="false"/>
            <w:caps w:val="false"/>
            <w:smallCaps w:val="false"/>
            <w:strike w:val="false"/>
            <w:dstrike w:val="false"/>
            <w:color w:val="000000"/>
            <w:spacing w:val="0"/>
            <w:sz w:val="20"/>
            <w:u w:val="none"/>
            <w:effect w:val="none"/>
          </w:rPr>
          <w:t>PART I—FINANCIAL INFORMATION</w:t>
        </w:r>
      </w:hyperlink>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r>
    </w:p>
    <w:p>
      <w:pPr>
        <w:pStyle w:val="TextBody"/>
        <w:widowControl/>
        <w:bidi w:val="0"/>
        <w:spacing w:before="0" w:after="0"/>
        <w:ind w:left="0" w:right="0" w:hanging="0"/>
        <w:jc w:val="left"/>
        <w:rPr/>
      </w:pPr>
      <w:hyperlink w:anchor="TOC">
        <w:bookmarkStart w:id="38" w:name="BB_9BAVOBGEQ800000000000000000000"/>
        <w:bookmarkEnd w:id="38"/>
        <w:r>
          <w:rPr>
            <w:rStyle w:val="InternetLink"/>
            <w:rFonts w:ascii="times new roman;times" w:hAnsi="times new roman;times"/>
            <w:b/>
            <w:i w:val="false"/>
            <w:caps w:val="false"/>
            <w:smallCaps w:val="false"/>
            <w:strike w:val="false"/>
            <w:dstrike w:val="false"/>
            <w:color w:val="000000"/>
            <w:spacing w:val="0"/>
            <w:sz w:val="20"/>
            <w:u w:val="none"/>
            <w:effect w:val="none"/>
          </w:rPr>
          <w:t xml:space="preserve">ITEM </w:t>
        </w:r>
      </w:hyperlink>
      <w:hyperlink w:anchor="TOC">
        <w:r>
          <w:rPr>
            <w:rStyle w:val="InternetLink"/>
            <w:rFonts w:ascii="times new roman;times" w:hAnsi="times new roman;times"/>
            <w:b/>
            <w:i w:val="false"/>
            <w:caps w:val="false"/>
            <w:smallCaps w:val="false"/>
            <w:strike w:val="false"/>
            <w:dstrike w:val="false"/>
            <w:color w:val="000000"/>
            <w:spacing w:val="0"/>
            <w:sz w:val="20"/>
            <w:u w:val="none"/>
            <w:effect w:val="none"/>
          </w:rPr>
          <w:t>1</w:t>
        </w:r>
      </w:hyperlink>
      <w:hyperlink w:anchor="TOC">
        <w:r>
          <w:rPr>
            <w:rStyle w:val="InternetLink"/>
            <w:rFonts w:ascii="times new roman;times" w:hAnsi="times new roman;times"/>
            <w:b/>
            <w:i w:val="false"/>
            <w:caps w:val="false"/>
            <w:smallCaps w:val="false"/>
            <w:strike w:val="false"/>
            <w:dstrike w:val="false"/>
            <w:color w:val="000000"/>
            <w:spacing w:val="0"/>
            <w:sz w:val="20"/>
            <w:u w:val="none"/>
            <w:effect w:val="none"/>
          </w:rPr>
          <w:t>. FINANCIAL STATEMENTS (UNAUDITED)</w:t>
        </w:r>
      </w:hyperlink>
    </w:p>
    <w:p>
      <w:pPr>
        <w:pStyle w:val="TextBody"/>
        <w:widowControl/>
        <w:bidi w:val="0"/>
        <w:spacing w:before="0" w:after="0"/>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EURONET WORLDWIDE, INC. AND SUBSIDIARIES</w:t>
      </w:r>
    </w:p>
    <w:p>
      <w:pPr>
        <w:pStyle w:val="TextBody"/>
        <w:widowControl/>
        <w:bidi w:val="0"/>
        <w:spacing w:before="0" w:after="0"/>
        <w:ind w:left="0" w:right="0" w:hanging="0"/>
        <w:jc w:val="left"/>
        <w:rPr/>
      </w:pPr>
      <w:hyperlink w:anchor="TOC">
        <w:bookmarkStart w:id="39" w:name="BC_XC3MA3XVTC00000000000000000000"/>
        <w:bookmarkEnd w:id="39"/>
        <w:r>
          <w:rPr>
            <w:rStyle w:val="InternetLink"/>
            <w:rFonts w:ascii="Times New Roman" w:hAnsi="Times New Roman"/>
            <w:b/>
            <w:i w:val="false"/>
            <w:caps w:val="false"/>
            <w:smallCaps w:val="false"/>
            <w:strike w:val="false"/>
            <w:dstrike w:val="false"/>
            <w:color w:val="000000"/>
            <w:spacing w:val="0"/>
            <w:sz w:val="20"/>
            <w:u w:val="none"/>
            <w:effect w:val="none"/>
          </w:rPr>
          <w:t>CONSOLIDATED BALANCE SHEETS</w:t>
        </w:r>
      </w:hyperlink>
    </w:p>
    <w:p>
      <w:pPr>
        <w:pStyle w:val="TextBody"/>
        <w:widowControl/>
        <w:bidi w:val="0"/>
        <w:spacing w:before="0" w:after="0"/>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(In millions, except share and per share data)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10205" w:type="dxa"/>
        <w:jc w:val="left"/>
        <w:tblInd w:w="0" w:type="dxa"/>
        <w:tblLayout w:type="fixed"/>
        <w:tblCellMar>
          <w:top w:w="0" w:type="dxa"/>
          <w:left w:w="0" w:type="dxa"/>
          <w:bottom w:w="0" w:type="dxa"/>
          <w:right w:w="0" w:type="dxa"/>
        </w:tblCellMar>
      </w:tblPr>
      <w:tblGrid>
        <w:gridCol w:w="8060"/>
        <w:gridCol w:w="140"/>
        <w:gridCol w:w="740"/>
        <w:gridCol w:w="95"/>
        <w:gridCol w:w="60"/>
        <w:gridCol w:w="158"/>
        <w:gridCol w:w="841"/>
        <w:gridCol w:w="111"/>
      </w:tblGrid>
      <w:tr>
        <w:trPr/>
        <w:tc>
          <w:tcPr>
            <w:tcW w:w="8060" w:type="dxa"/>
            <w:tcBorders/>
            <w:vAlign w:val="center"/>
          </w:tcPr>
          <w:p>
            <w:pPr>
              <w:pStyle w:val="TableContents"/>
              <w:bidi w:val="0"/>
              <w:spacing w:before="0" w:after="0"/>
              <w:jc w:val="left"/>
              <w:rPr/>
            </w:pPr>
            <w:r>
              <w:rPr/>
              <w:t> </w:t>
            </w:r>
          </w:p>
        </w:tc>
        <w:tc>
          <w:tcPr>
            <w:tcW w:w="2034" w:type="dxa"/>
            <w:gridSpan w:val="6"/>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As of</w:t>
            </w:r>
          </w:p>
        </w:tc>
        <w:tc>
          <w:tcPr>
            <w:tcW w:w="111" w:type="dxa"/>
            <w:tcBorders/>
            <w:vAlign w:val="center"/>
          </w:tcPr>
          <w:p>
            <w:pPr>
              <w:pStyle w:val="TableContents"/>
              <w:bidi w:val="0"/>
              <w:spacing w:before="0" w:after="0"/>
              <w:jc w:val="center"/>
              <w:rPr>
                <w:sz w:val="16"/>
              </w:rPr>
            </w:pPr>
            <w:r>
              <w:rPr>
                <w:sz w:val="16"/>
              </w:rPr>
            </w:r>
          </w:p>
        </w:tc>
      </w:tr>
      <w:tr>
        <w:trPr/>
        <w:tc>
          <w:tcPr>
            <w:tcW w:w="8060" w:type="dxa"/>
            <w:tcBorders/>
            <w:vAlign w:val="center"/>
          </w:tcPr>
          <w:p>
            <w:pPr>
              <w:pStyle w:val="TableContents"/>
              <w:bidi w:val="0"/>
              <w:spacing w:before="0" w:after="0"/>
              <w:jc w:val="left"/>
              <w:rPr/>
            </w:pPr>
            <w:r>
              <w:rPr/>
              <w:t> </w:t>
            </w:r>
          </w:p>
        </w:tc>
        <w:tc>
          <w:tcPr>
            <w:tcW w:w="880" w:type="dxa"/>
            <w:gridSpan w:val="2"/>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June 30,</w:t>
              <w:br/>
              <w:t>2024</w:t>
            </w:r>
          </w:p>
        </w:tc>
        <w:tc>
          <w:tcPr>
            <w:tcW w:w="95" w:type="dxa"/>
            <w:tcBorders/>
            <w:vAlign w:val="center"/>
          </w:tcPr>
          <w:p>
            <w:pPr>
              <w:pStyle w:val="TableContents"/>
              <w:bidi w:val="0"/>
              <w:spacing w:before="0" w:after="0"/>
              <w:jc w:val="center"/>
              <w:rPr>
                <w:sz w:val="16"/>
              </w:rPr>
            </w:pPr>
            <w:r>
              <w:rPr>
                <w:sz w:val="16"/>
              </w:rPr>
            </w:r>
          </w:p>
        </w:tc>
        <w:tc>
          <w:tcPr>
            <w:tcW w:w="60" w:type="dxa"/>
            <w:tcBorders/>
            <w:vAlign w:val="center"/>
          </w:tcPr>
          <w:p>
            <w:pPr>
              <w:pStyle w:val="TableContents"/>
              <w:bidi w:val="0"/>
              <w:spacing w:before="0" w:after="0"/>
              <w:jc w:val="left"/>
              <w:rPr/>
            </w:pPr>
            <w:r>
              <w:rPr/>
              <w:t> </w:t>
            </w:r>
          </w:p>
        </w:tc>
        <w:tc>
          <w:tcPr>
            <w:tcW w:w="999" w:type="dxa"/>
            <w:gridSpan w:val="2"/>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December 31,</w:t>
            </w:r>
          </w:p>
          <w:p>
            <w:pPr>
              <w:pStyle w:val="TableContents"/>
              <w:bidi w:val="0"/>
              <w:spacing w:before="0" w:after="0"/>
              <w:jc w:val="center"/>
              <w:rPr>
                <w:rFonts w:ascii="times new roman;times" w:hAnsi="times new roman;times"/>
                <w:b/>
                <w:sz w:val="16"/>
              </w:rPr>
            </w:pPr>
            <w:r>
              <w:rPr>
                <w:rFonts w:ascii="times new roman;times" w:hAnsi="times new roman;times"/>
                <w:b/>
                <w:sz w:val="16"/>
              </w:rPr>
              <w:t>2023</w:t>
            </w:r>
          </w:p>
        </w:tc>
        <w:tc>
          <w:tcPr>
            <w:tcW w:w="111" w:type="dxa"/>
            <w:tcBorders/>
            <w:vAlign w:val="center"/>
          </w:tcPr>
          <w:p>
            <w:pPr>
              <w:pStyle w:val="TableContents"/>
              <w:bidi w:val="0"/>
              <w:spacing w:before="0" w:after="0"/>
              <w:jc w:val="center"/>
              <w:rPr>
                <w:sz w:val="16"/>
              </w:rPr>
            </w:pPr>
            <w:r>
              <w:rPr>
                <w:sz w:val="16"/>
              </w:rPr>
            </w:r>
          </w:p>
        </w:tc>
      </w:tr>
      <w:tr>
        <w:trPr/>
        <w:tc>
          <w:tcPr>
            <w:tcW w:w="8060" w:type="dxa"/>
            <w:tcBorders/>
            <w:vAlign w:val="center"/>
          </w:tcPr>
          <w:p>
            <w:pPr>
              <w:pStyle w:val="TableContents"/>
              <w:bidi w:val="0"/>
              <w:spacing w:before="0" w:after="0"/>
              <w:jc w:val="left"/>
              <w:rPr/>
            </w:pPr>
            <w:r>
              <w:rPr/>
              <w:t> </w:t>
            </w:r>
          </w:p>
        </w:tc>
        <w:tc>
          <w:tcPr>
            <w:tcW w:w="975" w:type="dxa"/>
            <w:gridSpan w:val="3"/>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(unaudited)</w:t>
            </w:r>
          </w:p>
        </w:tc>
        <w:tc>
          <w:tcPr>
            <w:tcW w:w="60" w:type="dxa"/>
            <w:tcBorders/>
            <w:vAlign w:val="center"/>
          </w:tcPr>
          <w:p>
            <w:pPr>
              <w:pStyle w:val="TableContents"/>
              <w:bidi w:val="0"/>
              <w:spacing w:before="0" w:after="0"/>
              <w:jc w:val="left"/>
              <w:rPr/>
            </w:pPr>
            <w:r>
              <w:rPr/>
              <w:t> </w:t>
            </w:r>
          </w:p>
        </w:tc>
        <w:tc>
          <w:tcPr>
            <w:tcW w:w="1110" w:type="dxa"/>
            <w:gridSpan w:val="3"/>
            <w:tcBorders/>
            <w:vAlign w:val="center"/>
          </w:tcPr>
          <w:p>
            <w:pPr>
              <w:pStyle w:val="TableContents"/>
              <w:bidi w:val="0"/>
              <w:spacing w:before="0" w:after="0"/>
              <w:jc w:val="left"/>
              <w:rPr/>
            </w:pPr>
            <w:r>
              <w:rPr/>
              <w:t> </w:t>
            </w:r>
          </w:p>
        </w:tc>
      </w:tr>
      <w:tr>
        <w:trPr/>
        <w:tc>
          <w:tcPr>
            <w:tcW w:w="8060"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ASSETS</w:t>
            </w:r>
          </w:p>
        </w:tc>
        <w:tc>
          <w:tcPr>
            <w:tcW w:w="975" w:type="dxa"/>
            <w:gridSpan w:val="3"/>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10" w:type="dxa"/>
            <w:gridSpan w:val="3"/>
            <w:tcBorders/>
            <w:shd w:fill="CCEEFF" w:val="clear"/>
            <w:vAlign w:val="center"/>
          </w:tcPr>
          <w:p>
            <w:pPr>
              <w:pStyle w:val="TableContents"/>
              <w:bidi w:val="0"/>
              <w:spacing w:before="0" w:after="0"/>
              <w:jc w:val="left"/>
              <w:rPr/>
            </w:pPr>
            <w:r>
              <w:rPr/>
              <w:t> </w:t>
            </w:r>
          </w:p>
        </w:tc>
      </w:tr>
      <w:tr>
        <w:trPr/>
        <w:tc>
          <w:tcPr>
            <w:tcW w:w="8060"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Current assets:</w:t>
            </w:r>
          </w:p>
        </w:tc>
        <w:tc>
          <w:tcPr>
            <w:tcW w:w="975" w:type="dxa"/>
            <w:gridSpan w:val="3"/>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110" w:type="dxa"/>
            <w:gridSpan w:val="3"/>
            <w:tcBorders/>
            <w:vAlign w:val="center"/>
          </w:tcPr>
          <w:p>
            <w:pPr>
              <w:pStyle w:val="TableContents"/>
              <w:bidi w:val="0"/>
              <w:spacing w:before="0" w:after="0"/>
              <w:ind w:left="0" w:right="0" w:hanging="0"/>
              <w:jc w:val="left"/>
              <w:rPr/>
            </w:pPr>
            <w:r>
              <w:rPr/>
              <w:t> </w:t>
            </w:r>
          </w:p>
        </w:tc>
      </w:tr>
      <w:tr>
        <w:trPr/>
        <w:tc>
          <w:tcPr>
            <w:tcW w:w="8060"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Cash and cash equivalents</w:t>
            </w:r>
            <w:r>
              <w:rPr>
                <w:rFonts w:ascii="times new roman;times" w:hAnsi="times new roman;times"/>
                <w:sz w:val="20"/>
              </w:rPr>
              <w:t> </w:t>
            </w:r>
          </w:p>
        </w:tc>
        <w:tc>
          <w:tcPr>
            <w:tcW w:w="140" w:type="dxa"/>
            <w:tcBorders/>
            <w:shd w:fill="CCEEFF" w:val="clear"/>
            <w:vAlign w:val="center"/>
          </w:tcPr>
          <w:p>
            <w:pPr>
              <w:pStyle w:val="TableContents"/>
              <w:bidi w:val="0"/>
              <w:spacing w:before="0" w:after="0"/>
              <w:ind w:left="0" w:right="0" w:hanging="0"/>
              <w:jc w:val="left"/>
              <w:rPr>
                <w:rFonts w:ascii="inherit" w:hAnsi="inherit"/>
                <w:sz w:val="20"/>
              </w:rPr>
            </w:pPr>
            <w:r>
              <w:rPr>
                <w:rFonts w:ascii="inherit" w:hAnsi="inherit"/>
                <w:sz w:val="20"/>
              </w:rPr>
              <w:t>$</w:t>
            </w:r>
          </w:p>
        </w:tc>
        <w:tc>
          <w:tcPr>
            <w:tcW w:w="740" w:type="dxa"/>
            <w:tcBorders/>
            <w:shd w:fill="CCEEFF" w:val="clear"/>
            <w:vAlign w:val="center"/>
          </w:tcPr>
          <w:p>
            <w:pPr>
              <w:pStyle w:val="TableContents"/>
              <w:bidi w:val="0"/>
              <w:spacing w:before="0" w:after="0"/>
              <w:ind w:left="0" w:right="0" w:hanging="0"/>
              <w:jc w:val="right"/>
              <w:rPr>
                <w:rFonts w:ascii="inherit" w:hAnsi="inherit"/>
                <w:sz w:val="20"/>
              </w:rPr>
            </w:pPr>
            <w:r>
              <w:rPr>
                <w:rFonts w:ascii="inherit" w:hAnsi="inherit"/>
                <w:sz w:val="20"/>
              </w:rPr>
              <w:t>1,271.8</w:t>
            </w:r>
          </w:p>
        </w:tc>
        <w:tc>
          <w:tcPr>
            <w:tcW w:w="95"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rFonts w:ascii="inherit" w:hAnsi="inherit"/>
                <w:sz w:val="20"/>
              </w:rPr>
            </w:pPr>
            <w:r>
              <w:rPr>
                <w:rFonts w:ascii="inherit" w:hAnsi="inherit"/>
                <w:sz w:val="20"/>
              </w:rPr>
              <w:t>$</w:t>
            </w:r>
          </w:p>
        </w:tc>
        <w:tc>
          <w:tcPr>
            <w:tcW w:w="841" w:type="dxa"/>
            <w:tcBorders/>
            <w:shd w:fill="CCEEFF" w:val="clear"/>
            <w:vAlign w:val="center"/>
          </w:tcPr>
          <w:p>
            <w:pPr>
              <w:pStyle w:val="TableContents"/>
              <w:bidi w:val="0"/>
              <w:spacing w:before="0" w:after="0"/>
              <w:ind w:left="0" w:right="0" w:hanging="0"/>
              <w:jc w:val="right"/>
              <w:rPr>
                <w:rFonts w:ascii="inherit" w:hAnsi="inherit"/>
                <w:sz w:val="20"/>
              </w:rPr>
            </w:pPr>
            <w:r>
              <w:rPr>
                <w:rFonts w:ascii="inherit" w:hAnsi="inherit"/>
                <w:sz w:val="20"/>
              </w:rPr>
              <w:t>1,254.2</w:t>
            </w:r>
          </w:p>
        </w:tc>
        <w:tc>
          <w:tcPr>
            <w:tcW w:w="111"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8060"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ATM cash</w:t>
            </w:r>
          </w:p>
        </w:tc>
        <w:tc>
          <w:tcPr>
            <w:tcW w:w="880" w:type="dxa"/>
            <w:gridSpan w:val="2"/>
            <w:tcBorders/>
            <w:vAlign w:val="center"/>
          </w:tcPr>
          <w:p>
            <w:pPr>
              <w:pStyle w:val="TableContents"/>
              <w:bidi w:val="0"/>
              <w:spacing w:before="0" w:after="0"/>
              <w:ind w:left="0" w:right="0" w:hanging="0"/>
              <w:jc w:val="right"/>
              <w:rPr>
                <w:rFonts w:ascii="inherit" w:hAnsi="inherit"/>
                <w:sz w:val="20"/>
              </w:rPr>
            </w:pPr>
            <w:r>
              <w:rPr>
                <w:rFonts w:ascii="inherit" w:hAnsi="inherit"/>
                <w:sz w:val="20"/>
              </w:rPr>
              <w:t>795.6</w:t>
            </w:r>
          </w:p>
        </w:tc>
        <w:tc>
          <w:tcPr>
            <w:tcW w:w="95" w:type="dxa"/>
            <w:tcBorders/>
            <w:vAlign w:val="center"/>
          </w:tcPr>
          <w:p>
            <w:pPr>
              <w:pStyle w:val="TableContents"/>
              <w:bidi w:val="0"/>
              <w:spacing w:before="0" w:after="283"/>
              <w:ind w:left="0" w:right="0" w:hanging="0"/>
              <w:jc w:val="left"/>
              <w:rPr>
                <w:sz w:val="4"/>
                <w:szCs w:val="4"/>
              </w:rPr>
            </w:pPr>
            <w:r>
              <w:rPr>
                <w:sz w:val="4"/>
                <w:szCs w:val="4"/>
              </w:rPr>
            </w:r>
          </w:p>
        </w:tc>
        <w:tc>
          <w:tcPr>
            <w:tcW w:w="60" w:type="dxa"/>
            <w:tcBorders/>
            <w:vAlign w:val="center"/>
          </w:tcPr>
          <w:p>
            <w:pPr>
              <w:pStyle w:val="TableContents"/>
              <w:bidi w:val="0"/>
              <w:spacing w:before="0" w:after="0"/>
              <w:ind w:left="0" w:right="0" w:hanging="0"/>
              <w:jc w:val="left"/>
              <w:rPr/>
            </w:pPr>
            <w:r>
              <w:rPr/>
              <w:t> </w:t>
            </w:r>
          </w:p>
        </w:tc>
        <w:tc>
          <w:tcPr>
            <w:tcW w:w="999" w:type="dxa"/>
            <w:gridSpan w:val="2"/>
            <w:tcBorders/>
            <w:vAlign w:val="center"/>
          </w:tcPr>
          <w:p>
            <w:pPr>
              <w:pStyle w:val="TableContents"/>
              <w:bidi w:val="0"/>
              <w:spacing w:before="0" w:after="0"/>
              <w:ind w:left="0" w:right="0" w:hanging="0"/>
              <w:jc w:val="right"/>
              <w:rPr>
                <w:rFonts w:ascii="inherit" w:hAnsi="inherit"/>
                <w:sz w:val="20"/>
              </w:rPr>
            </w:pPr>
            <w:r>
              <w:rPr>
                <w:rFonts w:ascii="inherit" w:hAnsi="inherit"/>
                <w:sz w:val="20"/>
              </w:rPr>
              <w:t>525.2</w:t>
            </w:r>
          </w:p>
        </w:tc>
        <w:tc>
          <w:tcPr>
            <w:tcW w:w="111" w:type="dxa"/>
            <w:tcBorders/>
            <w:vAlign w:val="center"/>
          </w:tcPr>
          <w:p>
            <w:pPr>
              <w:pStyle w:val="TableContents"/>
              <w:bidi w:val="0"/>
              <w:spacing w:before="0" w:after="283"/>
              <w:ind w:left="0" w:right="0" w:hanging="0"/>
              <w:jc w:val="left"/>
              <w:rPr>
                <w:sz w:val="4"/>
                <w:szCs w:val="4"/>
              </w:rPr>
            </w:pPr>
            <w:r>
              <w:rPr>
                <w:sz w:val="4"/>
                <w:szCs w:val="4"/>
              </w:rPr>
            </w:r>
          </w:p>
        </w:tc>
      </w:tr>
      <w:tr>
        <w:trPr/>
        <w:tc>
          <w:tcPr>
            <w:tcW w:w="8060"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Restricted cash</w:t>
            </w:r>
          </w:p>
        </w:tc>
        <w:tc>
          <w:tcPr>
            <w:tcW w:w="880" w:type="dxa"/>
            <w:gridSpan w:val="2"/>
            <w:tcBorders/>
            <w:shd w:fill="CCEEFF" w:val="clear"/>
            <w:vAlign w:val="center"/>
          </w:tcPr>
          <w:p>
            <w:pPr>
              <w:pStyle w:val="TableContents"/>
              <w:bidi w:val="0"/>
              <w:spacing w:before="0" w:after="0"/>
              <w:ind w:left="0" w:right="0" w:hanging="0"/>
              <w:jc w:val="right"/>
              <w:rPr>
                <w:rFonts w:ascii="inherit" w:hAnsi="inherit"/>
                <w:sz w:val="20"/>
              </w:rPr>
            </w:pPr>
            <w:r>
              <w:rPr>
                <w:rFonts w:ascii="inherit" w:hAnsi="inherit"/>
                <w:sz w:val="20"/>
              </w:rPr>
              <w:t>23.8</w:t>
            </w:r>
          </w:p>
        </w:tc>
        <w:tc>
          <w:tcPr>
            <w:tcW w:w="95"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0" w:type="dxa"/>
            <w:tcBorders/>
            <w:shd w:fill="CCEEFF" w:val="clear"/>
            <w:vAlign w:val="center"/>
          </w:tcPr>
          <w:p>
            <w:pPr>
              <w:pStyle w:val="TableContents"/>
              <w:bidi w:val="0"/>
              <w:spacing w:before="0" w:after="0"/>
              <w:ind w:left="0" w:right="0" w:hanging="0"/>
              <w:jc w:val="left"/>
              <w:rPr/>
            </w:pPr>
            <w:r>
              <w:rPr/>
              <w:t> </w:t>
            </w:r>
          </w:p>
        </w:tc>
        <w:tc>
          <w:tcPr>
            <w:tcW w:w="999" w:type="dxa"/>
            <w:gridSpan w:val="2"/>
            <w:tcBorders/>
            <w:shd w:fill="CCEEFF" w:val="clear"/>
            <w:vAlign w:val="center"/>
          </w:tcPr>
          <w:p>
            <w:pPr>
              <w:pStyle w:val="TableContents"/>
              <w:bidi w:val="0"/>
              <w:spacing w:before="0" w:after="0"/>
              <w:ind w:left="0" w:right="0" w:hanging="0"/>
              <w:jc w:val="right"/>
              <w:rPr>
                <w:rFonts w:ascii="inherit" w:hAnsi="inherit"/>
                <w:sz w:val="20"/>
              </w:rPr>
            </w:pPr>
            <w:r>
              <w:rPr>
                <w:rFonts w:ascii="inherit" w:hAnsi="inherit"/>
                <w:sz w:val="20"/>
              </w:rPr>
              <w:t>15.2</w:t>
            </w:r>
          </w:p>
        </w:tc>
        <w:tc>
          <w:tcPr>
            <w:tcW w:w="111"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8060"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Settlement assets</w:t>
            </w:r>
          </w:p>
        </w:tc>
        <w:tc>
          <w:tcPr>
            <w:tcW w:w="880" w:type="dxa"/>
            <w:gridSpan w:val="2"/>
            <w:tcBorders/>
            <w:vAlign w:val="center"/>
          </w:tcPr>
          <w:p>
            <w:pPr>
              <w:pStyle w:val="TableContents"/>
              <w:bidi w:val="0"/>
              <w:spacing w:before="0" w:after="0"/>
              <w:ind w:left="0" w:right="0" w:hanging="0"/>
              <w:jc w:val="right"/>
              <w:rPr>
                <w:rFonts w:ascii="inherit" w:hAnsi="inherit"/>
                <w:sz w:val="20"/>
              </w:rPr>
            </w:pPr>
            <w:r>
              <w:rPr>
                <w:rFonts w:ascii="inherit" w:hAnsi="inherit"/>
                <w:sz w:val="20"/>
              </w:rPr>
              <w:t>1,478.3</w:t>
            </w:r>
          </w:p>
        </w:tc>
        <w:tc>
          <w:tcPr>
            <w:tcW w:w="95" w:type="dxa"/>
            <w:tcBorders/>
            <w:vAlign w:val="center"/>
          </w:tcPr>
          <w:p>
            <w:pPr>
              <w:pStyle w:val="TableContents"/>
              <w:bidi w:val="0"/>
              <w:spacing w:before="0" w:after="283"/>
              <w:ind w:left="0" w:right="0" w:hanging="0"/>
              <w:jc w:val="left"/>
              <w:rPr>
                <w:sz w:val="4"/>
                <w:szCs w:val="4"/>
              </w:rPr>
            </w:pPr>
            <w:r>
              <w:rPr>
                <w:sz w:val="4"/>
                <w:szCs w:val="4"/>
              </w:rPr>
            </w:r>
          </w:p>
        </w:tc>
        <w:tc>
          <w:tcPr>
            <w:tcW w:w="60" w:type="dxa"/>
            <w:tcBorders/>
            <w:vAlign w:val="center"/>
          </w:tcPr>
          <w:p>
            <w:pPr>
              <w:pStyle w:val="TableContents"/>
              <w:bidi w:val="0"/>
              <w:spacing w:before="0" w:after="0"/>
              <w:ind w:left="0" w:right="0" w:hanging="0"/>
              <w:jc w:val="left"/>
              <w:rPr/>
            </w:pPr>
            <w:r>
              <w:rPr/>
              <w:t> </w:t>
            </w:r>
          </w:p>
        </w:tc>
        <w:tc>
          <w:tcPr>
            <w:tcW w:w="999" w:type="dxa"/>
            <w:gridSpan w:val="2"/>
            <w:tcBorders/>
            <w:vAlign w:val="center"/>
          </w:tcPr>
          <w:p>
            <w:pPr>
              <w:pStyle w:val="TableContents"/>
              <w:bidi w:val="0"/>
              <w:spacing w:before="0" w:after="0"/>
              <w:ind w:left="0" w:right="0" w:hanging="0"/>
              <w:jc w:val="right"/>
              <w:rPr>
                <w:rFonts w:ascii="inherit" w:hAnsi="inherit"/>
                <w:sz w:val="20"/>
              </w:rPr>
            </w:pPr>
            <w:r>
              <w:rPr>
                <w:rFonts w:ascii="inherit" w:hAnsi="inherit"/>
                <w:sz w:val="20"/>
              </w:rPr>
              <w:t>1,681.5</w:t>
            </w:r>
          </w:p>
        </w:tc>
        <w:tc>
          <w:tcPr>
            <w:tcW w:w="111" w:type="dxa"/>
            <w:tcBorders/>
            <w:vAlign w:val="center"/>
          </w:tcPr>
          <w:p>
            <w:pPr>
              <w:pStyle w:val="TableContents"/>
              <w:bidi w:val="0"/>
              <w:spacing w:before="0" w:after="283"/>
              <w:ind w:left="0" w:right="0" w:hanging="0"/>
              <w:jc w:val="left"/>
              <w:rPr>
                <w:sz w:val="4"/>
                <w:szCs w:val="4"/>
              </w:rPr>
            </w:pPr>
            <w:r>
              <w:rPr>
                <w:sz w:val="4"/>
                <w:szCs w:val="4"/>
              </w:rPr>
            </w:r>
          </w:p>
        </w:tc>
      </w:tr>
      <w:tr>
        <w:trPr/>
        <w:tc>
          <w:tcPr>
            <w:tcW w:w="8060"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Trade accounts receivable, net of credit losses of $3.7 and $3.6</w:t>
            </w:r>
          </w:p>
        </w:tc>
        <w:tc>
          <w:tcPr>
            <w:tcW w:w="880" w:type="dxa"/>
            <w:gridSpan w:val="2"/>
            <w:tcBorders/>
            <w:shd w:fill="CCEEFF" w:val="clear"/>
            <w:vAlign w:val="center"/>
          </w:tcPr>
          <w:p>
            <w:pPr>
              <w:pStyle w:val="TableContents"/>
              <w:bidi w:val="0"/>
              <w:spacing w:before="0" w:after="0"/>
              <w:ind w:left="0" w:right="0" w:hanging="0"/>
              <w:jc w:val="right"/>
              <w:rPr>
                <w:rFonts w:ascii="inherit" w:hAnsi="inherit"/>
                <w:sz w:val="20"/>
              </w:rPr>
            </w:pPr>
            <w:r>
              <w:rPr>
                <w:rFonts w:ascii="inherit" w:hAnsi="inherit"/>
                <w:sz w:val="20"/>
              </w:rPr>
              <w:t>428.1</w:t>
            </w:r>
          </w:p>
        </w:tc>
        <w:tc>
          <w:tcPr>
            <w:tcW w:w="95"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0" w:type="dxa"/>
            <w:tcBorders/>
            <w:shd w:fill="CCEEFF" w:val="clear"/>
            <w:vAlign w:val="center"/>
          </w:tcPr>
          <w:p>
            <w:pPr>
              <w:pStyle w:val="TableContents"/>
              <w:bidi w:val="0"/>
              <w:spacing w:before="0" w:after="0"/>
              <w:ind w:left="0" w:right="0" w:hanging="0"/>
              <w:jc w:val="left"/>
              <w:rPr/>
            </w:pPr>
            <w:r>
              <w:rPr/>
              <w:t> </w:t>
            </w:r>
          </w:p>
        </w:tc>
        <w:tc>
          <w:tcPr>
            <w:tcW w:w="999" w:type="dxa"/>
            <w:gridSpan w:val="2"/>
            <w:tcBorders/>
            <w:shd w:fill="CCEEFF" w:val="clear"/>
            <w:vAlign w:val="center"/>
          </w:tcPr>
          <w:p>
            <w:pPr>
              <w:pStyle w:val="TableContents"/>
              <w:bidi w:val="0"/>
              <w:spacing w:before="0" w:after="0"/>
              <w:ind w:left="0" w:right="0" w:hanging="0"/>
              <w:jc w:val="right"/>
              <w:rPr>
                <w:rFonts w:ascii="inherit" w:hAnsi="inherit"/>
                <w:sz w:val="20"/>
              </w:rPr>
            </w:pPr>
            <w:r>
              <w:rPr>
                <w:rFonts w:ascii="inherit" w:hAnsi="inherit"/>
                <w:sz w:val="20"/>
              </w:rPr>
              <w:t>370.6</w:t>
            </w:r>
          </w:p>
        </w:tc>
        <w:tc>
          <w:tcPr>
            <w:tcW w:w="111"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8060"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Prepaid expenses and other current assets</w:t>
            </w:r>
          </w:p>
        </w:tc>
        <w:tc>
          <w:tcPr>
            <w:tcW w:w="880" w:type="dxa"/>
            <w:gridSpan w:val="2"/>
            <w:tcBorders/>
            <w:vAlign w:val="center"/>
          </w:tcPr>
          <w:p>
            <w:pPr>
              <w:pStyle w:val="TableContents"/>
              <w:bidi w:val="0"/>
              <w:spacing w:before="0" w:after="0"/>
              <w:ind w:left="0" w:right="0" w:hanging="0"/>
              <w:jc w:val="right"/>
              <w:rPr>
                <w:rFonts w:ascii="inherit" w:hAnsi="inherit"/>
                <w:sz w:val="20"/>
              </w:rPr>
            </w:pPr>
            <w:r>
              <w:rPr>
                <w:rFonts w:ascii="inherit" w:hAnsi="inherit"/>
                <w:sz w:val="20"/>
              </w:rPr>
              <w:t>268.9</w:t>
            </w:r>
          </w:p>
        </w:tc>
        <w:tc>
          <w:tcPr>
            <w:tcW w:w="95" w:type="dxa"/>
            <w:tcBorders/>
            <w:vAlign w:val="center"/>
          </w:tcPr>
          <w:p>
            <w:pPr>
              <w:pStyle w:val="TableContents"/>
              <w:bidi w:val="0"/>
              <w:spacing w:before="0" w:after="283"/>
              <w:ind w:left="0" w:right="0" w:hanging="0"/>
              <w:jc w:val="left"/>
              <w:rPr>
                <w:sz w:val="4"/>
                <w:szCs w:val="4"/>
              </w:rPr>
            </w:pPr>
            <w:r>
              <w:rPr>
                <w:sz w:val="4"/>
                <w:szCs w:val="4"/>
              </w:rPr>
            </w:r>
          </w:p>
        </w:tc>
        <w:tc>
          <w:tcPr>
            <w:tcW w:w="60" w:type="dxa"/>
            <w:tcBorders/>
            <w:vAlign w:val="center"/>
          </w:tcPr>
          <w:p>
            <w:pPr>
              <w:pStyle w:val="TableContents"/>
              <w:bidi w:val="0"/>
              <w:spacing w:before="0" w:after="0"/>
              <w:ind w:left="0" w:right="0" w:hanging="0"/>
              <w:jc w:val="left"/>
              <w:rPr/>
            </w:pPr>
            <w:r>
              <w:rPr/>
              <w:t> </w:t>
            </w:r>
          </w:p>
        </w:tc>
        <w:tc>
          <w:tcPr>
            <w:tcW w:w="999" w:type="dxa"/>
            <w:gridSpan w:val="2"/>
            <w:tcBorders/>
            <w:vAlign w:val="center"/>
          </w:tcPr>
          <w:p>
            <w:pPr>
              <w:pStyle w:val="TableContents"/>
              <w:bidi w:val="0"/>
              <w:spacing w:before="0" w:after="0"/>
              <w:ind w:left="0" w:right="0" w:hanging="0"/>
              <w:jc w:val="right"/>
              <w:rPr>
                <w:rFonts w:ascii="inherit" w:hAnsi="inherit"/>
                <w:sz w:val="20"/>
              </w:rPr>
            </w:pPr>
            <w:r>
              <w:rPr>
                <w:rFonts w:ascii="inherit" w:hAnsi="inherit"/>
                <w:sz w:val="20"/>
              </w:rPr>
              <w:t>316.0</w:t>
            </w:r>
          </w:p>
        </w:tc>
        <w:tc>
          <w:tcPr>
            <w:tcW w:w="111" w:type="dxa"/>
            <w:tcBorders/>
            <w:vAlign w:val="center"/>
          </w:tcPr>
          <w:p>
            <w:pPr>
              <w:pStyle w:val="TableContents"/>
              <w:bidi w:val="0"/>
              <w:spacing w:before="0" w:after="283"/>
              <w:jc w:val="left"/>
              <w:rPr>
                <w:sz w:val="4"/>
                <w:szCs w:val="4"/>
              </w:rPr>
            </w:pPr>
            <w:r>
              <w:rPr>
                <w:sz w:val="4"/>
                <w:szCs w:val="4"/>
              </w:rPr>
            </w:r>
          </w:p>
        </w:tc>
      </w:tr>
      <w:tr>
        <w:trPr/>
        <w:tc>
          <w:tcPr>
            <w:tcW w:w="8060"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Total current assets</w:t>
            </w:r>
          </w:p>
        </w:tc>
        <w:tc>
          <w:tcPr>
            <w:tcW w:w="880" w:type="dxa"/>
            <w:gridSpan w:val="2"/>
            <w:tcBorders/>
            <w:shd w:fill="CCEEFF" w:val="clear"/>
            <w:vAlign w:val="center"/>
          </w:tcPr>
          <w:p>
            <w:pPr>
              <w:pStyle w:val="TableContents"/>
              <w:bidi w:val="0"/>
              <w:spacing w:before="0" w:after="0"/>
              <w:ind w:left="0" w:right="0" w:hanging="0"/>
              <w:jc w:val="right"/>
              <w:rPr>
                <w:rFonts w:ascii="inherit" w:hAnsi="inherit"/>
                <w:sz w:val="20"/>
              </w:rPr>
            </w:pPr>
            <w:r>
              <w:rPr>
                <w:rFonts w:ascii="inherit" w:hAnsi="inherit"/>
                <w:sz w:val="20"/>
              </w:rPr>
              <w:t>4,266.5</w:t>
            </w:r>
          </w:p>
        </w:tc>
        <w:tc>
          <w:tcPr>
            <w:tcW w:w="95"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0" w:type="dxa"/>
            <w:tcBorders/>
            <w:shd w:fill="CCEEFF" w:val="clear"/>
            <w:vAlign w:val="center"/>
          </w:tcPr>
          <w:p>
            <w:pPr>
              <w:pStyle w:val="TableContents"/>
              <w:bidi w:val="0"/>
              <w:spacing w:before="0" w:after="0"/>
              <w:ind w:left="0" w:right="0" w:hanging="0"/>
              <w:jc w:val="left"/>
              <w:rPr/>
            </w:pPr>
            <w:r>
              <w:rPr/>
              <w:t> </w:t>
            </w:r>
          </w:p>
        </w:tc>
        <w:tc>
          <w:tcPr>
            <w:tcW w:w="999" w:type="dxa"/>
            <w:gridSpan w:val="2"/>
            <w:tcBorders/>
            <w:shd w:fill="CCEEFF" w:val="clear"/>
            <w:vAlign w:val="center"/>
          </w:tcPr>
          <w:p>
            <w:pPr>
              <w:pStyle w:val="TableContents"/>
              <w:bidi w:val="0"/>
              <w:spacing w:before="0" w:after="0"/>
              <w:ind w:left="0" w:right="0" w:hanging="0"/>
              <w:jc w:val="right"/>
              <w:rPr>
                <w:rFonts w:ascii="inherit" w:hAnsi="inherit"/>
                <w:sz w:val="20"/>
              </w:rPr>
            </w:pPr>
            <w:r>
              <w:rPr>
                <w:rFonts w:ascii="inherit" w:hAnsi="inherit"/>
                <w:sz w:val="20"/>
              </w:rPr>
              <w:t>4,162.7</w:t>
            </w:r>
          </w:p>
        </w:tc>
        <w:tc>
          <w:tcPr>
            <w:tcW w:w="111"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8060"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Operating right of use lease assets</w:t>
            </w:r>
          </w:p>
        </w:tc>
        <w:tc>
          <w:tcPr>
            <w:tcW w:w="880" w:type="dxa"/>
            <w:gridSpan w:val="2"/>
            <w:tcBorders/>
            <w:vAlign w:val="center"/>
          </w:tcPr>
          <w:p>
            <w:pPr>
              <w:pStyle w:val="TableContents"/>
              <w:bidi w:val="0"/>
              <w:spacing w:before="0" w:after="0"/>
              <w:ind w:left="0" w:right="0" w:hanging="0"/>
              <w:jc w:val="right"/>
              <w:rPr>
                <w:rFonts w:ascii="inherit" w:hAnsi="inherit"/>
                <w:sz w:val="20"/>
              </w:rPr>
            </w:pPr>
            <w:r>
              <w:rPr>
                <w:rFonts w:ascii="inherit" w:hAnsi="inherit"/>
                <w:sz w:val="20"/>
              </w:rPr>
              <w:t>144.3</w:t>
            </w:r>
          </w:p>
        </w:tc>
        <w:tc>
          <w:tcPr>
            <w:tcW w:w="95" w:type="dxa"/>
            <w:tcBorders/>
            <w:vAlign w:val="center"/>
          </w:tcPr>
          <w:p>
            <w:pPr>
              <w:pStyle w:val="TableContents"/>
              <w:bidi w:val="0"/>
              <w:spacing w:before="0" w:after="283"/>
              <w:ind w:left="0" w:right="0" w:hanging="0"/>
              <w:jc w:val="left"/>
              <w:rPr>
                <w:sz w:val="4"/>
                <w:szCs w:val="4"/>
              </w:rPr>
            </w:pPr>
            <w:r>
              <w:rPr>
                <w:sz w:val="4"/>
                <w:szCs w:val="4"/>
              </w:rPr>
            </w:r>
          </w:p>
        </w:tc>
        <w:tc>
          <w:tcPr>
            <w:tcW w:w="60" w:type="dxa"/>
            <w:tcBorders/>
            <w:vAlign w:val="center"/>
          </w:tcPr>
          <w:p>
            <w:pPr>
              <w:pStyle w:val="TableContents"/>
              <w:bidi w:val="0"/>
              <w:spacing w:before="0" w:after="0"/>
              <w:ind w:left="0" w:right="0" w:hanging="0"/>
              <w:jc w:val="left"/>
              <w:rPr/>
            </w:pPr>
            <w:r>
              <w:rPr/>
              <w:t> </w:t>
            </w:r>
          </w:p>
        </w:tc>
        <w:tc>
          <w:tcPr>
            <w:tcW w:w="999" w:type="dxa"/>
            <w:gridSpan w:val="2"/>
            <w:tcBorders/>
            <w:vAlign w:val="center"/>
          </w:tcPr>
          <w:p>
            <w:pPr>
              <w:pStyle w:val="TableContents"/>
              <w:bidi w:val="0"/>
              <w:spacing w:before="0" w:after="0"/>
              <w:ind w:left="0" w:right="0" w:hanging="0"/>
              <w:jc w:val="right"/>
              <w:rPr>
                <w:rFonts w:ascii="inherit" w:hAnsi="inherit"/>
                <w:sz w:val="20"/>
              </w:rPr>
            </w:pPr>
            <w:r>
              <w:rPr>
                <w:rFonts w:ascii="inherit" w:hAnsi="inherit"/>
                <w:sz w:val="20"/>
              </w:rPr>
              <w:t>142.6</w:t>
            </w:r>
          </w:p>
        </w:tc>
        <w:tc>
          <w:tcPr>
            <w:tcW w:w="111" w:type="dxa"/>
            <w:tcBorders/>
            <w:vAlign w:val="center"/>
          </w:tcPr>
          <w:p>
            <w:pPr>
              <w:pStyle w:val="TableContents"/>
              <w:bidi w:val="0"/>
              <w:spacing w:before="0" w:after="283"/>
              <w:ind w:left="0" w:right="0" w:hanging="0"/>
              <w:jc w:val="left"/>
              <w:rPr>
                <w:sz w:val="4"/>
                <w:szCs w:val="4"/>
              </w:rPr>
            </w:pPr>
            <w:r>
              <w:rPr>
                <w:sz w:val="4"/>
                <w:szCs w:val="4"/>
              </w:rPr>
            </w:r>
          </w:p>
        </w:tc>
      </w:tr>
      <w:tr>
        <w:trPr/>
        <w:tc>
          <w:tcPr>
            <w:tcW w:w="8060"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Property and equipment, net of accumulated depreciation of $616.6 and $656.9</w:t>
            </w:r>
          </w:p>
        </w:tc>
        <w:tc>
          <w:tcPr>
            <w:tcW w:w="880" w:type="dxa"/>
            <w:gridSpan w:val="2"/>
            <w:tcBorders/>
            <w:shd w:fill="CCEEFF" w:val="clear"/>
            <w:vAlign w:val="center"/>
          </w:tcPr>
          <w:p>
            <w:pPr>
              <w:pStyle w:val="TableContents"/>
              <w:bidi w:val="0"/>
              <w:spacing w:before="0" w:after="0"/>
              <w:ind w:left="0" w:right="0" w:hanging="0"/>
              <w:jc w:val="right"/>
              <w:rPr>
                <w:rFonts w:ascii="inherit" w:hAnsi="inherit"/>
                <w:sz w:val="20"/>
              </w:rPr>
            </w:pPr>
            <w:r>
              <w:rPr>
                <w:rFonts w:ascii="inherit" w:hAnsi="inherit"/>
                <w:sz w:val="20"/>
              </w:rPr>
              <w:t>331.1</w:t>
            </w:r>
          </w:p>
        </w:tc>
        <w:tc>
          <w:tcPr>
            <w:tcW w:w="95"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0" w:type="dxa"/>
            <w:tcBorders/>
            <w:shd w:fill="CCEEFF" w:val="clear"/>
            <w:vAlign w:val="center"/>
          </w:tcPr>
          <w:p>
            <w:pPr>
              <w:pStyle w:val="TableContents"/>
              <w:bidi w:val="0"/>
              <w:spacing w:before="0" w:after="0"/>
              <w:ind w:left="0" w:right="0" w:hanging="0"/>
              <w:jc w:val="left"/>
              <w:rPr/>
            </w:pPr>
            <w:r>
              <w:rPr/>
              <w:t> </w:t>
            </w:r>
          </w:p>
        </w:tc>
        <w:tc>
          <w:tcPr>
            <w:tcW w:w="999" w:type="dxa"/>
            <w:gridSpan w:val="2"/>
            <w:tcBorders/>
            <w:shd w:fill="CCEEFF" w:val="clear"/>
            <w:vAlign w:val="center"/>
          </w:tcPr>
          <w:p>
            <w:pPr>
              <w:pStyle w:val="TableContents"/>
              <w:bidi w:val="0"/>
              <w:spacing w:before="0" w:after="0"/>
              <w:ind w:left="0" w:right="0" w:hanging="0"/>
              <w:jc w:val="right"/>
              <w:rPr>
                <w:rFonts w:ascii="inherit" w:hAnsi="inherit"/>
                <w:sz w:val="20"/>
              </w:rPr>
            </w:pPr>
            <w:r>
              <w:rPr>
                <w:rFonts w:ascii="inherit" w:hAnsi="inherit"/>
                <w:sz w:val="20"/>
              </w:rPr>
              <w:t>332.1</w:t>
            </w:r>
          </w:p>
        </w:tc>
        <w:tc>
          <w:tcPr>
            <w:tcW w:w="111"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8060"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Goodwill</w:t>
            </w:r>
          </w:p>
        </w:tc>
        <w:tc>
          <w:tcPr>
            <w:tcW w:w="880" w:type="dxa"/>
            <w:gridSpan w:val="2"/>
            <w:tcBorders/>
            <w:vAlign w:val="center"/>
          </w:tcPr>
          <w:p>
            <w:pPr>
              <w:pStyle w:val="TableContents"/>
              <w:bidi w:val="0"/>
              <w:spacing w:before="0" w:after="0"/>
              <w:ind w:left="0" w:right="0" w:hanging="0"/>
              <w:jc w:val="right"/>
              <w:rPr>
                <w:rFonts w:ascii="inherit" w:hAnsi="inherit"/>
                <w:sz w:val="20"/>
              </w:rPr>
            </w:pPr>
            <w:r>
              <w:rPr>
                <w:rFonts w:ascii="inherit" w:hAnsi="inherit"/>
                <w:sz w:val="20"/>
              </w:rPr>
              <w:t>877.5</w:t>
            </w:r>
          </w:p>
        </w:tc>
        <w:tc>
          <w:tcPr>
            <w:tcW w:w="95" w:type="dxa"/>
            <w:tcBorders/>
            <w:vAlign w:val="center"/>
          </w:tcPr>
          <w:p>
            <w:pPr>
              <w:pStyle w:val="TableContents"/>
              <w:bidi w:val="0"/>
              <w:spacing w:before="0" w:after="283"/>
              <w:ind w:left="0" w:right="0" w:hanging="0"/>
              <w:jc w:val="left"/>
              <w:rPr>
                <w:sz w:val="4"/>
                <w:szCs w:val="4"/>
              </w:rPr>
            </w:pPr>
            <w:r>
              <w:rPr>
                <w:sz w:val="4"/>
                <w:szCs w:val="4"/>
              </w:rPr>
            </w:r>
          </w:p>
        </w:tc>
        <w:tc>
          <w:tcPr>
            <w:tcW w:w="60" w:type="dxa"/>
            <w:tcBorders/>
            <w:vAlign w:val="center"/>
          </w:tcPr>
          <w:p>
            <w:pPr>
              <w:pStyle w:val="TableContents"/>
              <w:bidi w:val="0"/>
              <w:spacing w:before="0" w:after="0"/>
              <w:ind w:left="0" w:right="0" w:hanging="0"/>
              <w:jc w:val="left"/>
              <w:rPr/>
            </w:pPr>
            <w:r>
              <w:rPr/>
              <w:t> </w:t>
            </w:r>
          </w:p>
        </w:tc>
        <w:tc>
          <w:tcPr>
            <w:tcW w:w="999" w:type="dxa"/>
            <w:gridSpan w:val="2"/>
            <w:tcBorders/>
            <w:vAlign w:val="center"/>
          </w:tcPr>
          <w:p>
            <w:pPr>
              <w:pStyle w:val="TableContents"/>
              <w:bidi w:val="0"/>
              <w:spacing w:before="0" w:after="0"/>
              <w:ind w:left="0" w:right="0" w:hanging="0"/>
              <w:jc w:val="right"/>
              <w:rPr>
                <w:rFonts w:ascii="inherit" w:hAnsi="inherit"/>
                <w:sz w:val="20"/>
              </w:rPr>
            </w:pPr>
            <w:r>
              <w:rPr>
                <w:rFonts w:ascii="inherit" w:hAnsi="inherit"/>
                <w:sz w:val="20"/>
              </w:rPr>
              <w:t>847.5</w:t>
            </w:r>
          </w:p>
        </w:tc>
        <w:tc>
          <w:tcPr>
            <w:tcW w:w="111" w:type="dxa"/>
            <w:tcBorders/>
            <w:vAlign w:val="center"/>
          </w:tcPr>
          <w:p>
            <w:pPr>
              <w:pStyle w:val="TableContents"/>
              <w:bidi w:val="0"/>
              <w:spacing w:before="0" w:after="283"/>
              <w:ind w:left="0" w:right="0" w:hanging="0"/>
              <w:jc w:val="left"/>
              <w:rPr>
                <w:sz w:val="4"/>
                <w:szCs w:val="4"/>
              </w:rPr>
            </w:pPr>
            <w:r>
              <w:rPr>
                <w:sz w:val="4"/>
                <w:szCs w:val="4"/>
              </w:rPr>
            </w:r>
          </w:p>
        </w:tc>
      </w:tr>
      <w:tr>
        <w:trPr/>
        <w:tc>
          <w:tcPr>
            <w:tcW w:w="8060"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Acquired intangible assets, net of accumulated amortization of $221.4 and $214.1</w:t>
            </w:r>
          </w:p>
        </w:tc>
        <w:tc>
          <w:tcPr>
            <w:tcW w:w="880" w:type="dxa"/>
            <w:gridSpan w:val="2"/>
            <w:tcBorders/>
            <w:shd w:fill="CCEEFF" w:val="clear"/>
            <w:vAlign w:val="center"/>
          </w:tcPr>
          <w:p>
            <w:pPr>
              <w:pStyle w:val="TableContents"/>
              <w:bidi w:val="0"/>
              <w:spacing w:before="0" w:after="0"/>
              <w:ind w:left="0" w:right="0" w:hanging="0"/>
              <w:jc w:val="right"/>
              <w:rPr>
                <w:rFonts w:ascii="inherit" w:hAnsi="inherit"/>
                <w:sz w:val="20"/>
              </w:rPr>
            </w:pPr>
            <w:r>
              <w:rPr>
                <w:rFonts w:ascii="inherit" w:hAnsi="inherit"/>
                <w:sz w:val="20"/>
              </w:rPr>
              <w:t>200.7</w:t>
            </w:r>
          </w:p>
        </w:tc>
        <w:tc>
          <w:tcPr>
            <w:tcW w:w="95"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0" w:type="dxa"/>
            <w:tcBorders/>
            <w:shd w:fill="CCEEFF" w:val="clear"/>
            <w:vAlign w:val="center"/>
          </w:tcPr>
          <w:p>
            <w:pPr>
              <w:pStyle w:val="TableContents"/>
              <w:bidi w:val="0"/>
              <w:spacing w:before="0" w:after="0"/>
              <w:ind w:left="0" w:right="0" w:hanging="0"/>
              <w:jc w:val="left"/>
              <w:rPr/>
            </w:pPr>
            <w:r>
              <w:rPr/>
              <w:t> </w:t>
            </w:r>
          </w:p>
        </w:tc>
        <w:tc>
          <w:tcPr>
            <w:tcW w:w="999" w:type="dxa"/>
            <w:gridSpan w:val="2"/>
            <w:tcBorders/>
            <w:shd w:fill="CCEEFF" w:val="clear"/>
            <w:vAlign w:val="center"/>
          </w:tcPr>
          <w:p>
            <w:pPr>
              <w:pStyle w:val="TableContents"/>
              <w:bidi w:val="0"/>
              <w:spacing w:before="0" w:after="0"/>
              <w:ind w:left="0" w:right="0" w:hanging="0"/>
              <w:jc w:val="right"/>
              <w:rPr>
                <w:rFonts w:ascii="inherit" w:hAnsi="inherit"/>
                <w:sz w:val="20"/>
              </w:rPr>
            </w:pPr>
            <w:r>
              <w:rPr>
                <w:rFonts w:ascii="inherit" w:hAnsi="inherit"/>
                <w:sz w:val="20"/>
              </w:rPr>
              <w:t>167.6</w:t>
            </w:r>
          </w:p>
        </w:tc>
        <w:tc>
          <w:tcPr>
            <w:tcW w:w="111"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8060" w:type="dxa"/>
            <w:tcBorders/>
            <w:vAlign w:val="center"/>
          </w:tcPr>
          <w:p>
            <w:pPr>
              <w:pStyle w:val="TableContents"/>
              <w:bidi w:val="0"/>
              <w:spacing w:before="0" w:after="0"/>
              <w:ind w:left="0" w:right="0" w:hanging="0"/>
              <w:jc w:val="left"/>
              <w:rPr>
                <w:rFonts w:ascii="inherit" w:hAnsi="inherit"/>
                <w:sz w:val="20"/>
              </w:rPr>
            </w:pPr>
            <w:r>
              <w:rPr>
                <w:rFonts w:ascii="inherit" w:hAnsi="inherit"/>
                <w:sz w:val="20"/>
              </w:rPr>
              <w:t>Other assets, net of accumulated amortization of $79.3 and $76.3</w:t>
            </w:r>
          </w:p>
        </w:tc>
        <w:tc>
          <w:tcPr>
            <w:tcW w:w="880" w:type="dxa"/>
            <w:gridSpan w:val="2"/>
            <w:tcBorders/>
            <w:vAlign w:val="center"/>
          </w:tcPr>
          <w:p>
            <w:pPr>
              <w:pStyle w:val="TableContents"/>
              <w:bidi w:val="0"/>
              <w:spacing w:before="0" w:after="0"/>
              <w:ind w:left="0" w:right="0" w:hanging="0"/>
              <w:jc w:val="right"/>
              <w:rPr>
                <w:rFonts w:ascii="inherit" w:hAnsi="inherit"/>
                <w:sz w:val="20"/>
              </w:rPr>
            </w:pPr>
            <w:r>
              <w:rPr>
                <w:rFonts w:ascii="inherit" w:hAnsi="inherit"/>
                <w:sz w:val="20"/>
              </w:rPr>
              <w:t>179.9</w:t>
            </w:r>
          </w:p>
        </w:tc>
        <w:tc>
          <w:tcPr>
            <w:tcW w:w="95" w:type="dxa"/>
            <w:tcBorders/>
            <w:vAlign w:val="center"/>
          </w:tcPr>
          <w:p>
            <w:pPr>
              <w:pStyle w:val="TableContents"/>
              <w:bidi w:val="0"/>
              <w:spacing w:before="0" w:after="283"/>
              <w:ind w:left="0" w:right="0" w:hanging="0"/>
              <w:jc w:val="left"/>
              <w:rPr>
                <w:sz w:val="4"/>
                <w:szCs w:val="4"/>
              </w:rPr>
            </w:pPr>
            <w:r>
              <w:rPr>
                <w:sz w:val="4"/>
                <w:szCs w:val="4"/>
              </w:rPr>
            </w:r>
          </w:p>
        </w:tc>
        <w:tc>
          <w:tcPr>
            <w:tcW w:w="60" w:type="dxa"/>
            <w:tcBorders/>
            <w:vAlign w:val="center"/>
          </w:tcPr>
          <w:p>
            <w:pPr>
              <w:pStyle w:val="TableContents"/>
              <w:bidi w:val="0"/>
              <w:spacing w:before="0" w:after="0"/>
              <w:ind w:left="0" w:right="0" w:hanging="0"/>
              <w:jc w:val="left"/>
              <w:rPr/>
            </w:pPr>
            <w:r>
              <w:rPr/>
              <w:t> </w:t>
            </w:r>
          </w:p>
        </w:tc>
        <w:tc>
          <w:tcPr>
            <w:tcW w:w="999" w:type="dxa"/>
            <w:gridSpan w:val="2"/>
            <w:tcBorders/>
            <w:vAlign w:val="center"/>
          </w:tcPr>
          <w:p>
            <w:pPr>
              <w:pStyle w:val="TableContents"/>
              <w:bidi w:val="0"/>
              <w:spacing w:before="0" w:after="0"/>
              <w:ind w:left="0" w:right="0" w:hanging="0"/>
              <w:jc w:val="right"/>
              <w:rPr>
                <w:rFonts w:ascii="inherit" w:hAnsi="inherit"/>
                <w:sz w:val="20"/>
              </w:rPr>
            </w:pPr>
            <w:r>
              <w:rPr>
                <w:rFonts w:ascii="inherit" w:hAnsi="inherit"/>
                <w:sz w:val="20"/>
              </w:rPr>
              <w:t>181.9</w:t>
            </w:r>
          </w:p>
        </w:tc>
        <w:tc>
          <w:tcPr>
            <w:tcW w:w="111" w:type="dxa"/>
            <w:tcBorders/>
            <w:vAlign w:val="center"/>
          </w:tcPr>
          <w:p>
            <w:pPr>
              <w:pStyle w:val="TableContents"/>
              <w:bidi w:val="0"/>
              <w:spacing w:before="0" w:after="283"/>
              <w:ind w:left="0" w:right="0" w:hanging="0"/>
              <w:jc w:val="left"/>
              <w:rPr>
                <w:sz w:val="4"/>
                <w:szCs w:val="4"/>
              </w:rPr>
            </w:pPr>
            <w:r>
              <w:rPr>
                <w:sz w:val="4"/>
                <w:szCs w:val="4"/>
              </w:rPr>
            </w:r>
          </w:p>
        </w:tc>
      </w:tr>
      <w:tr>
        <w:trPr/>
        <w:tc>
          <w:tcPr>
            <w:tcW w:w="8060" w:type="dxa"/>
            <w:tcBorders/>
            <w:shd w:fill="CCEEFF" w:val="clear"/>
            <w:vAlign w:val="center"/>
          </w:tcPr>
          <w:p>
            <w:pPr>
              <w:pStyle w:val="TableContents"/>
              <w:bidi w:val="0"/>
              <w:spacing w:before="0" w:after="0"/>
              <w:ind w:left="0" w:right="0" w:hanging="0"/>
              <w:jc w:val="left"/>
              <w:rPr>
                <w:sz w:val="20"/>
              </w:rPr>
            </w:pPr>
            <w:r>
              <w:rPr>
                <w:sz w:val="20"/>
              </w:rPr>
              <w:t>Convertible notes receivable </w:t>
            </w:r>
          </w:p>
        </w:tc>
        <w:tc>
          <w:tcPr>
            <w:tcW w:w="880" w:type="dxa"/>
            <w:gridSpan w:val="2"/>
            <w:tcBorders/>
            <w:shd w:fill="CCEEFF" w:val="clear"/>
            <w:vAlign w:val="center"/>
          </w:tcPr>
          <w:p>
            <w:pPr>
              <w:pStyle w:val="TableContents"/>
              <w:bidi w:val="0"/>
              <w:spacing w:before="0" w:after="0"/>
              <w:ind w:left="0" w:right="0" w:hanging="0"/>
              <w:jc w:val="right"/>
              <w:rPr>
                <w:sz w:val="20"/>
              </w:rPr>
            </w:pPr>
            <w:r>
              <w:rPr>
                <w:sz w:val="20"/>
              </w:rPr>
              <w:t>60.8</w:t>
            </w:r>
          </w:p>
        </w:tc>
        <w:tc>
          <w:tcPr>
            <w:tcW w:w="95" w:type="dxa"/>
            <w:tcBorders/>
            <w:shd w:fill="CCEEFF" w:val="clear"/>
            <w:vAlign w:val="center"/>
          </w:tcPr>
          <w:p>
            <w:pPr>
              <w:pStyle w:val="TableContents"/>
              <w:bidi w:val="0"/>
              <w:spacing w:before="0" w:after="283"/>
              <w:ind w:left="0" w:right="0" w:hanging="0"/>
              <w:jc w:val="left"/>
              <w:rPr/>
            </w:pPr>
            <w:r>
              <w:rPr/>
            </w:r>
          </w:p>
        </w:tc>
        <w:tc>
          <w:tcPr>
            <w:tcW w:w="60" w:type="dxa"/>
            <w:tcBorders/>
            <w:shd w:fill="CCEEFF" w:val="clear"/>
            <w:vAlign w:val="center"/>
          </w:tcPr>
          <w:p>
            <w:pPr>
              <w:pStyle w:val="TableContents"/>
              <w:bidi w:val="0"/>
              <w:spacing w:before="0" w:after="0"/>
              <w:ind w:left="0" w:right="0" w:hanging="0"/>
              <w:jc w:val="left"/>
              <w:rPr>
                <w:sz w:val="20"/>
              </w:rPr>
            </w:pPr>
            <w:r>
              <w:rPr>
                <w:sz w:val="20"/>
              </w:rPr>
            </w:r>
          </w:p>
        </w:tc>
        <w:tc>
          <w:tcPr>
            <w:tcW w:w="999" w:type="dxa"/>
            <w:gridSpan w:val="2"/>
            <w:tcBorders/>
            <w:shd w:fill="CCEEFF" w:val="clear"/>
            <w:vAlign w:val="center"/>
          </w:tcPr>
          <w:p>
            <w:pPr>
              <w:pStyle w:val="TableContents"/>
              <w:bidi w:val="0"/>
              <w:spacing w:before="0" w:after="0"/>
              <w:ind w:left="0" w:right="0" w:hanging="0"/>
              <w:jc w:val="right"/>
              <w:rPr>
                <w:sz w:val="20"/>
              </w:rPr>
            </w:pPr>
            <w:r>
              <w:rPr>
                <w:sz w:val="20"/>
              </w:rPr>
              <w:t>60.0</w:t>
            </w:r>
          </w:p>
        </w:tc>
        <w:tc>
          <w:tcPr>
            <w:tcW w:w="111" w:type="dxa"/>
            <w:tcBorders/>
            <w:shd w:fill="CCEEFF" w:val="clear"/>
            <w:vAlign w:val="center"/>
          </w:tcPr>
          <w:p>
            <w:pPr>
              <w:pStyle w:val="TableContents"/>
              <w:bidi w:val="0"/>
              <w:spacing w:before="0" w:after="283"/>
              <w:jc w:val="left"/>
              <w:rPr/>
            </w:pPr>
            <w:r>
              <w:rPr/>
            </w:r>
          </w:p>
        </w:tc>
      </w:tr>
      <w:tr>
        <w:trPr/>
        <w:tc>
          <w:tcPr>
            <w:tcW w:w="8060" w:type="dxa"/>
            <w:tcBorders/>
            <w:vAlign w:val="center"/>
          </w:tcPr>
          <w:p>
            <w:pPr>
              <w:pStyle w:val="TableContents"/>
              <w:bidi w:val="0"/>
              <w:spacing w:before="0" w:after="0"/>
              <w:ind w:left="0" w:right="0" w:hanging="0"/>
              <w:jc w:val="left"/>
              <w:rPr>
                <w:rFonts w:ascii="inherit" w:hAnsi="inherit"/>
                <w:sz w:val="20"/>
              </w:rPr>
            </w:pPr>
            <w:r>
              <w:rPr>
                <w:rFonts w:ascii="inherit" w:hAnsi="inherit"/>
                <w:sz w:val="20"/>
              </w:rPr>
              <w:t>Total assets</w:t>
            </w:r>
          </w:p>
        </w:tc>
        <w:tc>
          <w:tcPr>
            <w:tcW w:w="140" w:type="dxa"/>
            <w:tcBorders/>
            <w:vAlign w:val="center"/>
          </w:tcPr>
          <w:p>
            <w:pPr>
              <w:pStyle w:val="TableContents"/>
              <w:bidi w:val="0"/>
              <w:spacing w:before="0" w:after="0"/>
              <w:ind w:left="0" w:right="0" w:hanging="0"/>
              <w:jc w:val="left"/>
              <w:rPr>
                <w:rFonts w:ascii="inherit" w:hAnsi="inherit"/>
                <w:sz w:val="20"/>
              </w:rPr>
            </w:pPr>
            <w:r>
              <w:rPr>
                <w:rFonts w:ascii="inherit" w:hAnsi="inherit"/>
                <w:sz w:val="20"/>
              </w:rPr>
              <w:t>$</w:t>
            </w:r>
          </w:p>
        </w:tc>
        <w:tc>
          <w:tcPr>
            <w:tcW w:w="740" w:type="dxa"/>
            <w:tcBorders/>
            <w:vAlign w:val="center"/>
          </w:tcPr>
          <w:p>
            <w:pPr>
              <w:pStyle w:val="TableContents"/>
              <w:bidi w:val="0"/>
              <w:spacing w:before="0" w:after="0"/>
              <w:ind w:left="0" w:right="0" w:hanging="0"/>
              <w:jc w:val="right"/>
              <w:rPr>
                <w:rFonts w:ascii="inherit" w:hAnsi="inherit"/>
                <w:sz w:val="20"/>
              </w:rPr>
            </w:pPr>
            <w:r>
              <w:rPr>
                <w:rFonts w:ascii="inherit" w:hAnsi="inherit"/>
                <w:sz w:val="20"/>
              </w:rPr>
              <w:t>6,060.8</w:t>
            </w:r>
          </w:p>
        </w:tc>
        <w:tc>
          <w:tcPr>
            <w:tcW w:w="95" w:type="dxa"/>
            <w:tcBorders/>
            <w:vAlign w:val="center"/>
          </w:tcPr>
          <w:p>
            <w:pPr>
              <w:pStyle w:val="TableContents"/>
              <w:bidi w:val="0"/>
              <w:spacing w:before="0" w:after="283"/>
              <w:ind w:left="0" w:right="0" w:hanging="0"/>
              <w:jc w:val="left"/>
              <w:rPr>
                <w:sz w:val="4"/>
                <w:szCs w:val="4"/>
              </w:rPr>
            </w:pPr>
            <w:r>
              <w:rPr>
                <w:sz w:val="4"/>
                <w:szCs w:val="4"/>
              </w:rPr>
            </w:r>
          </w:p>
        </w:tc>
        <w:tc>
          <w:tcPr>
            <w:tcW w:w="60"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rFonts w:ascii="inherit" w:hAnsi="inherit"/>
                <w:sz w:val="20"/>
              </w:rPr>
            </w:pPr>
            <w:r>
              <w:rPr>
                <w:rFonts w:ascii="inherit" w:hAnsi="inherit"/>
                <w:sz w:val="20"/>
              </w:rPr>
              <w:t>$</w:t>
            </w:r>
          </w:p>
        </w:tc>
        <w:tc>
          <w:tcPr>
            <w:tcW w:w="841" w:type="dxa"/>
            <w:tcBorders/>
            <w:vAlign w:val="center"/>
          </w:tcPr>
          <w:p>
            <w:pPr>
              <w:pStyle w:val="TableContents"/>
              <w:bidi w:val="0"/>
              <w:spacing w:before="0" w:after="0"/>
              <w:ind w:left="0" w:right="0" w:hanging="0"/>
              <w:jc w:val="right"/>
              <w:rPr>
                <w:rFonts w:ascii="inherit" w:hAnsi="inherit"/>
                <w:sz w:val="20"/>
              </w:rPr>
            </w:pPr>
            <w:r>
              <w:rPr>
                <w:rFonts w:ascii="inherit" w:hAnsi="inherit"/>
                <w:sz w:val="20"/>
              </w:rPr>
              <w:t>5,894.4</w:t>
            </w:r>
          </w:p>
        </w:tc>
        <w:tc>
          <w:tcPr>
            <w:tcW w:w="111" w:type="dxa"/>
            <w:tcBorders/>
            <w:vAlign w:val="center"/>
          </w:tcPr>
          <w:p>
            <w:pPr>
              <w:pStyle w:val="TableContents"/>
              <w:bidi w:val="0"/>
              <w:spacing w:before="0" w:after="283"/>
              <w:ind w:left="0" w:right="0" w:hanging="0"/>
              <w:jc w:val="left"/>
              <w:rPr>
                <w:sz w:val="4"/>
                <w:szCs w:val="4"/>
              </w:rPr>
            </w:pPr>
            <w:r>
              <w:rPr>
                <w:sz w:val="4"/>
                <w:szCs w:val="4"/>
              </w:rPr>
            </w:r>
          </w:p>
        </w:tc>
      </w:tr>
      <w:tr>
        <w:trPr/>
        <w:tc>
          <w:tcPr>
            <w:tcW w:w="8060"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LIABILITIES AND EQUITY</w:t>
            </w:r>
          </w:p>
        </w:tc>
        <w:tc>
          <w:tcPr>
            <w:tcW w:w="975" w:type="dxa"/>
            <w:gridSpan w:val="3"/>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10" w:type="dxa"/>
            <w:gridSpan w:val="3"/>
            <w:tcBorders/>
            <w:shd w:fill="CCEEFF" w:val="clear"/>
            <w:vAlign w:val="center"/>
          </w:tcPr>
          <w:p>
            <w:pPr>
              <w:pStyle w:val="TableContents"/>
              <w:bidi w:val="0"/>
              <w:spacing w:before="0" w:after="0"/>
              <w:ind w:left="0" w:right="0" w:hanging="0"/>
              <w:jc w:val="left"/>
              <w:rPr/>
            </w:pPr>
            <w:r>
              <w:rPr/>
              <w:t> </w:t>
            </w:r>
          </w:p>
        </w:tc>
      </w:tr>
      <w:tr>
        <w:trPr/>
        <w:tc>
          <w:tcPr>
            <w:tcW w:w="8060"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Current liabilities:</w:t>
            </w:r>
          </w:p>
        </w:tc>
        <w:tc>
          <w:tcPr>
            <w:tcW w:w="975" w:type="dxa"/>
            <w:gridSpan w:val="3"/>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110" w:type="dxa"/>
            <w:gridSpan w:val="3"/>
            <w:tcBorders/>
            <w:vAlign w:val="center"/>
          </w:tcPr>
          <w:p>
            <w:pPr>
              <w:pStyle w:val="TableContents"/>
              <w:bidi w:val="0"/>
              <w:spacing w:before="0" w:after="0"/>
              <w:ind w:left="0" w:right="0" w:hanging="0"/>
              <w:jc w:val="left"/>
              <w:rPr/>
            </w:pPr>
            <w:r>
              <w:rPr/>
              <w:t> </w:t>
            </w:r>
          </w:p>
        </w:tc>
      </w:tr>
      <w:tr>
        <w:trPr/>
        <w:tc>
          <w:tcPr>
            <w:tcW w:w="8060"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Settlement obligations</w:t>
            </w:r>
          </w:p>
        </w:tc>
        <w:tc>
          <w:tcPr>
            <w:tcW w:w="140"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740"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1,478.3</w:t>
            </w:r>
          </w:p>
        </w:tc>
        <w:tc>
          <w:tcPr>
            <w:tcW w:w="95"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1,681.5</w:t>
            </w:r>
          </w:p>
        </w:tc>
        <w:tc>
          <w:tcPr>
            <w:tcW w:w="111"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8060"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Trade accounts payable</w:t>
            </w:r>
          </w:p>
        </w:tc>
        <w:tc>
          <w:tcPr>
            <w:tcW w:w="880" w:type="dxa"/>
            <w:gridSpan w:val="2"/>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268.4</w:t>
            </w:r>
          </w:p>
        </w:tc>
        <w:tc>
          <w:tcPr>
            <w:tcW w:w="95" w:type="dxa"/>
            <w:tcBorders/>
            <w:vAlign w:val="center"/>
          </w:tcPr>
          <w:p>
            <w:pPr>
              <w:pStyle w:val="TableContents"/>
              <w:bidi w:val="0"/>
              <w:spacing w:before="0" w:after="283"/>
              <w:ind w:left="0" w:right="0" w:hanging="0"/>
              <w:jc w:val="left"/>
              <w:rPr>
                <w:sz w:val="4"/>
                <w:szCs w:val="4"/>
              </w:rPr>
            </w:pPr>
            <w:r>
              <w:rPr>
                <w:sz w:val="4"/>
                <w:szCs w:val="4"/>
              </w:rPr>
            </w:r>
          </w:p>
        </w:tc>
        <w:tc>
          <w:tcPr>
            <w:tcW w:w="60" w:type="dxa"/>
            <w:tcBorders/>
            <w:vAlign w:val="center"/>
          </w:tcPr>
          <w:p>
            <w:pPr>
              <w:pStyle w:val="TableContents"/>
              <w:bidi w:val="0"/>
              <w:spacing w:before="0" w:after="0"/>
              <w:ind w:left="0" w:right="0" w:hanging="0"/>
              <w:jc w:val="left"/>
              <w:rPr/>
            </w:pPr>
            <w:r>
              <w:rPr/>
              <w:t> </w:t>
            </w:r>
          </w:p>
        </w:tc>
        <w:tc>
          <w:tcPr>
            <w:tcW w:w="999" w:type="dxa"/>
            <w:gridSpan w:val="2"/>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241.2</w:t>
            </w:r>
          </w:p>
        </w:tc>
        <w:tc>
          <w:tcPr>
            <w:tcW w:w="111" w:type="dxa"/>
            <w:tcBorders/>
            <w:vAlign w:val="center"/>
          </w:tcPr>
          <w:p>
            <w:pPr>
              <w:pStyle w:val="TableContents"/>
              <w:bidi w:val="0"/>
              <w:spacing w:before="0" w:after="283"/>
              <w:ind w:left="0" w:right="0" w:hanging="0"/>
              <w:jc w:val="left"/>
              <w:rPr>
                <w:sz w:val="4"/>
                <w:szCs w:val="4"/>
              </w:rPr>
            </w:pPr>
            <w:r>
              <w:rPr>
                <w:sz w:val="4"/>
                <w:szCs w:val="4"/>
              </w:rPr>
            </w:r>
          </w:p>
        </w:tc>
      </w:tr>
      <w:tr>
        <w:trPr/>
        <w:tc>
          <w:tcPr>
            <w:tcW w:w="8060"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Accrued expenses and other current liabilities</w:t>
            </w:r>
          </w:p>
        </w:tc>
        <w:tc>
          <w:tcPr>
            <w:tcW w:w="880" w:type="dxa"/>
            <w:gridSpan w:val="2"/>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403.0</w:t>
            </w:r>
          </w:p>
        </w:tc>
        <w:tc>
          <w:tcPr>
            <w:tcW w:w="95"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0" w:type="dxa"/>
            <w:tcBorders/>
            <w:shd w:fill="CCEEFF" w:val="clear"/>
            <w:vAlign w:val="center"/>
          </w:tcPr>
          <w:p>
            <w:pPr>
              <w:pStyle w:val="TableContents"/>
              <w:bidi w:val="0"/>
              <w:spacing w:before="0" w:after="0"/>
              <w:ind w:left="0" w:right="0" w:hanging="0"/>
              <w:jc w:val="left"/>
              <w:rPr/>
            </w:pPr>
            <w:r>
              <w:rPr/>
              <w:t> </w:t>
            </w:r>
          </w:p>
        </w:tc>
        <w:tc>
          <w:tcPr>
            <w:tcW w:w="999" w:type="dxa"/>
            <w:gridSpan w:val="2"/>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439.0</w:t>
            </w:r>
          </w:p>
        </w:tc>
        <w:tc>
          <w:tcPr>
            <w:tcW w:w="111"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8060"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Current portion of operating lease liabilities</w:t>
            </w:r>
          </w:p>
        </w:tc>
        <w:tc>
          <w:tcPr>
            <w:tcW w:w="880" w:type="dxa"/>
            <w:gridSpan w:val="2"/>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50.9</w:t>
            </w:r>
          </w:p>
        </w:tc>
        <w:tc>
          <w:tcPr>
            <w:tcW w:w="95" w:type="dxa"/>
            <w:tcBorders/>
            <w:vAlign w:val="center"/>
          </w:tcPr>
          <w:p>
            <w:pPr>
              <w:pStyle w:val="TableContents"/>
              <w:bidi w:val="0"/>
              <w:spacing w:before="0" w:after="283"/>
              <w:ind w:left="0" w:right="0" w:hanging="0"/>
              <w:jc w:val="left"/>
              <w:rPr>
                <w:sz w:val="4"/>
                <w:szCs w:val="4"/>
              </w:rPr>
            </w:pPr>
            <w:r>
              <w:rPr>
                <w:sz w:val="4"/>
                <w:szCs w:val="4"/>
              </w:rPr>
            </w:r>
          </w:p>
        </w:tc>
        <w:tc>
          <w:tcPr>
            <w:tcW w:w="60" w:type="dxa"/>
            <w:tcBorders/>
            <w:vAlign w:val="center"/>
          </w:tcPr>
          <w:p>
            <w:pPr>
              <w:pStyle w:val="TableContents"/>
              <w:bidi w:val="0"/>
              <w:spacing w:before="0" w:after="0"/>
              <w:ind w:left="0" w:right="0" w:hanging="0"/>
              <w:jc w:val="left"/>
              <w:rPr/>
            </w:pPr>
            <w:r>
              <w:rPr/>
              <w:t> </w:t>
            </w:r>
          </w:p>
        </w:tc>
        <w:tc>
          <w:tcPr>
            <w:tcW w:w="999" w:type="dxa"/>
            <w:gridSpan w:val="2"/>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50.3</w:t>
            </w:r>
          </w:p>
        </w:tc>
        <w:tc>
          <w:tcPr>
            <w:tcW w:w="111" w:type="dxa"/>
            <w:tcBorders/>
            <w:vAlign w:val="center"/>
          </w:tcPr>
          <w:p>
            <w:pPr>
              <w:pStyle w:val="TableContents"/>
              <w:bidi w:val="0"/>
              <w:spacing w:before="0" w:after="283"/>
              <w:ind w:left="0" w:right="0" w:hanging="0"/>
              <w:jc w:val="left"/>
              <w:rPr>
                <w:sz w:val="4"/>
                <w:szCs w:val="4"/>
              </w:rPr>
            </w:pPr>
            <w:r>
              <w:rPr>
                <w:sz w:val="4"/>
                <w:szCs w:val="4"/>
              </w:rPr>
            </w:r>
          </w:p>
        </w:tc>
      </w:tr>
      <w:tr>
        <w:trPr/>
        <w:tc>
          <w:tcPr>
            <w:tcW w:w="8060"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Short-term debt obligations and current maturities of long-term debt obligations</w:t>
            </w:r>
          </w:p>
        </w:tc>
        <w:tc>
          <w:tcPr>
            <w:tcW w:w="880" w:type="dxa"/>
            <w:gridSpan w:val="2"/>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1,233.8</w:t>
            </w:r>
          </w:p>
        </w:tc>
        <w:tc>
          <w:tcPr>
            <w:tcW w:w="95"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0" w:type="dxa"/>
            <w:tcBorders/>
            <w:shd w:fill="CCEEFF" w:val="clear"/>
            <w:vAlign w:val="center"/>
          </w:tcPr>
          <w:p>
            <w:pPr>
              <w:pStyle w:val="TableContents"/>
              <w:bidi w:val="0"/>
              <w:spacing w:before="0" w:after="0"/>
              <w:ind w:left="0" w:right="0" w:hanging="0"/>
              <w:jc w:val="left"/>
              <w:rPr/>
            </w:pPr>
            <w:r>
              <w:rPr/>
              <w:t> </w:t>
            </w:r>
          </w:p>
        </w:tc>
        <w:tc>
          <w:tcPr>
            <w:tcW w:w="999" w:type="dxa"/>
            <w:gridSpan w:val="2"/>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150.3</w:t>
            </w:r>
          </w:p>
        </w:tc>
        <w:tc>
          <w:tcPr>
            <w:tcW w:w="111"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8060"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Income taxes payable</w:t>
            </w:r>
          </w:p>
        </w:tc>
        <w:tc>
          <w:tcPr>
            <w:tcW w:w="880" w:type="dxa"/>
            <w:gridSpan w:val="2"/>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80.9</w:t>
            </w:r>
          </w:p>
        </w:tc>
        <w:tc>
          <w:tcPr>
            <w:tcW w:w="95" w:type="dxa"/>
            <w:tcBorders/>
            <w:vAlign w:val="center"/>
          </w:tcPr>
          <w:p>
            <w:pPr>
              <w:pStyle w:val="TableContents"/>
              <w:bidi w:val="0"/>
              <w:spacing w:before="0" w:after="283"/>
              <w:ind w:left="0" w:right="0" w:hanging="0"/>
              <w:jc w:val="left"/>
              <w:rPr>
                <w:sz w:val="4"/>
                <w:szCs w:val="4"/>
              </w:rPr>
            </w:pPr>
            <w:r>
              <w:rPr>
                <w:sz w:val="4"/>
                <w:szCs w:val="4"/>
              </w:rPr>
            </w:r>
          </w:p>
        </w:tc>
        <w:tc>
          <w:tcPr>
            <w:tcW w:w="60" w:type="dxa"/>
            <w:tcBorders/>
            <w:vAlign w:val="center"/>
          </w:tcPr>
          <w:p>
            <w:pPr>
              <w:pStyle w:val="TableContents"/>
              <w:bidi w:val="0"/>
              <w:spacing w:before="0" w:after="0"/>
              <w:ind w:left="0" w:right="0" w:hanging="0"/>
              <w:jc w:val="left"/>
              <w:rPr/>
            </w:pPr>
            <w:r>
              <w:rPr/>
              <w:t> </w:t>
            </w:r>
          </w:p>
        </w:tc>
        <w:tc>
          <w:tcPr>
            <w:tcW w:w="999" w:type="dxa"/>
            <w:gridSpan w:val="2"/>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81.6</w:t>
            </w:r>
          </w:p>
        </w:tc>
        <w:tc>
          <w:tcPr>
            <w:tcW w:w="111" w:type="dxa"/>
            <w:tcBorders/>
            <w:vAlign w:val="center"/>
          </w:tcPr>
          <w:p>
            <w:pPr>
              <w:pStyle w:val="TableContents"/>
              <w:bidi w:val="0"/>
              <w:spacing w:before="0" w:after="283"/>
              <w:ind w:left="0" w:right="0" w:hanging="0"/>
              <w:jc w:val="left"/>
              <w:rPr>
                <w:sz w:val="4"/>
                <w:szCs w:val="4"/>
              </w:rPr>
            </w:pPr>
            <w:r>
              <w:rPr>
                <w:sz w:val="4"/>
                <w:szCs w:val="4"/>
              </w:rPr>
            </w:r>
          </w:p>
        </w:tc>
      </w:tr>
      <w:tr>
        <w:trPr/>
        <w:tc>
          <w:tcPr>
            <w:tcW w:w="8060"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Deferred revenue</w:t>
            </w:r>
          </w:p>
        </w:tc>
        <w:tc>
          <w:tcPr>
            <w:tcW w:w="880" w:type="dxa"/>
            <w:gridSpan w:val="2"/>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56.3</w:t>
            </w:r>
          </w:p>
        </w:tc>
        <w:tc>
          <w:tcPr>
            <w:tcW w:w="95"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0" w:type="dxa"/>
            <w:tcBorders/>
            <w:shd w:fill="CCEEFF" w:val="clear"/>
            <w:vAlign w:val="center"/>
          </w:tcPr>
          <w:p>
            <w:pPr>
              <w:pStyle w:val="TableContents"/>
              <w:bidi w:val="0"/>
              <w:spacing w:before="0" w:after="0"/>
              <w:ind w:left="0" w:right="0" w:hanging="0"/>
              <w:jc w:val="left"/>
              <w:rPr/>
            </w:pPr>
            <w:r>
              <w:rPr/>
              <w:t> </w:t>
            </w:r>
          </w:p>
        </w:tc>
        <w:tc>
          <w:tcPr>
            <w:tcW w:w="999" w:type="dxa"/>
            <w:gridSpan w:val="2"/>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56.7</w:t>
            </w:r>
          </w:p>
        </w:tc>
        <w:tc>
          <w:tcPr>
            <w:tcW w:w="111" w:type="dxa"/>
            <w:tcBorders/>
            <w:shd w:fill="CCEEFF" w:val="clear"/>
            <w:vAlign w:val="center"/>
          </w:tcPr>
          <w:p>
            <w:pPr>
              <w:pStyle w:val="TableContents"/>
              <w:bidi w:val="0"/>
              <w:spacing w:before="0" w:after="283"/>
              <w:jc w:val="left"/>
              <w:rPr>
                <w:sz w:val="4"/>
                <w:szCs w:val="4"/>
              </w:rPr>
            </w:pPr>
            <w:r>
              <w:rPr>
                <w:sz w:val="4"/>
                <w:szCs w:val="4"/>
              </w:rPr>
            </w:r>
          </w:p>
        </w:tc>
      </w:tr>
      <w:tr>
        <w:trPr/>
        <w:tc>
          <w:tcPr>
            <w:tcW w:w="8060"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Total current liabilities</w:t>
            </w:r>
          </w:p>
        </w:tc>
        <w:tc>
          <w:tcPr>
            <w:tcW w:w="880" w:type="dxa"/>
            <w:gridSpan w:val="2"/>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3,571.6</w:t>
            </w:r>
          </w:p>
        </w:tc>
        <w:tc>
          <w:tcPr>
            <w:tcW w:w="95" w:type="dxa"/>
            <w:tcBorders/>
            <w:vAlign w:val="center"/>
          </w:tcPr>
          <w:p>
            <w:pPr>
              <w:pStyle w:val="TableContents"/>
              <w:bidi w:val="0"/>
              <w:spacing w:before="0" w:after="283"/>
              <w:ind w:left="0" w:right="0" w:hanging="0"/>
              <w:jc w:val="left"/>
              <w:rPr>
                <w:sz w:val="4"/>
                <w:szCs w:val="4"/>
              </w:rPr>
            </w:pPr>
            <w:r>
              <w:rPr>
                <w:sz w:val="4"/>
                <w:szCs w:val="4"/>
              </w:rPr>
            </w:r>
          </w:p>
        </w:tc>
        <w:tc>
          <w:tcPr>
            <w:tcW w:w="60" w:type="dxa"/>
            <w:tcBorders/>
            <w:vAlign w:val="center"/>
          </w:tcPr>
          <w:p>
            <w:pPr>
              <w:pStyle w:val="TableContents"/>
              <w:bidi w:val="0"/>
              <w:spacing w:before="0" w:after="0"/>
              <w:ind w:left="0" w:right="0" w:hanging="0"/>
              <w:jc w:val="left"/>
              <w:rPr/>
            </w:pPr>
            <w:r>
              <w:rPr/>
              <w:t> </w:t>
            </w:r>
          </w:p>
        </w:tc>
        <w:tc>
          <w:tcPr>
            <w:tcW w:w="999" w:type="dxa"/>
            <w:gridSpan w:val="2"/>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2,700.6</w:t>
            </w:r>
          </w:p>
        </w:tc>
        <w:tc>
          <w:tcPr>
            <w:tcW w:w="111" w:type="dxa"/>
            <w:tcBorders/>
            <w:vAlign w:val="center"/>
          </w:tcPr>
          <w:p>
            <w:pPr>
              <w:pStyle w:val="TableContents"/>
              <w:bidi w:val="0"/>
              <w:spacing w:before="0" w:after="283"/>
              <w:ind w:left="0" w:right="0" w:hanging="0"/>
              <w:jc w:val="left"/>
              <w:rPr>
                <w:sz w:val="4"/>
                <w:szCs w:val="4"/>
              </w:rPr>
            </w:pPr>
            <w:r>
              <w:rPr>
                <w:sz w:val="4"/>
                <w:szCs w:val="4"/>
              </w:rPr>
            </w:r>
          </w:p>
        </w:tc>
      </w:tr>
      <w:tr>
        <w:trPr/>
        <w:tc>
          <w:tcPr>
            <w:tcW w:w="8060"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Debt obligations, net of current portion</w:t>
            </w:r>
          </w:p>
        </w:tc>
        <w:tc>
          <w:tcPr>
            <w:tcW w:w="880" w:type="dxa"/>
            <w:gridSpan w:val="2"/>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1,032.7</w:t>
            </w:r>
          </w:p>
        </w:tc>
        <w:tc>
          <w:tcPr>
            <w:tcW w:w="95"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0" w:type="dxa"/>
            <w:tcBorders/>
            <w:shd w:fill="CCEEFF" w:val="clear"/>
            <w:vAlign w:val="center"/>
          </w:tcPr>
          <w:p>
            <w:pPr>
              <w:pStyle w:val="TableContents"/>
              <w:bidi w:val="0"/>
              <w:spacing w:before="0" w:after="0"/>
              <w:ind w:left="0" w:right="0" w:hanging="0"/>
              <w:jc w:val="left"/>
              <w:rPr/>
            </w:pPr>
            <w:r>
              <w:rPr/>
              <w:t> </w:t>
            </w:r>
          </w:p>
        </w:tc>
        <w:tc>
          <w:tcPr>
            <w:tcW w:w="999" w:type="dxa"/>
            <w:gridSpan w:val="2"/>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1,715.4</w:t>
            </w:r>
          </w:p>
        </w:tc>
        <w:tc>
          <w:tcPr>
            <w:tcW w:w="111"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8060"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Operating lease obligations, net of current portion</w:t>
            </w:r>
          </w:p>
        </w:tc>
        <w:tc>
          <w:tcPr>
            <w:tcW w:w="880" w:type="dxa"/>
            <w:gridSpan w:val="2"/>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97.2</w:t>
            </w:r>
          </w:p>
        </w:tc>
        <w:tc>
          <w:tcPr>
            <w:tcW w:w="95" w:type="dxa"/>
            <w:tcBorders/>
            <w:vAlign w:val="center"/>
          </w:tcPr>
          <w:p>
            <w:pPr>
              <w:pStyle w:val="TableContents"/>
              <w:bidi w:val="0"/>
              <w:spacing w:before="0" w:after="283"/>
              <w:ind w:left="0" w:right="0" w:hanging="0"/>
              <w:jc w:val="left"/>
              <w:rPr>
                <w:sz w:val="4"/>
                <w:szCs w:val="4"/>
              </w:rPr>
            </w:pPr>
            <w:r>
              <w:rPr>
                <w:sz w:val="4"/>
                <w:szCs w:val="4"/>
              </w:rPr>
            </w:r>
          </w:p>
        </w:tc>
        <w:tc>
          <w:tcPr>
            <w:tcW w:w="60" w:type="dxa"/>
            <w:tcBorders/>
            <w:vAlign w:val="center"/>
          </w:tcPr>
          <w:p>
            <w:pPr>
              <w:pStyle w:val="TableContents"/>
              <w:bidi w:val="0"/>
              <w:spacing w:before="0" w:after="0"/>
              <w:ind w:left="0" w:right="0" w:hanging="0"/>
              <w:jc w:val="left"/>
              <w:rPr/>
            </w:pPr>
            <w:r>
              <w:rPr/>
              <w:t> </w:t>
            </w:r>
          </w:p>
        </w:tc>
        <w:tc>
          <w:tcPr>
            <w:tcW w:w="999" w:type="dxa"/>
            <w:gridSpan w:val="2"/>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95.8</w:t>
            </w:r>
          </w:p>
        </w:tc>
        <w:tc>
          <w:tcPr>
            <w:tcW w:w="111" w:type="dxa"/>
            <w:tcBorders/>
            <w:vAlign w:val="center"/>
          </w:tcPr>
          <w:p>
            <w:pPr>
              <w:pStyle w:val="TableContents"/>
              <w:bidi w:val="0"/>
              <w:spacing w:before="0" w:after="283"/>
              <w:ind w:left="0" w:right="0" w:hanging="0"/>
              <w:jc w:val="left"/>
              <w:rPr>
                <w:sz w:val="4"/>
                <w:szCs w:val="4"/>
              </w:rPr>
            </w:pPr>
            <w:r>
              <w:rPr>
                <w:sz w:val="4"/>
                <w:szCs w:val="4"/>
              </w:rPr>
            </w:r>
          </w:p>
        </w:tc>
      </w:tr>
      <w:tr>
        <w:trPr/>
        <w:tc>
          <w:tcPr>
            <w:tcW w:w="8060"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Deferred income taxes</w:t>
            </w:r>
          </w:p>
        </w:tc>
        <w:tc>
          <w:tcPr>
            <w:tcW w:w="880" w:type="dxa"/>
            <w:gridSpan w:val="2"/>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62.9</w:t>
            </w:r>
          </w:p>
        </w:tc>
        <w:tc>
          <w:tcPr>
            <w:tcW w:w="95"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0" w:type="dxa"/>
            <w:tcBorders/>
            <w:shd w:fill="CCEEFF" w:val="clear"/>
            <w:vAlign w:val="center"/>
          </w:tcPr>
          <w:p>
            <w:pPr>
              <w:pStyle w:val="TableContents"/>
              <w:bidi w:val="0"/>
              <w:spacing w:before="0" w:after="0"/>
              <w:ind w:left="0" w:right="0" w:hanging="0"/>
              <w:jc w:val="left"/>
              <w:rPr/>
            </w:pPr>
            <w:r>
              <w:rPr/>
              <w:t> </w:t>
            </w:r>
          </w:p>
        </w:tc>
        <w:tc>
          <w:tcPr>
            <w:tcW w:w="999" w:type="dxa"/>
            <w:gridSpan w:val="2"/>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47.0</w:t>
            </w:r>
          </w:p>
        </w:tc>
        <w:tc>
          <w:tcPr>
            <w:tcW w:w="111"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8060"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Other long-term liabilities</w:t>
            </w:r>
          </w:p>
        </w:tc>
        <w:tc>
          <w:tcPr>
            <w:tcW w:w="880" w:type="dxa"/>
            <w:gridSpan w:val="2"/>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82.8</w:t>
            </w:r>
          </w:p>
        </w:tc>
        <w:tc>
          <w:tcPr>
            <w:tcW w:w="95" w:type="dxa"/>
            <w:tcBorders/>
            <w:vAlign w:val="center"/>
          </w:tcPr>
          <w:p>
            <w:pPr>
              <w:pStyle w:val="TableContents"/>
              <w:bidi w:val="0"/>
              <w:spacing w:before="0" w:after="283"/>
              <w:ind w:left="0" w:right="0" w:hanging="0"/>
              <w:jc w:val="left"/>
              <w:rPr>
                <w:sz w:val="4"/>
                <w:szCs w:val="4"/>
              </w:rPr>
            </w:pPr>
            <w:r>
              <w:rPr>
                <w:sz w:val="4"/>
                <w:szCs w:val="4"/>
              </w:rPr>
            </w:r>
          </w:p>
        </w:tc>
        <w:tc>
          <w:tcPr>
            <w:tcW w:w="60" w:type="dxa"/>
            <w:tcBorders/>
            <w:vAlign w:val="center"/>
          </w:tcPr>
          <w:p>
            <w:pPr>
              <w:pStyle w:val="TableContents"/>
              <w:bidi w:val="0"/>
              <w:spacing w:before="0" w:after="0"/>
              <w:ind w:left="0" w:right="0" w:hanging="0"/>
              <w:jc w:val="left"/>
              <w:rPr/>
            </w:pPr>
            <w:r>
              <w:rPr/>
              <w:t> </w:t>
            </w:r>
          </w:p>
        </w:tc>
        <w:tc>
          <w:tcPr>
            <w:tcW w:w="999" w:type="dxa"/>
            <w:gridSpan w:val="2"/>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85.9</w:t>
            </w:r>
          </w:p>
        </w:tc>
        <w:tc>
          <w:tcPr>
            <w:tcW w:w="111" w:type="dxa"/>
            <w:tcBorders/>
            <w:vAlign w:val="center"/>
          </w:tcPr>
          <w:p>
            <w:pPr>
              <w:pStyle w:val="TableContents"/>
              <w:bidi w:val="0"/>
              <w:spacing w:before="0" w:after="283"/>
              <w:jc w:val="left"/>
              <w:rPr>
                <w:sz w:val="4"/>
                <w:szCs w:val="4"/>
              </w:rPr>
            </w:pPr>
            <w:r>
              <w:rPr>
                <w:sz w:val="4"/>
                <w:szCs w:val="4"/>
              </w:rPr>
            </w:r>
          </w:p>
        </w:tc>
      </w:tr>
      <w:tr>
        <w:trPr/>
        <w:tc>
          <w:tcPr>
            <w:tcW w:w="8060"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Total liabilities</w:t>
            </w:r>
          </w:p>
        </w:tc>
        <w:tc>
          <w:tcPr>
            <w:tcW w:w="880" w:type="dxa"/>
            <w:gridSpan w:val="2"/>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4,847.2</w:t>
            </w:r>
          </w:p>
        </w:tc>
        <w:tc>
          <w:tcPr>
            <w:tcW w:w="95"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0" w:type="dxa"/>
            <w:tcBorders/>
            <w:shd w:fill="CCEEFF" w:val="clear"/>
            <w:vAlign w:val="center"/>
          </w:tcPr>
          <w:p>
            <w:pPr>
              <w:pStyle w:val="TableContents"/>
              <w:bidi w:val="0"/>
              <w:spacing w:before="0" w:after="0"/>
              <w:ind w:left="0" w:right="0" w:hanging="0"/>
              <w:jc w:val="left"/>
              <w:rPr/>
            </w:pPr>
            <w:r>
              <w:rPr/>
              <w:t> </w:t>
            </w:r>
          </w:p>
        </w:tc>
        <w:tc>
          <w:tcPr>
            <w:tcW w:w="999" w:type="dxa"/>
            <w:gridSpan w:val="2"/>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4,644.7</w:t>
            </w:r>
          </w:p>
        </w:tc>
        <w:tc>
          <w:tcPr>
            <w:tcW w:w="111" w:type="dxa"/>
            <w:tcBorders/>
            <w:shd w:fill="CCEEFF" w:val="clear"/>
            <w:vAlign w:val="center"/>
          </w:tcPr>
          <w:p>
            <w:pPr>
              <w:pStyle w:val="TableContents"/>
              <w:bidi w:val="0"/>
              <w:spacing w:before="0" w:after="283"/>
              <w:jc w:val="left"/>
              <w:rPr>
                <w:sz w:val="4"/>
                <w:szCs w:val="4"/>
              </w:rPr>
            </w:pPr>
            <w:r>
              <w:rPr>
                <w:sz w:val="4"/>
                <w:szCs w:val="4"/>
              </w:rPr>
            </w:r>
          </w:p>
        </w:tc>
      </w:tr>
      <w:tr>
        <w:trPr/>
        <w:tc>
          <w:tcPr>
            <w:tcW w:w="8060"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Equity:</w:t>
            </w:r>
          </w:p>
        </w:tc>
        <w:tc>
          <w:tcPr>
            <w:tcW w:w="975" w:type="dxa"/>
            <w:gridSpan w:val="3"/>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110" w:type="dxa"/>
            <w:gridSpan w:val="3"/>
            <w:tcBorders/>
            <w:vAlign w:val="center"/>
          </w:tcPr>
          <w:p>
            <w:pPr>
              <w:pStyle w:val="TableContents"/>
              <w:bidi w:val="0"/>
              <w:spacing w:before="0" w:after="0"/>
              <w:jc w:val="left"/>
              <w:rPr/>
            </w:pPr>
            <w:r>
              <w:rPr/>
              <w:t> </w:t>
            </w:r>
          </w:p>
        </w:tc>
      </w:tr>
      <w:tr>
        <w:trPr/>
        <w:tc>
          <w:tcPr>
            <w:tcW w:w="8060"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Euronet Worldwide, Inc. stockholders’ equity:</w:t>
            </w:r>
          </w:p>
        </w:tc>
        <w:tc>
          <w:tcPr>
            <w:tcW w:w="975" w:type="dxa"/>
            <w:gridSpan w:val="3"/>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10" w:type="dxa"/>
            <w:gridSpan w:val="3"/>
            <w:tcBorders/>
            <w:shd w:fill="CCEEFF" w:val="clear"/>
            <w:vAlign w:val="center"/>
          </w:tcPr>
          <w:p>
            <w:pPr>
              <w:pStyle w:val="TableContents"/>
              <w:bidi w:val="0"/>
              <w:spacing w:before="0" w:after="0"/>
              <w:jc w:val="left"/>
              <w:rPr/>
            </w:pPr>
            <w:r>
              <w:rPr/>
              <w:t> </w:t>
            </w:r>
          </w:p>
        </w:tc>
      </w:tr>
      <w:tr>
        <w:trPr/>
        <w:tc>
          <w:tcPr>
            <w:tcW w:w="8060"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Preferred Stock, $0.02 par value. 10,000,000 shares authorized; none issued</w:t>
            </w:r>
          </w:p>
        </w:tc>
        <w:tc>
          <w:tcPr>
            <w:tcW w:w="880" w:type="dxa"/>
            <w:gridSpan w:val="2"/>
            <w:tcBorders/>
            <w:vAlign w:val="center"/>
          </w:tcPr>
          <w:p>
            <w:pPr>
              <w:pStyle w:val="TableContents"/>
              <w:bidi w:val="0"/>
              <w:spacing w:before="0" w:after="0"/>
              <w:ind w:left="0" w:right="0" w:hanging="0"/>
              <w:jc w:val="right"/>
              <w:rPr/>
            </w:pPr>
            <w:r>
              <w:rPr/>
              <w:t>—</w:t>
            </w:r>
          </w:p>
        </w:tc>
        <w:tc>
          <w:tcPr>
            <w:tcW w:w="95" w:type="dxa"/>
            <w:tcBorders/>
            <w:vAlign w:val="center"/>
          </w:tcPr>
          <w:p>
            <w:pPr>
              <w:pStyle w:val="TableContents"/>
              <w:bidi w:val="0"/>
              <w:spacing w:before="0" w:after="283"/>
              <w:ind w:left="0" w:right="0" w:hanging="0"/>
              <w:jc w:val="left"/>
              <w:rPr>
                <w:sz w:val="4"/>
                <w:szCs w:val="4"/>
              </w:rPr>
            </w:pPr>
            <w:r>
              <w:rPr>
                <w:sz w:val="4"/>
                <w:szCs w:val="4"/>
              </w:rPr>
            </w:r>
          </w:p>
        </w:tc>
        <w:tc>
          <w:tcPr>
            <w:tcW w:w="60" w:type="dxa"/>
            <w:tcBorders/>
            <w:vAlign w:val="center"/>
          </w:tcPr>
          <w:p>
            <w:pPr>
              <w:pStyle w:val="TableContents"/>
              <w:bidi w:val="0"/>
              <w:spacing w:before="0" w:after="0"/>
              <w:ind w:left="0" w:right="0" w:hanging="0"/>
              <w:jc w:val="left"/>
              <w:rPr/>
            </w:pPr>
            <w:r>
              <w:rPr/>
              <w:t> </w:t>
            </w:r>
          </w:p>
        </w:tc>
        <w:tc>
          <w:tcPr>
            <w:tcW w:w="999" w:type="dxa"/>
            <w:gridSpan w:val="2"/>
            <w:tcBorders/>
            <w:vAlign w:val="center"/>
          </w:tcPr>
          <w:p>
            <w:pPr>
              <w:pStyle w:val="TableContents"/>
              <w:bidi w:val="0"/>
              <w:spacing w:before="0" w:after="0"/>
              <w:ind w:left="0" w:right="0" w:hanging="0"/>
              <w:jc w:val="right"/>
              <w:rPr/>
            </w:pPr>
            <w:r>
              <w:rPr/>
              <w:t>—</w:t>
            </w:r>
          </w:p>
        </w:tc>
        <w:tc>
          <w:tcPr>
            <w:tcW w:w="111" w:type="dxa"/>
            <w:tcBorders/>
            <w:vAlign w:val="center"/>
          </w:tcPr>
          <w:p>
            <w:pPr>
              <w:pStyle w:val="TableContents"/>
              <w:bidi w:val="0"/>
              <w:spacing w:before="0" w:after="283"/>
              <w:jc w:val="left"/>
              <w:rPr>
                <w:sz w:val="4"/>
                <w:szCs w:val="4"/>
              </w:rPr>
            </w:pPr>
            <w:r>
              <w:rPr>
                <w:sz w:val="4"/>
                <w:szCs w:val="4"/>
              </w:rPr>
            </w:r>
          </w:p>
        </w:tc>
      </w:tr>
      <w:tr>
        <w:trPr/>
        <w:tc>
          <w:tcPr>
            <w:tcW w:w="8060"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Common Stock, $0.02 par value. 90,000,000 shares authorized; shares issued 64,508,362 and 64,376,923</w:t>
            </w:r>
          </w:p>
        </w:tc>
        <w:tc>
          <w:tcPr>
            <w:tcW w:w="880" w:type="dxa"/>
            <w:gridSpan w:val="2"/>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1.3</w:t>
            </w:r>
          </w:p>
        </w:tc>
        <w:tc>
          <w:tcPr>
            <w:tcW w:w="95"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0" w:type="dxa"/>
            <w:tcBorders/>
            <w:shd w:fill="CCEEFF" w:val="clear"/>
            <w:vAlign w:val="center"/>
          </w:tcPr>
          <w:p>
            <w:pPr>
              <w:pStyle w:val="TableContents"/>
              <w:bidi w:val="0"/>
              <w:spacing w:before="0" w:after="0"/>
              <w:ind w:left="0" w:right="0" w:hanging="0"/>
              <w:jc w:val="left"/>
              <w:rPr/>
            </w:pPr>
            <w:r>
              <w:rPr/>
              <w:t> </w:t>
            </w:r>
          </w:p>
        </w:tc>
        <w:tc>
          <w:tcPr>
            <w:tcW w:w="999" w:type="dxa"/>
            <w:gridSpan w:val="2"/>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1.3</w:t>
            </w:r>
          </w:p>
        </w:tc>
        <w:tc>
          <w:tcPr>
            <w:tcW w:w="111" w:type="dxa"/>
            <w:tcBorders/>
            <w:shd w:fill="CCEEFF" w:val="clear"/>
            <w:vAlign w:val="center"/>
          </w:tcPr>
          <w:p>
            <w:pPr>
              <w:pStyle w:val="TableContents"/>
              <w:bidi w:val="0"/>
              <w:spacing w:before="0" w:after="283"/>
              <w:jc w:val="left"/>
              <w:rPr>
                <w:sz w:val="4"/>
                <w:szCs w:val="4"/>
              </w:rPr>
            </w:pPr>
            <w:r>
              <w:rPr>
                <w:sz w:val="4"/>
                <w:szCs w:val="4"/>
              </w:rPr>
            </w:r>
          </w:p>
        </w:tc>
      </w:tr>
      <w:tr>
        <w:trPr/>
        <w:tc>
          <w:tcPr>
            <w:tcW w:w="8060"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Additional paid-in-capital</w:t>
            </w:r>
          </w:p>
        </w:tc>
        <w:tc>
          <w:tcPr>
            <w:tcW w:w="880" w:type="dxa"/>
            <w:gridSpan w:val="2"/>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1,336.9</w:t>
            </w:r>
          </w:p>
        </w:tc>
        <w:tc>
          <w:tcPr>
            <w:tcW w:w="95" w:type="dxa"/>
            <w:tcBorders/>
            <w:vAlign w:val="center"/>
          </w:tcPr>
          <w:p>
            <w:pPr>
              <w:pStyle w:val="TableContents"/>
              <w:bidi w:val="0"/>
              <w:spacing w:before="0" w:after="283"/>
              <w:ind w:left="0" w:right="0" w:hanging="0"/>
              <w:jc w:val="left"/>
              <w:rPr>
                <w:sz w:val="4"/>
                <w:szCs w:val="4"/>
              </w:rPr>
            </w:pPr>
            <w:r>
              <w:rPr>
                <w:sz w:val="4"/>
                <w:szCs w:val="4"/>
              </w:rPr>
            </w:r>
          </w:p>
        </w:tc>
        <w:tc>
          <w:tcPr>
            <w:tcW w:w="60" w:type="dxa"/>
            <w:tcBorders/>
            <w:vAlign w:val="center"/>
          </w:tcPr>
          <w:p>
            <w:pPr>
              <w:pStyle w:val="TableContents"/>
              <w:bidi w:val="0"/>
              <w:spacing w:before="0" w:after="0"/>
              <w:ind w:left="0" w:right="0" w:hanging="0"/>
              <w:jc w:val="left"/>
              <w:rPr/>
            </w:pPr>
            <w:r>
              <w:rPr/>
              <w:t> </w:t>
            </w:r>
          </w:p>
        </w:tc>
        <w:tc>
          <w:tcPr>
            <w:tcW w:w="999" w:type="dxa"/>
            <w:gridSpan w:val="2"/>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1,311.6</w:t>
            </w:r>
          </w:p>
        </w:tc>
        <w:tc>
          <w:tcPr>
            <w:tcW w:w="111" w:type="dxa"/>
            <w:tcBorders/>
            <w:vAlign w:val="center"/>
          </w:tcPr>
          <w:p>
            <w:pPr>
              <w:pStyle w:val="TableContents"/>
              <w:bidi w:val="0"/>
              <w:spacing w:before="0" w:after="283"/>
              <w:jc w:val="left"/>
              <w:rPr>
                <w:sz w:val="4"/>
                <w:szCs w:val="4"/>
              </w:rPr>
            </w:pPr>
            <w:r>
              <w:rPr>
                <w:sz w:val="4"/>
                <w:szCs w:val="4"/>
              </w:rPr>
            </w:r>
          </w:p>
        </w:tc>
      </w:tr>
      <w:tr>
        <w:trPr/>
        <w:tc>
          <w:tcPr>
            <w:tcW w:w="8060"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Treasury stock, at cost, shares issued 19,601,012 and 18,598,961</w:t>
            </w:r>
          </w:p>
        </w:tc>
        <w:tc>
          <w:tcPr>
            <w:tcW w:w="880" w:type="dxa"/>
            <w:gridSpan w:val="2"/>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(1,603.5</w:t>
            </w:r>
          </w:p>
        </w:tc>
        <w:tc>
          <w:tcPr>
            <w:tcW w:w="95"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999" w:type="dxa"/>
            <w:gridSpan w:val="2"/>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(1,487.7</w:t>
            </w:r>
          </w:p>
        </w:tc>
        <w:tc>
          <w:tcPr>
            <w:tcW w:w="111" w:type="dxa"/>
            <w:tcBorders/>
            <w:shd w:fill="CCEEFF" w:val="clear"/>
            <w:vAlign w:val="center"/>
          </w:tcPr>
          <w:p>
            <w:pPr>
              <w:pStyle w:val="TableContents"/>
              <w:bidi w:val="0"/>
              <w:spacing w:before="0" w:after="0"/>
              <w:jc w:val="left"/>
              <w:rPr>
                <w:rFonts w:ascii="times new roman;times" w:hAnsi="times new roman;times"/>
              </w:rPr>
            </w:pPr>
            <w:r>
              <w:rPr>
                <w:rFonts w:ascii="times new roman;times" w:hAnsi="times new roman;times"/>
              </w:rPr>
              <w:t>)</w:t>
            </w:r>
          </w:p>
        </w:tc>
      </w:tr>
      <w:tr>
        <w:trPr/>
        <w:tc>
          <w:tcPr>
            <w:tcW w:w="8060"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Retained earnings</w:t>
            </w:r>
          </w:p>
        </w:tc>
        <w:tc>
          <w:tcPr>
            <w:tcW w:w="880" w:type="dxa"/>
            <w:gridSpan w:val="2"/>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1,737.3</w:t>
            </w:r>
          </w:p>
        </w:tc>
        <w:tc>
          <w:tcPr>
            <w:tcW w:w="95" w:type="dxa"/>
            <w:tcBorders/>
            <w:vAlign w:val="center"/>
          </w:tcPr>
          <w:p>
            <w:pPr>
              <w:pStyle w:val="TableContents"/>
              <w:bidi w:val="0"/>
              <w:spacing w:before="0" w:after="283"/>
              <w:ind w:left="0" w:right="0" w:hanging="0"/>
              <w:jc w:val="left"/>
              <w:rPr>
                <w:sz w:val="4"/>
                <w:szCs w:val="4"/>
              </w:rPr>
            </w:pPr>
            <w:r>
              <w:rPr>
                <w:sz w:val="4"/>
                <w:szCs w:val="4"/>
              </w:rPr>
            </w:r>
          </w:p>
        </w:tc>
        <w:tc>
          <w:tcPr>
            <w:tcW w:w="60" w:type="dxa"/>
            <w:tcBorders/>
            <w:vAlign w:val="center"/>
          </w:tcPr>
          <w:p>
            <w:pPr>
              <w:pStyle w:val="TableContents"/>
              <w:bidi w:val="0"/>
              <w:spacing w:before="0" w:after="0"/>
              <w:ind w:left="0" w:right="0" w:hanging="0"/>
              <w:jc w:val="left"/>
              <w:rPr/>
            </w:pPr>
            <w:r>
              <w:rPr/>
              <w:t> </w:t>
            </w:r>
          </w:p>
        </w:tc>
        <w:tc>
          <w:tcPr>
            <w:tcW w:w="999" w:type="dxa"/>
            <w:gridSpan w:val="2"/>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1,627.9</w:t>
            </w:r>
          </w:p>
        </w:tc>
        <w:tc>
          <w:tcPr>
            <w:tcW w:w="111" w:type="dxa"/>
            <w:tcBorders/>
            <w:vAlign w:val="center"/>
          </w:tcPr>
          <w:p>
            <w:pPr>
              <w:pStyle w:val="TableContents"/>
              <w:bidi w:val="0"/>
              <w:spacing w:before="0" w:after="283"/>
              <w:jc w:val="left"/>
              <w:rPr>
                <w:sz w:val="4"/>
                <w:szCs w:val="4"/>
              </w:rPr>
            </w:pPr>
            <w:r>
              <w:rPr>
                <w:sz w:val="4"/>
                <w:szCs w:val="4"/>
              </w:rPr>
            </w:r>
          </w:p>
        </w:tc>
      </w:tr>
      <w:tr>
        <w:trPr/>
        <w:tc>
          <w:tcPr>
            <w:tcW w:w="8060"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Accumulated other comprehensive loss</w:t>
            </w:r>
          </w:p>
        </w:tc>
        <w:tc>
          <w:tcPr>
            <w:tcW w:w="880" w:type="dxa"/>
            <w:gridSpan w:val="2"/>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(258.3</w:t>
            </w:r>
          </w:p>
        </w:tc>
        <w:tc>
          <w:tcPr>
            <w:tcW w:w="95"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999" w:type="dxa"/>
            <w:gridSpan w:val="2"/>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(203.2</w:t>
            </w:r>
          </w:p>
        </w:tc>
        <w:tc>
          <w:tcPr>
            <w:tcW w:w="111" w:type="dxa"/>
            <w:tcBorders/>
            <w:shd w:fill="CCEEFF" w:val="clear"/>
            <w:vAlign w:val="center"/>
          </w:tcPr>
          <w:p>
            <w:pPr>
              <w:pStyle w:val="TableContents"/>
              <w:bidi w:val="0"/>
              <w:spacing w:before="0" w:after="0"/>
              <w:jc w:val="left"/>
              <w:rPr>
                <w:rFonts w:ascii="times new roman;times" w:hAnsi="times new roman;times"/>
              </w:rPr>
            </w:pPr>
            <w:r>
              <w:rPr>
                <w:rFonts w:ascii="times new roman;times" w:hAnsi="times new roman;times"/>
              </w:rPr>
              <w:t>)</w:t>
            </w:r>
          </w:p>
        </w:tc>
      </w:tr>
      <w:tr>
        <w:trPr/>
        <w:tc>
          <w:tcPr>
            <w:tcW w:w="8060"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Total Euronet Worldwide, Inc. stockholders’ equity</w:t>
            </w:r>
          </w:p>
        </w:tc>
        <w:tc>
          <w:tcPr>
            <w:tcW w:w="880" w:type="dxa"/>
            <w:gridSpan w:val="2"/>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1,213.7</w:t>
            </w:r>
          </w:p>
        </w:tc>
        <w:tc>
          <w:tcPr>
            <w:tcW w:w="95" w:type="dxa"/>
            <w:tcBorders/>
            <w:vAlign w:val="center"/>
          </w:tcPr>
          <w:p>
            <w:pPr>
              <w:pStyle w:val="TableContents"/>
              <w:bidi w:val="0"/>
              <w:spacing w:before="0" w:after="283"/>
              <w:ind w:left="0" w:right="0" w:hanging="0"/>
              <w:jc w:val="left"/>
              <w:rPr>
                <w:sz w:val="4"/>
                <w:szCs w:val="4"/>
              </w:rPr>
            </w:pPr>
            <w:r>
              <w:rPr>
                <w:sz w:val="4"/>
                <w:szCs w:val="4"/>
              </w:rPr>
            </w:r>
          </w:p>
        </w:tc>
        <w:tc>
          <w:tcPr>
            <w:tcW w:w="60" w:type="dxa"/>
            <w:tcBorders/>
            <w:vAlign w:val="center"/>
          </w:tcPr>
          <w:p>
            <w:pPr>
              <w:pStyle w:val="TableContents"/>
              <w:bidi w:val="0"/>
              <w:spacing w:before="0" w:after="0"/>
              <w:ind w:left="0" w:right="0" w:hanging="0"/>
              <w:jc w:val="left"/>
              <w:rPr/>
            </w:pPr>
            <w:r>
              <w:rPr/>
              <w:t> </w:t>
            </w:r>
          </w:p>
        </w:tc>
        <w:tc>
          <w:tcPr>
            <w:tcW w:w="999" w:type="dxa"/>
            <w:gridSpan w:val="2"/>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1,249.9</w:t>
            </w:r>
          </w:p>
        </w:tc>
        <w:tc>
          <w:tcPr>
            <w:tcW w:w="111" w:type="dxa"/>
            <w:tcBorders/>
            <w:vAlign w:val="center"/>
          </w:tcPr>
          <w:p>
            <w:pPr>
              <w:pStyle w:val="TableContents"/>
              <w:bidi w:val="0"/>
              <w:spacing w:before="0" w:after="283"/>
              <w:jc w:val="left"/>
              <w:rPr>
                <w:sz w:val="4"/>
                <w:szCs w:val="4"/>
              </w:rPr>
            </w:pPr>
            <w:r>
              <w:rPr>
                <w:sz w:val="4"/>
                <w:szCs w:val="4"/>
              </w:rPr>
            </w:r>
          </w:p>
        </w:tc>
      </w:tr>
      <w:tr>
        <w:trPr/>
        <w:tc>
          <w:tcPr>
            <w:tcW w:w="8060"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Noncontrolling interests</w:t>
            </w:r>
          </w:p>
        </w:tc>
        <w:tc>
          <w:tcPr>
            <w:tcW w:w="880" w:type="dxa"/>
            <w:gridSpan w:val="2"/>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(0.1</w:t>
            </w:r>
          </w:p>
        </w:tc>
        <w:tc>
          <w:tcPr>
            <w:tcW w:w="95"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999" w:type="dxa"/>
            <w:gridSpan w:val="2"/>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(0.2</w:t>
            </w:r>
          </w:p>
        </w:tc>
        <w:tc>
          <w:tcPr>
            <w:tcW w:w="111" w:type="dxa"/>
            <w:tcBorders/>
            <w:shd w:fill="CCEEFF" w:val="clear"/>
            <w:vAlign w:val="center"/>
          </w:tcPr>
          <w:p>
            <w:pPr>
              <w:pStyle w:val="TableContents"/>
              <w:bidi w:val="0"/>
              <w:spacing w:before="0" w:after="0"/>
              <w:jc w:val="left"/>
              <w:rPr>
                <w:rFonts w:ascii="times new roman;times" w:hAnsi="times new roman;times"/>
              </w:rPr>
            </w:pPr>
            <w:r>
              <w:rPr>
                <w:rFonts w:ascii="times new roman;times" w:hAnsi="times new roman;times"/>
              </w:rPr>
              <w:t>)</w:t>
            </w:r>
          </w:p>
        </w:tc>
      </w:tr>
      <w:tr>
        <w:trPr/>
        <w:tc>
          <w:tcPr>
            <w:tcW w:w="8060"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Total equity</w:t>
            </w:r>
          </w:p>
        </w:tc>
        <w:tc>
          <w:tcPr>
            <w:tcW w:w="880" w:type="dxa"/>
            <w:gridSpan w:val="2"/>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1,213.6</w:t>
            </w:r>
          </w:p>
        </w:tc>
        <w:tc>
          <w:tcPr>
            <w:tcW w:w="95" w:type="dxa"/>
            <w:tcBorders/>
            <w:vAlign w:val="center"/>
          </w:tcPr>
          <w:p>
            <w:pPr>
              <w:pStyle w:val="TableContents"/>
              <w:bidi w:val="0"/>
              <w:spacing w:before="0" w:after="283"/>
              <w:ind w:left="0" w:right="0" w:hanging="0"/>
              <w:jc w:val="left"/>
              <w:rPr>
                <w:sz w:val="4"/>
                <w:szCs w:val="4"/>
              </w:rPr>
            </w:pPr>
            <w:r>
              <w:rPr>
                <w:sz w:val="4"/>
                <w:szCs w:val="4"/>
              </w:rPr>
            </w:r>
          </w:p>
        </w:tc>
        <w:tc>
          <w:tcPr>
            <w:tcW w:w="60" w:type="dxa"/>
            <w:tcBorders/>
            <w:vAlign w:val="center"/>
          </w:tcPr>
          <w:p>
            <w:pPr>
              <w:pStyle w:val="TableContents"/>
              <w:bidi w:val="0"/>
              <w:spacing w:before="0" w:after="0"/>
              <w:ind w:left="0" w:right="0" w:hanging="0"/>
              <w:jc w:val="left"/>
              <w:rPr/>
            </w:pPr>
            <w:r>
              <w:rPr/>
              <w:t> </w:t>
            </w:r>
          </w:p>
        </w:tc>
        <w:tc>
          <w:tcPr>
            <w:tcW w:w="999" w:type="dxa"/>
            <w:gridSpan w:val="2"/>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1,249.7</w:t>
            </w:r>
          </w:p>
        </w:tc>
        <w:tc>
          <w:tcPr>
            <w:tcW w:w="111" w:type="dxa"/>
            <w:tcBorders/>
            <w:vAlign w:val="center"/>
          </w:tcPr>
          <w:p>
            <w:pPr>
              <w:pStyle w:val="TableContents"/>
              <w:bidi w:val="0"/>
              <w:spacing w:before="0" w:after="283"/>
              <w:jc w:val="left"/>
              <w:rPr>
                <w:sz w:val="4"/>
                <w:szCs w:val="4"/>
              </w:rPr>
            </w:pPr>
            <w:r>
              <w:rPr>
                <w:sz w:val="4"/>
                <w:szCs w:val="4"/>
              </w:rPr>
            </w:r>
          </w:p>
        </w:tc>
      </w:tr>
      <w:tr>
        <w:trPr/>
        <w:tc>
          <w:tcPr>
            <w:tcW w:w="8060"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Total liabilities and equity</w:t>
            </w:r>
          </w:p>
        </w:tc>
        <w:tc>
          <w:tcPr>
            <w:tcW w:w="140"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740"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6,060.8</w:t>
            </w:r>
          </w:p>
        </w:tc>
        <w:tc>
          <w:tcPr>
            <w:tcW w:w="95"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5,894.4</w:t>
            </w:r>
          </w:p>
        </w:tc>
        <w:tc>
          <w:tcPr>
            <w:tcW w:w="111"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widowControl/>
        <w:bidi w:val="0"/>
        <w:jc w:val="left"/>
        <w:rPr>
          <w:rFonts w:ascii="Times New Roman" w:hAnsi="Times New Roman" w:eastAsia="Times New Roman" w:cs="Times New Roman"/>
          <w:b w:val="false"/>
          <w:b w:val="false"/>
          <w:bCs w:val="false"/>
          <w:i w:val="false"/>
          <w:i w:val="false"/>
          <w:iCs w:val="false"/>
          <w:caps w:val="false"/>
          <w:smallCaps w:val="false"/>
          <w:color w:val="000000"/>
          <w:spacing w:val="0"/>
          <w:sz w:val="20"/>
          <w:szCs w:val="20"/>
        </w:rPr>
      </w:pPr>
      <w:r>
        <w:rPr>
          <w:rFonts w:eastAsia="Times New Roman" w:cs="Times New Roman" w:ascii="Times New Roman" w:hAnsi="Times New Roman"/>
          <w:b w:val="false"/>
          <w:bCs w:val="false"/>
          <w:i w:val="false"/>
          <w:iCs w:val="false"/>
          <w:caps w:val="false"/>
          <w:smallCaps w:val="false"/>
          <w:color w:val="000000"/>
          <w:spacing w:val="0"/>
          <w:sz w:val="20"/>
          <w:szCs w:val="20"/>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See accompanying notes to the unaudited consolidated financial statements.</w:t>
      </w:r>
    </w:p>
    <w:p>
      <w:pPr>
        <w:pStyle w:val="TextBody"/>
        <w:bidi w:val="0"/>
        <w:spacing w:lineRule="auto" w:line="288" w:before="0" w:after="0"/>
        <w:ind w:left="0" w:right="0" w:hanging="0"/>
        <w:jc w:val="left"/>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t> </w:t>
      </w:r>
    </w:p>
    <w:p>
      <w:pPr>
        <w:pStyle w:val="TextBody"/>
        <w:widowControl/>
        <w:bidi w:val="0"/>
        <w:spacing w:before="0" w:after="0"/>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EURONET WORLDWIDE, INC. AND SUBSIDIARIES</w:t>
      </w:r>
    </w:p>
    <w:p>
      <w:pPr>
        <w:pStyle w:val="TextBody"/>
        <w:widowControl/>
        <w:bidi w:val="0"/>
        <w:spacing w:before="0" w:after="0"/>
        <w:ind w:left="0" w:right="0" w:hanging="0"/>
        <w:jc w:val="left"/>
        <w:rPr/>
      </w:pPr>
      <w:hyperlink r:id="rId2">
        <w:bookmarkStart w:id="40" w:name="BD_F025HRURI800000000000000000000"/>
        <w:bookmarkEnd w:id="40"/>
        <w:r>
          <w:rPr>
            <w:rStyle w:val="InternetLink"/>
            <w:rFonts w:ascii="Times New Roman" w:hAnsi="Times New Roman"/>
            <w:b/>
            <w:i w:val="false"/>
            <w:caps w:val="false"/>
            <w:smallCaps w:val="false"/>
            <w:strike w:val="false"/>
            <w:dstrike w:val="false"/>
            <w:color w:val="000000"/>
            <w:spacing w:val="0"/>
            <w:sz w:val="20"/>
            <w:u w:val="none"/>
            <w:effect w:val="none"/>
          </w:rPr>
          <w:t>CONSOLIDATED STATEMENTS OF OPERATIONS</w:t>
        </w:r>
      </w:hyperlink>
    </w:p>
    <w:p>
      <w:pPr>
        <w:pStyle w:val="TextBody"/>
        <w:widowControl/>
        <w:bidi w:val="0"/>
        <w:spacing w:before="0" w:after="0"/>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(Unaudited, in millions, except share and per share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10205" w:type="dxa"/>
        <w:jc w:val="left"/>
        <w:tblInd w:w="0" w:type="dxa"/>
        <w:tblLayout w:type="fixed"/>
        <w:tblCellMar>
          <w:top w:w="0" w:type="dxa"/>
          <w:left w:w="0" w:type="dxa"/>
          <w:bottom w:w="0" w:type="dxa"/>
          <w:right w:w="0" w:type="dxa"/>
        </w:tblCellMar>
      </w:tblPr>
      <w:tblGrid>
        <w:gridCol w:w="5441"/>
        <w:gridCol w:w="125"/>
        <w:gridCol w:w="950"/>
        <w:gridCol w:w="95"/>
        <w:gridCol w:w="23"/>
        <w:gridCol w:w="125"/>
        <w:gridCol w:w="950"/>
        <w:gridCol w:w="95"/>
        <w:gridCol w:w="23"/>
        <w:gridCol w:w="125"/>
        <w:gridCol w:w="950"/>
        <w:gridCol w:w="95"/>
        <w:gridCol w:w="23"/>
        <w:gridCol w:w="125"/>
        <w:gridCol w:w="950"/>
        <w:gridCol w:w="110"/>
      </w:tblGrid>
      <w:tr>
        <w:trPr/>
        <w:tc>
          <w:tcPr>
            <w:tcW w:w="544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950" w:type="dxa"/>
            <w:tcBorders/>
            <w:vAlign w:val="center"/>
          </w:tcPr>
          <w:p>
            <w:pPr>
              <w:pStyle w:val="TableContents"/>
              <w:bidi w:val="0"/>
              <w:spacing w:before="0" w:after="283"/>
              <w:jc w:val="left"/>
              <w:rPr/>
            </w:pPr>
            <w:r>
              <w:rPr/>
            </w:r>
          </w:p>
        </w:tc>
        <w:tc>
          <w:tcPr>
            <w:tcW w:w="95"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950"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r>
          </w:p>
        </w:tc>
      </w:tr>
      <w:tr>
        <w:trPr/>
        <w:tc>
          <w:tcPr>
            <w:tcW w:w="5441"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ind w:left="0" w:right="0" w:hanging="0"/>
              <w:jc w:val="center"/>
              <w:rPr>
                <w:sz w:val="16"/>
              </w:rPr>
            </w:pPr>
            <w:r>
              <w:rPr>
                <w:sz w:val="16"/>
              </w:rPr>
            </w:r>
          </w:p>
        </w:tc>
        <w:tc>
          <w:tcPr>
            <w:tcW w:w="2143" w:type="dxa"/>
            <w:gridSpan w:val="5"/>
            <w:tcBorders/>
            <w:vAlign w:val="bottom"/>
          </w:tcPr>
          <w:p>
            <w:pPr>
              <w:pStyle w:val="TableContents"/>
              <w:bidi w:val="0"/>
              <w:spacing w:lineRule="auto" w:line="240" w:before="0" w:after="0"/>
              <w:ind w:left="0" w:right="0" w:hanging="0"/>
              <w:jc w:val="center"/>
              <w:rPr>
                <w:rFonts w:ascii="times new roman;times" w:hAnsi="times new roman;times"/>
                <w:b/>
                <w:sz w:val="16"/>
              </w:rPr>
            </w:pPr>
            <w:r>
              <w:rPr>
                <w:rFonts w:ascii="times new roman;times" w:hAnsi="times new roman;times"/>
                <w:b/>
                <w:sz w:val="16"/>
              </w:rPr>
              <w:t>Three Months Ended</w:t>
            </w:r>
          </w:p>
          <w:p>
            <w:pPr>
              <w:pStyle w:val="TableContents"/>
              <w:bidi w:val="0"/>
              <w:spacing w:lineRule="auto" w:line="240" w:before="0" w:after="0"/>
              <w:ind w:left="0" w:right="0" w:hanging="0"/>
              <w:jc w:val="center"/>
              <w:rPr>
                <w:rFonts w:ascii="times new roman;times" w:hAnsi="times new roman;times"/>
                <w:b/>
                <w:sz w:val="15"/>
              </w:rPr>
            </w:pPr>
            <w:r>
              <w:rPr>
                <w:rFonts w:ascii="times new roman;times" w:hAnsi="times new roman;times"/>
                <w:b/>
                <w:sz w:val="15"/>
              </w:rPr>
              <w:t>June 30,</w:t>
            </w:r>
          </w:p>
        </w:tc>
        <w:tc>
          <w:tcPr>
            <w:tcW w:w="9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pPr>
            <w:r>
              <w:rPr/>
            </w:r>
          </w:p>
        </w:tc>
        <w:tc>
          <w:tcPr>
            <w:tcW w:w="2268" w:type="dxa"/>
            <w:gridSpan w:val="6"/>
            <w:tcBorders/>
            <w:vAlign w:val="center"/>
          </w:tcPr>
          <w:p>
            <w:pPr>
              <w:pStyle w:val="TableContents"/>
              <w:bidi w:val="0"/>
              <w:spacing w:lineRule="auto" w:line="240" w:before="0" w:after="0"/>
              <w:ind w:left="0" w:right="0" w:hanging="0"/>
              <w:jc w:val="center"/>
              <w:rPr>
                <w:b/>
                <w:sz w:val="16"/>
              </w:rPr>
            </w:pPr>
            <w:r>
              <w:rPr>
                <w:b/>
                <w:sz w:val="16"/>
              </w:rPr>
              <w:t xml:space="preserve">Six Months Ended </w:t>
            </w:r>
          </w:p>
          <w:p>
            <w:pPr>
              <w:pStyle w:val="TableContents"/>
              <w:bidi w:val="0"/>
              <w:spacing w:lineRule="auto" w:line="240" w:before="0" w:after="0"/>
              <w:ind w:left="0" w:right="0" w:hanging="0"/>
              <w:jc w:val="center"/>
              <w:rPr>
                <w:b/>
                <w:sz w:val="16"/>
              </w:rPr>
            </w:pPr>
            <w:r>
              <w:rPr>
                <w:b/>
                <w:sz w:val="16"/>
              </w:rPr>
              <w:t>June 30,</w:t>
            </w:r>
          </w:p>
        </w:tc>
        <w:tc>
          <w:tcPr>
            <w:tcW w:w="110" w:type="dxa"/>
            <w:tcBorders/>
            <w:vAlign w:val="center"/>
          </w:tcPr>
          <w:p>
            <w:pPr>
              <w:pStyle w:val="TableContents"/>
              <w:bidi w:val="0"/>
              <w:spacing w:before="0" w:after="283"/>
              <w:jc w:val="left"/>
              <w:rPr/>
            </w:pPr>
            <w:r>
              <w:rPr/>
            </w:r>
          </w:p>
        </w:tc>
      </w:tr>
      <w:tr>
        <w:trPr/>
        <w:tc>
          <w:tcPr>
            <w:tcW w:w="5441" w:type="dxa"/>
            <w:tcBorders/>
            <w:vAlign w:val="bottom"/>
          </w:tcPr>
          <w:p>
            <w:pPr>
              <w:pStyle w:val="TableContents"/>
              <w:bidi w:val="0"/>
              <w:spacing w:before="0" w:after="0"/>
              <w:jc w:val="left"/>
              <w:rPr/>
            </w:pPr>
            <w:r>
              <w:rPr/>
              <w:t> </w:t>
            </w:r>
          </w:p>
        </w:tc>
        <w:tc>
          <w:tcPr>
            <w:tcW w:w="125" w:type="dxa"/>
            <w:tcBorders/>
            <w:vAlign w:val="bottom"/>
          </w:tcPr>
          <w:p>
            <w:pPr>
              <w:pStyle w:val="TableContents"/>
              <w:bidi w:val="0"/>
              <w:spacing w:before="0" w:after="0"/>
              <w:ind w:left="0" w:right="0" w:hanging="0"/>
              <w:jc w:val="center"/>
              <w:rPr>
                <w:sz w:val="16"/>
              </w:rPr>
            </w:pPr>
            <w:r>
              <w:rPr>
                <w:sz w:val="16"/>
              </w:rPr>
            </w:r>
          </w:p>
        </w:tc>
        <w:tc>
          <w:tcPr>
            <w:tcW w:w="950" w:type="dxa"/>
            <w:tcBorders/>
            <w:vAlign w:val="bottom"/>
          </w:tcPr>
          <w:p>
            <w:pPr>
              <w:pStyle w:val="TableContents"/>
              <w:bidi w:val="0"/>
              <w:spacing w:before="0" w:after="0"/>
              <w:jc w:val="center"/>
              <w:rPr>
                <w:b/>
                <w:sz w:val="16"/>
              </w:rPr>
            </w:pPr>
            <w:r>
              <w:rPr>
                <w:b/>
                <w:sz w:val="16"/>
              </w:rPr>
              <w:t>2024</w:t>
            </w:r>
          </w:p>
        </w:tc>
        <w:tc>
          <w:tcPr>
            <w:tcW w:w="95" w:type="dxa"/>
            <w:tcBorders/>
            <w:vAlign w:val="bottom"/>
          </w:tcPr>
          <w:p>
            <w:pPr>
              <w:pStyle w:val="TableContents"/>
              <w:bidi w:val="0"/>
              <w:spacing w:before="0" w:after="0"/>
              <w:ind w:left="0" w:right="0" w:hanging="0"/>
              <w:jc w:val="center"/>
              <w:rPr>
                <w:sz w:val="16"/>
              </w:rPr>
            </w:pPr>
            <w:r>
              <w:rPr>
                <w:sz w:val="16"/>
              </w:rPr>
            </w:r>
          </w:p>
        </w:tc>
        <w:tc>
          <w:tcPr>
            <w:tcW w:w="23" w:type="dxa"/>
            <w:tcBorders/>
            <w:vAlign w:val="bottom"/>
          </w:tcPr>
          <w:p>
            <w:pPr>
              <w:pStyle w:val="TableContents"/>
              <w:bidi w:val="0"/>
              <w:spacing w:before="0" w:after="0"/>
              <w:ind w:left="0" w:right="0" w:hanging="0"/>
              <w:jc w:val="center"/>
              <w:rPr>
                <w:sz w:val="16"/>
              </w:rPr>
            </w:pPr>
            <w:r>
              <w:rPr>
                <w:sz w:val="16"/>
              </w:rPr>
            </w:r>
          </w:p>
        </w:tc>
        <w:tc>
          <w:tcPr>
            <w:tcW w:w="125" w:type="dxa"/>
            <w:tcBorders/>
            <w:vAlign w:val="bottom"/>
          </w:tcPr>
          <w:p>
            <w:pPr>
              <w:pStyle w:val="TableContents"/>
              <w:bidi w:val="0"/>
              <w:spacing w:before="0" w:after="0"/>
              <w:ind w:left="0" w:right="0" w:hanging="0"/>
              <w:jc w:val="center"/>
              <w:rPr>
                <w:sz w:val="16"/>
              </w:rPr>
            </w:pPr>
            <w:r>
              <w:rPr>
                <w:sz w:val="16"/>
              </w:rPr>
            </w:r>
          </w:p>
        </w:tc>
        <w:tc>
          <w:tcPr>
            <w:tcW w:w="950" w:type="dxa"/>
            <w:tcBorders/>
            <w:vAlign w:val="bottom"/>
          </w:tcPr>
          <w:p>
            <w:pPr>
              <w:pStyle w:val="TableContents"/>
              <w:bidi w:val="0"/>
              <w:spacing w:before="0" w:after="0"/>
              <w:jc w:val="center"/>
              <w:rPr>
                <w:b/>
                <w:sz w:val="16"/>
              </w:rPr>
            </w:pPr>
            <w:r>
              <w:rPr>
                <w:b/>
                <w:sz w:val="16"/>
              </w:rPr>
              <w:t>2023</w:t>
            </w:r>
          </w:p>
        </w:tc>
        <w:tc>
          <w:tcPr>
            <w:tcW w:w="95" w:type="dxa"/>
            <w:tcBorders/>
            <w:vAlign w:val="bottom"/>
          </w:tcPr>
          <w:p>
            <w:pPr>
              <w:pStyle w:val="TableContents"/>
              <w:bidi w:val="0"/>
              <w:spacing w:before="0" w:after="0"/>
              <w:ind w:left="0" w:right="0" w:hanging="0"/>
              <w:jc w:val="center"/>
              <w:rPr>
                <w:sz w:val="16"/>
              </w:rPr>
            </w:pPr>
            <w:r>
              <w:rPr>
                <w:sz w:val="16"/>
              </w:rPr>
            </w:r>
          </w:p>
        </w:tc>
        <w:tc>
          <w:tcPr>
            <w:tcW w:w="23" w:type="dxa"/>
            <w:tcBorders/>
            <w:vAlign w:val="center"/>
          </w:tcPr>
          <w:p>
            <w:pPr>
              <w:pStyle w:val="TableContents"/>
              <w:bidi w:val="0"/>
              <w:spacing w:before="0" w:after="0"/>
              <w:ind w:left="0" w:right="0" w:hanging="0"/>
              <w:jc w:val="center"/>
              <w:rPr>
                <w:sz w:val="16"/>
              </w:rPr>
            </w:pPr>
            <w:r>
              <w:rPr>
                <w:sz w:val="16"/>
              </w:rPr>
            </w:r>
          </w:p>
        </w:tc>
        <w:tc>
          <w:tcPr>
            <w:tcW w:w="125" w:type="dxa"/>
            <w:tcBorders/>
            <w:vAlign w:val="center"/>
          </w:tcPr>
          <w:p>
            <w:pPr>
              <w:pStyle w:val="TableContents"/>
              <w:bidi w:val="0"/>
              <w:spacing w:before="0" w:after="0"/>
              <w:ind w:left="0" w:right="0" w:hanging="0"/>
              <w:jc w:val="center"/>
              <w:rPr>
                <w:sz w:val="16"/>
              </w:rPr>
            </w:pPr>
            <w:r>
              <w:rPr>
                <w:sz w:val="16"/>
              </w:rPr>
            </w:r>
          </w:p>
        </w:tc>
        <w:tc>
          <w:tcPr>
            <w:tcW w:w="950" w:type="dxa"/>
            <w:tcBorders/>
            <w:vAlign w:val="center"/>
          </w:tcPr>
          <w:p>
            <w:pPr>
              <w:pStyle w:val="TableContents"/>
              <w:bidi w:val="0"/>
              <w:spacing w:before="0" w:after="0"/>
              <w:ind w:left="0" w:right="0" w:hanging="0"/>
              <w:jc w:val="center"/>
              <w:rPr>
                <w:b/>
                <w:sz w:val="16"/>
              </w:rPr>
            </w:pPr>
            <w:r>
              <w:rPr>
                <w:b/>
                <w:sz w:val="16"/>
              </w:rPr>
              <w:t>2024</w:t>
            </w:r>
          </w:p>
        </w:tc>
        <w:tc>
          <w:tcPr>
            <w:tcW w:w="95" w:type="dxa"/>
            <w:tcBorders/>
            <w:vAlign w:val="center"/>
          </w:tcPr>
          <w:p>
            <w:pPr>
              <w:pStyle w:val="TableContents"/>
              <w:bidi w:val="0"/>
              <w:spacing w:before="0" w:after="0"/>
              <w:ind w:left="0" w:right="0" w:hanging="0"/>
              <w:jc w:val="center"/>
              <w:rPr>
                <w:sz w:val="16"/>
              </w:rPr>
            </w:pPr>
            <w:r>
              <w:rPr>
                <w:sz w:val="16"/>
              </w:rPr>
            </w:r>
          </w:p>
        </w:tc>
        <w:tc>
          <w:tcPr>
            <w:tcW w:w="23" w:type="dxa"/>
            <w:tcBorders/>
            <w:vAlign w:val="center"/>
          </w:tcPr>
          <w:p>
            <w:pPr>
              <w:pStyle w:val="TableContents"/>
              <w:bidi w:val="0"/>
              <w:spacing w:before="0" w:after="0"/>
              <w:ind w:left="0" w:right="0" w:hanging="0"/>
              <w:jc w:val="center"/>
              <w:rPr>
                <w:sz w:val="16"/>
              </w:rPr>
            </w:pPr>
            <w:r>
              <w:rPr>
                <w:sz w:val="16"/>
              </w:rPr>
            </w:r>
          </w:p>
        </w:tc>
        <w:tc>
          <w:tcPr>
            <w:tcW w:w="125" w:type="dxa"/>
            <w:tcBorders/>
            <w:vAlign w:val="center"/>
          </w:tcPr>
          <w:p>
            <w:pPr>
              <w:pStyle w:val="TableContents"/>
              <w:bidi w:val="0"/>
              <w:spacing w:before="0" w:after="0"/>
              <w:ind w:left="0" w:right="0" w:hanging="0"/>
              <w:jc w:val="center"/>
              <w:rPr>
                <w:sz w:val="16"/>
              </w:rPr>
            </w:pPr>
            <w:r>
              <w:rPr>
                <w:sz w:val="16"/>
              </w:rPr>
            </w:r>
          </w:p>
        </w:tc>
        <w:tc>
          <w:tcPr>
            <w:tcW w:w="950" w:type="dxa"/>
            <w:tcBorders/>
            <w:vAlign w:val="center"/>
          </w:tcPr>
          <w:p>
            <w:pPr>
              <w:pStyle w:val="TableContents"/>
              <w:bidi w:val="0"/>
              <w:spacing w:before="0" w:after="0"/>
              <w:ind w:left="0" w:right="0" w:hanging="0"/>
              <w:jc w:val="center"/>
              <w:rPr>
                <w:b/>
                <w:sz w:val="16"/>
              </w:rPr>
            </w:pPr>
            <w:r>
              <w:rPr>
                <w:b/>
                <w:sz w:val="16"/>
              </w:rPr>
              <w:t>2023</w:t>
            </w:r>
          </w:p>
        </w:tc>
        <w:tc>
          <w:tcPr>
            <w:tcW w:w="110" w:type="dxa"/>
            <w:tcBorders/>
            <w:vAlign w:val="center"/>
          </w:tcPr>
          <w:p>
            <w:pPr>
              <w:pStyle w:val="TableContents"/>
              <w:bidi w:val="0"/>
              <w:spacing w:before="0" w:after="0"/>
              <w:ind w:left="0" w:right="0" w:hanging="0"/>
              <w:jc w:val="center"/>
              <w:rPr>
                <w:sz w:val="16"/>
              </w:rPr>
            </w:pPr>
            <w:r>
              <w:rPr>
                <w:sz w:val="16"/>
              </w:rPr>
            </w:r>
          </w:p>
        </w:tc>
      </w:tr>
      <w:tr>
        <w:trPr/>
        <w:tc>
          <w:tcPr>
            <w:tcW w:w="5441"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Revenues</w:t>
            </w:r>
          </w:p>
        </w:tc>
        <w:tc>
          <w:tcPr>
            <w:tcW w:w="125" w:type="dxa"/>
            <w:tcBorders/>
            <w:shd w:fill="CCEEFF" w:val="clear"/>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950" w:type="dxa"/>
            <w:tcBorders/>
            <w:shd w:fill="CCEEFF" w:val="clear"/>
            <w:vAlign w:val="center"/>
          </w:tcPr>
          <w:p>
            <w:pPr>
              <w:pStyle w:val="TableContents"/>
              <w:bidi w:val="0"/>
              <w:spacing w:before="0" w:after="0"/>
              <w:jc w:val="right"/>
              <w:rPr>
                <w:sz w:val="20"/>
              </w:rPr>
            </w:pPr>
            <w:r>
              <w:rPr>
                <w:sz w:val="20"/>
              </w:rPr>
              <w:t>986.2</w:t>
            </w:r>
          </w:p>
        </w:tc>
        <w:tc>
          <w:tcPr>
            <w:tcW w:w="95" w:type="dxa"/>
            <w:tcBorders/>
            <w:shd w:fill="CCEEFF" w:val="clear"/>
            <w:vAlign w:val="center"/>
          </w:tcPr>
          <w:p>
            <w:pPr>
              <w:pStyle w:val="TableContents"/>
              <w:bidi w:val="0"/>
              <w:spacing w:before="0" w:after="0"/>
              <w:ind w:left="0" w:right="0" w:hanging="0"/>
              <w:jc w:val="left"/>
              <w:rPr>
                <w:sz w:val="20"/>
              </w:rPr>
            </w:pPr>
            <w:r>
              <w:rPr>
                <w:sz w:val="20"/>
              </w:rPr>
            </w:r>
          </w:p>
        </w:tc>
        <w:tc>
          <w:tcPr>
            <w:tcW w:w="23" w:type="dxa"/>
            <w:tcBorders/>
            <w:shd w:fill="CCEEFF" w:val="clear"/>
            <w:vAlign w:val="center"/>
          </w:tcPr>
          <w:p>
            <w:pPr>
              <w:pStyle w:val="TableContents"/>
              <w:bidi w:val="0"/>
              <w:spacing w:before="0" w:after="0"/>
              <w:ind w:left="0" w:right="0" w:hanging="0"/>
              <w:jc w:val="left"/>
              <w:rPr>
                <w:sz w:val="20"/>
              </w:rPr>
            </w:pPr>
            <w:r>
              <w:rPr>
                <w:sz w:val="20"/>
              </w:rPr>
            </w:r>
          </w:p>
        </w:tc>
        <w:tc>
          <w:tcPr>
            <w:tcW w:w="125" w:type="dxa"/>
            <w:tcBorders/>
            <w:shd w:fill="CCEEFF" w:val="clear"/>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950" w:type="dxa"/>
            <w:tcBorders/>
            <w:shd w:fill="CCEEFF" w:val="clear"/>
            <w:vAlign w:val="center"/>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939.1</w:t>
            </w:r>
          </w:p>
        </w:tc>
        <w:tc>
          <w:tcPr>
            <w:tcW w:w="95" w:type="dxa"/>
            <w:tcBorders/>
            <w:shd w:fill="CCEEFF" w:val="clear"/>
            <w:vAlign w:val="center"/>
          </w:tcPr>
          <w:p>
            <w:pPr>
              <w:pStyle w:val="TableContents"/>
              <w:bidi w:val="0"/>
              <w:spacing w:before="0" w:after="0"/>
              <w:ind w:left="0" w:right="0" w:hanging="0"/>
              <w:jc w:val="left"/>
              <w:rPr>
                <w:sz w:val="20"/>
              </w:rPr>
            </w:pPr>
            <w:r>
              <w:rPr>
                <w:sz w:val="20"/>
              </w:rPr>
            </w:r>
          </w:p>
        </w:tc>
        <w:tc>
          <w:tcPr>
            <w:tcW w:w="23" w:type="dxa"/>
            <w:tcBorders/>
            <w:shd w:fill="CCEEFF" w:val="clear"/>
            <w:vAlign w:val="center"/>
          </w:tcPr>
          <w:p>
            <w:pPr>
              <w:pStyle w:val="TableContents"/>
              <w:bidi w:val="0"/>
              <w:spacing w:before="0" w:after="0"/>
              <w:ind w:left="0" w:right="0" w:hanging="0"/>
              <w:jc w:val="left"/>
              <w:rPr>
                <w:sz w:val="20"/>
              </w:rPr>
            </w:pPr>
            <w:r>
              <w:rPr>
                <w:sz w:val="20"/>
              </w:rPr>
            </w:r>
          </w:p>
        </w:tc>
        <w:tc>
          <w:tcPr>
            <w:tcW w:w="125" w:type="dxa"/>
            <w:tcBorders/>
            <w:shd w:fill="CCEEFF" w:val="clear"/>
            <w:vAlign w:val="center"/>
          </w:tcPr>
          <w:p>
            <w:pPr>
              <w:pStyle w:val="TableContents"/>
              <w:bidi w:val="0"/>
              <w:spacing w:before="0" w:after="0"/>
              <w:ind w:left="0" w:right="0" w:hanging="0"/>
              <w:jc w:val="left"/>
              <w:rPr>
                <w:sz w:val="20"/>
              </w:rPr>
            </w:pPr>
            <w:r>
              <w:rPr>
                <w:sz w:val="20"/>
              </w:rPr>
              <w:t>$</w:t>
            </w:r>
          </w:p>
        </w:tc>
        <w:tc>
          <w:tcPr>
            <w:tcW w:w="950" w:type="dxa"/>
            <w:tcBorders/>
            <w:shd w:fill="CCEEFF" w:val="clear"/>
            <w:vAlign w:val="center"/>
          </w:tcPr>
          <w:p>
            <w:pPr>
              <w:pStyle w:val="TableContents"/>
              <w:bidi w:val="0"/>
              <w:spacing w:before="0" w:after="0"/>
              <w:ind w:left="0" w:right="0" w:hanging="0"/>
              <w:jc w:val="right"/>
              <w:rPr>
                <w:sz w:val="20"/>
              </w:rPr>
            </w:pPr>
            <w:r>
              <w:rPr>
                <w:sz w:val="20"/>
              </w:rPr>
              <w:t>1,843.2</w:t>
            </w:r>
          </w:p>
        </w:tc>
        <w:tc>
          <w:tcPr>
            <w:tcW w:w="95" w:type="dxa"/>
            <w:tcBorders/>
            <w:shd w:fill="CCEEFF" w:val="clear"/>
            <w:vAlign w:val="center"/>
          </w:tcPr>
          <w:p>
            <w:pPr>
              <w:pStyle w:val="TableContents"/>
              <w:bidi w:val="0"/>
              <w:spacing w:before="0" w:after="0"/>
              <w:ind w:left="0" w:right="0" w:hanging="0"/>
              <w:jc w:val="left"/>
              <w:rPr>
                <w:sz w:val="20"/>
              </w:rPr>
            </w:pPr>
            <w:r>
              <w:rPr>
                <w:sz w:val="20"/>
              </w:rPr>
            </w:r>
          </w:p>
        </w:tc>
        <w:tc>
          <w:tcPr>
            <w:tcW w:w="23" w:type="dxa"/>
            <w:tcBorders/>
            <w:shd w:fill="CCEEFF" w:val="clear"/>
            <w:vAlign w:val="center"/>
          </w:tcPr>
          <w:p>
            <w:pPr>
              <w:pStyle w:val="TableContents"/>
              <w:bidi w:val="0"/>
              <w:spacing w:before="0" w:after="0"/>
              <w:ind w:left="0" w:right="0" w:hanging="0"/>
              <w:jc w:val="left"/>
              <w:rPr>
                <w:sz w:val="20"/>
              </w:rPr>
            </w:pPr>
            <w:r>
              <w:rPr>
                <w:sz w:val="20"/>
              </w:rPr>
            </w:r>
          </w:p>
        </w:tc>
        <w:tc>
          <w:tcPr>
            <w:tcW w:w="125" w:type="dxa"/>
            <w:tcBorders/>
            <w:shd w:fill="CCEEFF" w:val="clear"/>
            <w:vAlign w:val="center"/>
          </w:tcPr>
          <w:p>
            <w:pPr>
              <w:pStyle w:val="TableContents"/>
              <w:bidi w:val="0"/>
              <w:spacing w:before="0" w:after="0"/>
              <w:ind w:left="0" w:right="0" w:hanging="0"/>
              <w:jc w:val="left"/>
              <w:rPr>
                <w:sz w:val="20"/>
              </w:rPr>
            </w:pPr>
            <w:r>
              <w:rPr>
                <w:sz w:val="20"/>
              </w:rPr>
              <w:t>$</w:t>
            </w:r>
          </w:p>
        </w:tc>
        <w:tc>
          <w:tcPr>
            <w:tcW w:w="950" w:type="dxa"/>
            <w:tcBorders/>
            <w:shd w:fill="CCEEFF" w:val="clear"/>
            <w:vAlign w:val="center"/>
          </w:tcPr>
          <w:p>
            <w:pPr>
              <w:pStyle w:val="TableContents"/>
              <w:bidi w:val="0"/>
              <w:spacing w:before="0" w:after="0"/>
              <w:ind w:left="0" w:right="0" w:hanging="0"/>
              <w:jc w:val="right"/>
              <w:rPr>
                <w:sz w:val="20"/>
              </w:rPr>
            </w:pPr>
            <w:r>
              <w:rPr>
                <w:sz w:val="20"/>
              </w:rPr>
              <w:t>1,726.3</w:t>
            </w:r>
          </w:p>
        </w:tc>
        <w:tc>
          <w:tcPr>
            <w:tcW w:w="110" w:type="dxa"/>
            <w:tcBorders/>
            <w:shd w:fill="CCEEFF" w:val="clear"/>
            <w:vAlign w:val="center"/>
          </w:tcPr>
          <w:p>
            <w:pPr>
              <w:pStyle w:val="TableContents"/>
              <w:bidi w:val="0"/>
              <w:spacing w:before="0" w:after="0"/>
              <w:ind w:left="0" w:right="0" w:hanging="0"/>
              <w:jc w:val="left"/>
              <w:rPr>
                <w:sz w:val="20"/>
              </w:rPr>
            </w:pPr>
            <w:r>
              <w:rPr>
                <w:sz w:val="20"/>
              </w:rPr>
            </w:r>
          </w:p>
        </w:tc>
      </w:tr>
      <w:tr>
        <w:trPr/>
        <w:tc>
          <w:tcPr>
            <w:tcW w:w="5441"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Operating expenses:</w:t>
            </w:r>
          </w:p>
        </w:tc>
        <w:tc>
          <w:tcPr>
            <w:tcW w:w="125" w:type="dxa"/>
            <w:tcBorders/>
            <w:vAlign w:val="center"/>
          </w:tcPr>
          <w:p>
            <w:pPr>
              <w:pStyle w:val="TableContents"/>
              <w:bidi w:val="0"/>
              <w:spacing w:before="0" w:after="0"/>
              <w:ind w:left="0" w:right="0" w:hanging="0"/>
              <w:jc w:val="left"/>
              <w:rPr>
                <w:sz w:val="20"/>
              </w:rPr>
            </w:pPr>
            <w:r>
              <w:rPr>
                <w:sz w:val="20"/>
              </w:rPr>
            </w:r>
          </w:p>
        </w:tc>
        <w:tc>
          <w:tcPr>
            <w:tcW w:w="950" w:type="dxa"/>
            <w:tcBorders/>
            <w:vAlign w:val="center"/>
          </w:tcPr>
          <w:p>
            <w:pPr>
              <w:pStyle w:val="TableContents"/>
              <w:bidi w:val="0"/>
              <w:spacing w:before="0" w:after="283"/>
              <w:ind w:left="0" w:right="0" w:hanging="0"/>
              <w:jc w:val="left"/>
              <w:rPr>
                <w:sz w:val="4"/>
                <w:szCs w:val="4"/>
              </w:rPr>
            </w:pPr>
            <w:r>
              <w:rPr>
                <w:sz w:val="4"/>
                <w:szCs w:val="4"/>
              </w:rPr>
            </w:r>
          </w:p>
        </w:tc>
        <w:tc>
          <w:tcPr>
            <w:tcW w:w="95" w:type="dxa"/>
            <w:tcBorders/>
            <w:vAlign w:val="center"/>
          </w:tcPr>
          <w:p>
            <w:pPr>
              <w:pStyle w:val="TableContents"/>
              <w:bidi w:val="0"/>
              <w:spacing w:before="0" w:after="0"/>
              <w:ind w:left="0" w:right="0" w:hanging="0"/>
              <w:jc w:val="left"/>
              <w:rPr>
                <w:sz w:val="20"/>
              </w:rPr>
            </w:pPr>
            <w:r>
              <w:rPr>
                <w:sz w:val="20"/>
              </w:rPr>
            </w:r>
          </w:p>
        </w:tc>
        <w:tc>
          <w:tcPr>
            <w:tcW w:w="23" w:type="dxa"/>
            <w:tcBorders/>
            <w:vAlign w:val="center"/>
          </w:tcPr>
          <w:p>
            <w:pPr>
              <w:pStyle w:val="TableContents"/>
              <w:bidi w:val="0"/>
              <w:spacing w:before="0" w:after="0"/>
              <w:ind w:left="0" w:right="0" w:hanging="0"/>
              <w:jc w:val="left"/>
              <w:rPr>
                <w:sz w:val="20"/>
              </w:rPr>
            </w:pPr>
            <w:r>
              <w:rPr>
                <w:sz w:val="20"/>
              </w:rPr>
            </w:r>
          </w:p>
        </w:tc>
        <w:tc>
          <w:tcPr>
            <w:tcW w:w="125" w:type="dxa"/>
            <w:tcBorders/>
            <w:vAlign w:val="center"/>
          </w:tcPr>
          <w:p>
            <w:pPr>
              <w:pStyle w:val="TableContents"/>
              <w:bidi w:val="0"/>
              <w:spacing w:before="0" w:after="0"/>
              <w:ind w:left="0" w:right="0" w:hanging="0"/>
              <w:jc w:val="left"/>
              <w:rPr>
                <w:sz w:val="20"/>
              </w:rPr>
            </w:pPr>
            <w:r>
              <w:rPr>
                <w:sz w:val="20"/>
              </w:rPr>
            </w:r>
          </w:p>
        </w:tc>
        <w:tc>
          <w:tcPr>
            <w:tcW w:w="950" w:type="dxa"/>
            <w:tcBorders/>
            <w:vAlign w:val="center"/>
          </w:tcPr>
          <w:p>
            <w:pPr>
              <w:pStyle w:val="TableContents"/>
              <w:bidi w:val="0"/>
              <w:spacing w:before="0" w:after="0"/>
              <w:ind w:left="0" w:right="0" w:hanging="0"/>
              <w:jc w:val="left"/>
              <w:rPr>
                <w:sz w:val="20"/>
              </w:rPr>
            </w:pPr>
            <w:r>
              <w:rPr>
                <w:sz w:val="20"/>
              </w:rPr>
            </w:r>
          </w:p>
        </w:tc>
        <w:tc>
          <w:tcPr>
            <w:tcW w:w="95" w:type="dxa"/>
            <w:tcBorders/>
            <w:vAlign w:val="center"/>
          </w:tcPr>
          <w:p>
            <w:pPr>
              <w:pStyle w:val="TableContents"/>
              <w:bidi w:val="0"/>
              <w:spacing w:before="0" w:after="0"/>
              <w:ind w:left="0" w:right="0" w:hanging="0"/>
              <w:jc w:val="left"/>
              <w:rPr>
                <w:sz w:val="20"/>
              </w:rPr>
            </w:pPr>
            <w:r>
              <w:rPr>
                <w:sz w:val="20"/>
              </w:rPr>
            </w:r>
          </w:p>
        </w:tc>
        <w:tc>
          <w:tcPr>
            <w:tcW w:w="23" w:type="dxa"/>
            <w:tcBorders/>
            <w:vAlign w:val="center"/>
          </w:tcPr>
          <w:p>
            <w:pPr>
              <w:pStyle w:val="TableContents"/>
              <w:bidi w:val="0"/>
              <w:spacing w:before="0" w:after="0"/>
              <w:ind w:left="0" w:right="0" w:hanging="0"/>
              <w:jc w:val="left"/>
              <w:rPr>
                <w:sz w:val="20"/>
              </w:rPr>
            </w:pPr>
            <w:r>
              <w:rPr>
                <w:sz w:val="20"/>
              </w:rPr>
            </w:r>
          </w:p>
        </w:tc>
        <w:tc>
          <w:tcPr>
            <w:tcW w:w="125" w:type="dxa"/>
            <w:tcBorders/>
            <w:vAlign w:val="center"/>
          </w:tcPr>
          <w:p>
            <w:pPr>
              <w:pStyle w:val="TableContents"/>
              <w:bidi w:val="0"/>
              <w:spacing w:before="0" w:after="0"/>
              <w:ind w:left="0" w:right="0" w:hanging="0"/>
              <w:jc w:val="left"/>
              <w:rPr>
                <w:sz w:val="20"/>
              </w:rPr>
            </w:pPr>
            <w:r>
              <w:rPr>
                <w:sz w:val="20"/>
              </w:rPr>
            </w:r>
          </w:p>
        </w:tc>
        <w:tc>
          <w:tcPr>
            <w:tcW w:w="950" w:type="dxa"/>
            <w:tcBorders/>
            <w:vAlign w:val="center"/>
          </w:tcPr>
          <w:p>
            <w:pPr>
              <w:pStyle w:val="TableContents"/>
              <w:bidi w:val="0"/>
              <w:spacing w:before="0" w:after="0"/>
              <w:ind w:left="0" w:right="0" w:hanging="0"/>
              <w:jc w:val="left"/>
              <w:rPr>
                <w:sz w:val="20"/>
              </w:rPr>
            </w:pPr>
            <w:r>
              <w:rPr>
                <w:sz w:val="20"/>
              </w:rPr>
            </w:r>
          </w:p>
        </w:tc>
        <w:tc>
          <w:tcPr>
            <w:tcW w:w="95" w:type="dxa"/>
            <w:tcBorders/>
            <w:vAlign w:val="center"/>
          </w:tcPr>
          <w:p>
            <w:pPr>
              <w:pStyle w:val="TableContents"/>
              <w:bidi w:val="0"/>
              <w:spacing w:before="0" w:after="0"/>
              <w:ind w:left="0" w:right="0" w:hanging="0"/>
              <w:jc w:val="left"/>
              <w:rPr>
                <w:sz w:val="20"/>
              </w:rPr>
            </w:pPr>
            <w:r>
              <w:rPr>
                <w:sz w:val="20"/>
              </w:rPr>
            </w:r>
          </w:p>
        </w:tc>
        <w:tc>
          <w:tcPr>
            <w:tcW w:w="23" w:type="dxa"/>
            <w:tcBorders/>
            <w:vAlign w:val="center"/>
          </w:tcPr>
          <w:p>
            <w:pPr>
              <w:pStyle w:val="TableContents"/>
              <w:bidi w:val="0"/>
              <w:spacing w:before="0" w:after="0"/>
              <w:ind w:left="0" w:right="0" w:hanging="0"/>
              <w:jc w:val="left"/>
              <w:rPr>
                <w:sz w:val="20"/>
              </w:rPr>
            </w:pPr>
            <w:r>
              <w:rPr>
                <w:sz w:val="20"/>
              </w:rPr>
            </w:r>
          </w:p>
        </w:tc>
        <w:tc>
          <w:tcPr>
            <w:tcW w:w="125" w:type="dxa"/>
            <w:tcBorders/>
            <w:vAlign w:val="center"/>
          </w:tcPr>
          <w:p>
            <w:pPr>
              <w:pStyle w:val="TableContents"/>
              <w:bidi w:val="0"/>
              <w:spacing w:before="0" w:after="0"/>
              <w:ind w:left="0" w:right="0" w:hanging="0"/>
              <w:jc w:val="left"/>
              <w:rPr>
                <w:sz w:val="20"/>
              </w:rPr>
            </w:pPr>
            <w:r>
              <w:rPr>
                <w:sz w:val="20"/>
              </w:rPr>
            </w:r>
          </w:p>
        </w:tc>
        <w:tc>
          <w:tcPr>
            <w:tcW w:w="950" w:type="dxa"/>
            <w:tcBorders/>
            <w:vAlign w:val="center"/>
          </w:tcPr>
          <w:p>
            <w:pPr>
              <w:pStyle w:val="TableContents"/>
              <w:bidi w:val="0"/>
              <w:spacing w:before="0" w:after="0"/>
              <w:ind w:left="0" w:right="0" w:hanging="0"/>
              <w:jc w:val="left"/>
              <w:rPr>
                <w:sz w:val="20"/>
              </w:rPr>
            </w:pPr>
            <w:r>
              <w:rPr>
                <w:sz w:val="20"/>
              </w:rPr>
            </w:r>
          </w:p>
        </w:tc>
        <w:tc>
          <w:tcPr>
            <w:tcW w:w="110" w:type="dxa"/>
            <w:tcBorders/>
            <w:vAlign w:val="center"/>
          </w:tcPr>
          <w:p>
            <w:pPr>
              <w:pStyle w:val="TableContents"/>
              <w:bidi w:val="0"/>
              <w:spacing w:before="0" w:after="0"/>
              <w:ind w:left="0" w:right="0" w:hanging="0"/>
              <w:jc w:val="left"/>
              <w:rPr>
                <w:sz w:val="20"/>
              </w:rPr>
            </w:pPr>
            <w:r>
              <w:rPr>
                <w:sz w:val="20"/>
              </w:rPr>
            </w:r>
          </w:p>
        </w:tc>
      </w:tr>
      <w:tr>
        <w:trPr/>
        <w:tc>
          <w:tcPr>
            <w:tcW w:w="5441"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Direct operating costs, exclusive of depreciation</w:t>
            </w:r>
          </w:p>
        </w:tc>
        <w:tc>
          <w:tcPr>
            <w:tcW w:w="125" w:type="dxa"/>
            <w:tcBorders/>
            <w:shd w:fill="CCEEFF" w:val="clear"/>
            <w:vAlign w:val="center"/>
          </w:tcPr>
          <w:p>
            <w:pPr>
              <w:pStyle w:val="TableContents"/>
              <w:bidi w:val="0"/>
              <w:spacing w:before="0" w:after="0"/>
              <w:ind w:left="0" w:right="0" w:hanging="0"/>
              <w:jc w:val="right"/>
              <w:rPr>
                <w:sz w:val="20"/>
              </w:rPr>
            </w:pPr>
            <w:r>
              <w:rPr>
                <w:sz w:val="20"/>
              </w:rPr>
            </w:r>
          </w:p>
        </w:tc>
        <w:tc>
          <w:tcPr>
            <w:tcW w:w="950" w:type="dxa"/>
            <w:tcBorders/>
            <w:shd w:fill="CCEEFF" w:val="clear"/>
            <w:vAlign w:val="center"/>
          </w:tcPr>
          <w:p>
            <w:pPr>
              <w:pStyle w:val="TableContents"/>
              <w:bidi w:val="0"/>
              <w:spacing w:before="0" w:after="0"/>
              <w:ind w:left="0" w:right="0" w:hanging="0"/>
              <w:jc w:val="right"/>
              <w:rPr>
                <w:sz w:val="20"/>
              </w:rPr>
            </w:pPr>
            <w:r>
              <w:rPr>
                <w:sz w:val="20"/>
              </w:rPr>
              <w:t>580.8</w:t>
            </w:r>
          </w:p>
        </w:tc>
        <w:tc>
          <w:tcPr>
            <w:tcW w:w="95" w:type="dxa"/>
            <w:tcBorders/>
            <w:shd w:fill="CCEEFF" w:val="clear"/>
            <w:vAlign w:val="center"/>
          </w:tcPr>
          <w:p>
            <w:pPr>
              <w:pStyle w:val="TableContents"/>
              <w:bidi w:val="0"/>
              <w:spacing w:before="0" w:after="0"/>
              <w:ind w:left="0" w:right="0" w:hanging="0"/>
              <w:jc w:val="right"/>
              <w:rPr>
                <w:sz w:val="20"/>
              </w:rPr>
            </w:pPr>
            <w:r>
              <w:rPr>
                <w:sz w:val="20"/>
              </w:rPr>
            </w:r>
          </w:p>
        </w:tc>
        <w:tc>
          <w:tcPr>
            <w:tcW w:w="23" w:type="dxa"/>
            <w:tcBorders/>
            <w:shd w:fill="CCEEFF" w:val="clear"/>
            <w:vAlign w:val="center"/>
          </w:tcPr>
          <w:p>
            <w:pPr>
              <w:pStyle w:val="TableContents"/>
              <w:bidi w:val="0"/>
              <w:spacing w:before="0" w:after="0"/>
              <w:ind w:left="0" w:right="0" w:hanging="0"/>
              <w:jc w:val="right"/>
              <w:rPr>
                <w:sz w:val="20"/>
              </w:rPr>
            </w:pPr>
            <w:r>
              <w:rPr>
                <w:sz w:val="20"/>
              </w:rPr>
            </w:r>
          </w:p>
        </w:tc>
        <w:tc>
          <w:tcPr>
            <w:tcW w:w="125" w:type="dxa"/>
            <w:tcBorders/>
            <w:shd w:fill="CCEEFF" w:val="clear"/>
            <w:vAlign w:val="center"/>
          </w:tcPr>
          <w:p>
            <w:pPr>
              <w:pStyle w:val="TableContents"/>
              <w:bidi w:val="0"/>
              <w:spacing w:before="0" w:after="0"/>
              <w:ind w:left="0" w:right="0" w:hanging="0"/>
              <w:jc w:val="right"/>
              <w:rPr>
                <w:sz w:val="20"/>
              </w:rPr>
            </w:pPr>
            <w:r>
              <w:rPr>
                <w:sz w:val="20"/>
              </w:rPr>
            </w:r>
          </w:p>
        </w:tc>
        <w:tc>
          <w:tcPr>
            <w:tcW w:w="950" w:type="dxa"/>
            <w:tcBorders/>
            <w:shd w:fill="CCEEFF" w:val="clear"/>
            <w:vAlign w:val="center"/>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558.1</w:t>
            </w:r>
          </w:p>
        </w:tc>
        <w:tc>
          <w:tcPr>
            <w:tcW w:w="95" w:type="dxa"/>
            <w:tcBorders/>
            <w:shd w:fill="CCEEFF" w:val="clear"/>
            <w:vAlign w:val="center"/>
          </w:tcPr>
          <w:p>
            <w:pPr>
              <w:pStyle w:val="TableContents"/>
              <w:bidi w:val="0"/>
              <w:spacing w:before="0" w:after="0"/>
              <w:ind w:left="0" w:right="0" w:hanging="0"/>
              <w:jc w:val="right"/>
              <w:rPr>
                <w:sz w:val="20"/>
              </w:rPr>
            </w:pPr>
            <w:r>
              <w:rPr>
                <w:sz w:val="20"/>
              </w:rPr>
            </w:r>
          </w:p>
        </w:tc>
        <w:tc>
          <w:tcPr>
            <w:tcW w:w="23" w:type="dxa"/>
            <w:tcBorders/>
            <w:shd w:fill="CCEEFF" w:val="clear"/>
            <w:vAlign w:val="center"/>
          </w:tcPr>
          <w:p>
            <w:pPr>
              <w:pStyle w:val="TableContents"/>
              <w:bidi w:val="0"/>
              <w:spacing w:before="0" w:after="0"/>
              <w:ind w:left="0" w:right="0" w:hanging="0"/>
              <w:jc w:val="right"/>
              <w:rPr>
                <w:sz w:val="20"/>
              </w:rPr>
            </w:pPr>
            <w:r>
              <w:rPr>
                <w:sz w:val="20"/>
              </w:rPr>
            </w:r>
          </w:p>
        </w:tc>
        <w:tc>
          <w:tcPr>
            <w:tcW w:w="125" w:type="dxa"/>
            <w:tcBorders/>
            <w:shd w:fill="CCEEFF" w:val="clear"/>
            <w:vAlign w:val="center"/>
          </w:tcPr>
          <w:p>
            <w:pPr>
              <w:pStyle w:val="TableContents"/>
              <w:bidi w:val="0"/>
              <w:spacing w:before="0" w:after="0"/>
              <w:ind w:left="0" w:right="0" w:hanging="0"/>
              <w:jc w:val="right"/>
              <w:rPr>
                <w:sz w:val="20"/>
              </w:rPr>
            </w:pPr>
            <w:r>
              <w:rPr>
                <w:sz w:val="20"/>
              </w:rPr>
            </w:r>
          </w:p>
        </w:tc>
        <w:tc>
          <w:tcPr>
            <w:tcW w:w="950" w:type="dxa"/>
            <w:tcBorders/>
            <w:shd w:fill="CCEEFF" w:val="clear"/>
            <w:vAlign w:val="center"/>
          </w:tcPr>
          <w:p>
            <w:pPr>
              <w:pStyle w:val="TableContents"/>
              <w:bidi w:val="0"/>
              <w:spacing w:before="0" w:after="0"/>
              <w:ind w:left="0" w:right="0" w:hanging="0"/>
              <w:jc w:val="right"/>
              <w:rPr>
                <w:sz w:val="20"/>
              </w:rPr>
            </w:pPr>
            <w:r>
              <w:rPr>
                <w:sz w:val="20"/>
              </w:rPr>
              <w:t>1,114.5</w:t>
            </w:r>
          </w:p>
        </w:tc>
        <w:tc>
          <w:tcPr>
            <w:tcW w:w="95" w:type="dxa"/>
            <w:tcBorders/>
            <w:shd w:fill="CCEEFF" w:val="clear"/>
            <w:vAlign w:val="center"/>
          </w:tcPr>
          <w:p>
            <w:pPr>
              <w:pStyle w:val="TableContents"/>
              <w:bidi w:val="0"/>
              <w:spacing w:before="0" w:after="0"/>
              <w:ind w:left="0" w:right="0" w:hanging="0"/>
              <w:jc w:val="right"/>
              <w:rPr>
                <w:sz w:val="20"/>
              </w:rPr>
            </w:pPr>
            <w:r>
              <w:rPr>
                <w:sz w:val="20"/>
              </w:rPr>
            </w:r>
          </w:p>
        </w:tc>
        <w:tc>
          <w:tcPr>
            <w:tcW w:w="23" w:type="dxa"/>
            <w:tcBorders/>
            <w:shd w:fill="CCEEFF" w:val="clear"/>
            <w:vAlign w:val="center"/>
          </w:tcPr>
          <w:p>
            <w:pPr>
              <w:pStyle w:val="TableContents"/>
              <w:bidi w:val="0"/>
              <w:spacing w:before="0" w:after="0"/>
              <w:ind w:left="0" w:right="0" w:hanging="0"/>
              <w:jc w:val="right"/>
              <w:rPr>
                <w:sz w:val="20"/>
              </w:rPr>
            </w:pPr>
            <w:r>
              <w:rPr>
                <w:sz w:val="20"/>
              </w:rPr>
            </w:r>
          </w:p>
        </w:tc>
        <w:tc>
          <w:tcPr>
            <w:tcW w:w="125" w:type="dxa"/>
            <w:tcBorders/>
            <w:shd w:fill="CCEEFF" w:val="clear"/>
            <w:vAlign w:val="center"/>
          </w:tcPr>
          <w:p>
            <w:pPr>
              <w:pStyle w:val="TableContents"/>
              <w:bidi w:val="0"/>
              <w:spacing w:before="0" w:after="0"/>
              <w:ind w:left="0" w:right="0" w:hanging="0"/>
              <w:jc w:val="right"/>
              <w:rPr>
                <w:sz w:val="20"/>
              </w:rPr>
            </w:pPr>
            <w:r>
              <w:rPr>
                <w:sz w:val="20"/>
              </w:rPr>
            </w:r>
          </w:p>
        </w:tc>
        <w:tc>
          <w:tcPr>
            <w:tcW w:w="950" w:type="dxa"/>
            <w:tcBorders/>
            <w:shd w:fill="CCEEFF" w:val="clear"/>
            <w:vAlign w:val="center"/>
          </w:tcPr>
          <w:p>
            <w:pPr>
              <w:pStyle w:val="TableContents"/>
              <w:bidi w:val="0"/>
              <w:spacing w:before="0" w:after="0"/>
              <w:ind w:left="0" w:right="0" w:hanging="0"/>
              <w:jc w:val="right"/>
              <w:rPr>
                <w:sz w:val="20"/>
              </w:rPr>
            </w:pPr>
            <w:r>
              <w:rPr>
                <w:sz w:val="20"/>
              </w:rPr>
              <w:t>1,049.7</w:t>
            </w:r>
          </w:p>
        </w:tc>
        <w:tc>
          <w:tcPr>
            <w:tcW w:w="110" w:type="dxa"/>
            <w:tcBorders/>
            <w:shd w:fill="CCEEFF" w:val="clear"/>
            <w:vAlign w:val="center"/>
          </w:tcPr>
          <w:p>
            <w:pPr>
              <w:pStyle w:val="TableContents"/>
              <w:bidi w:val="0"/>
              <w:spacing w:before="0" w:after="0"/>
              <w:ind w:left="0" w:right="0" w:hanging="0"/>
              <w:jc w:val="right"/>
              <w:rPr>
                <w:sz w:val="20"/>
              </w:rPr>
            </w:pPr>
            <w:r>
              <w:rPr>
                <w:sz w:val="20"/>
              </w:rPr>
            </w:r>
          </w:p>
        </w:tc>
      </w:tr>
      <w:tr>
        <w:trPr/>
        <w:tc>
          <w:tcPr>
            <w:tcW w:w="5441"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Salaries and benefits</w:t>
            </w:r>
          </w:p>
        </w:tc>
        <w:tc>
          <w:tcPr>
            <w:tcW w:w="125" w:type="dxa"/>
            <w:tcBorders/>
            <w:vAlign w:val="center"/>
          </w:tcPr>
          <w:p>
            <w:pPr>
              <w:pStyle w:val="TableContents"/>
              <w:bidi w:val="0"/>
              <w:spacing w:before="0" w:after="0"/>
              <w:ind w:left="0" w:right="0" w:hanging="0"/>
              <w:jc w:val="right"/>
              <w:rPr>
                <w:sz w:val="20"/>
              </w:rPr>
            </w:pPr>
            <w:r>
              <w:rPr>
                <w:sz w:val="20"/>
              </w:rPr>
            </w:r>
          </w:p>
        </w:tc>
        <w:tc>
          <w:tcPr>
            <w:tcW w:w="950" w:type="dxa"/>
            <w:tcBorders/>
            <w:vAlign w:val="center"/>
          </w:tcPr>
          <w:p>
            <w:pPr>
              <w:pStyle w:val="TableContents"/>
              <w:bidi w:val="0"/>
              <w:spacing w:before="0" w:after="0"/>
              <w:ind w:left="0" w:right="0" w:hanging="0"/>
              <w:jc w:val="right"/>
              <w:rPr>
                <w:sz w:val="20"/>
              </w:rPr>
            </w:pPr>
            <w:r>
              <w:rPr>
                <w:sz w:val="20"/>
              </w:rPr>
              <w:t>158.0</w:t>
            </w:r>
          </w:p>
        </w:tc>
        <w:tc>
          <w:tcPr>
            <w:tcW w:w="95" w:type="dxa"/>
            <w:tcBorders/>
            <w:vAlign w:val="center"/>
          </w:tcPr>
          <w:p>
            <w:pPr>
              <w:pStyle w:val="TableContents"/>
              <w:bidi w:val="0"/>
              <w:spacing w:before="0" w:after="0"/>
              <w:ind w:left="0" w:right="0" w:hanging="0"/>
              <w:jc w:val="right"/>
              <w:rPr>
                <w:sz w:val="20"/>
              </w:rPr>
            </w:pPr>
            <w:r>
              <w:rPr>
                <w:sz w:val="20"/>
              </w:rPr>
            </w:r>
          </w:p>
        </w:tc>
        <w:tc>
          <w:tcPr>
            <w:tcW w:w="23" w:type="dxa"/>
            <w:tcBorders/>
            <w:vAlign w:val="center"/>
          </w:tcPr>
          <w:p>
            <w:pPr>
              <w:pStyle w:val="TableContents"/>
              <w:bidi w:val="0"/>
              <w:spacing w:before="0" w:after="0"/>
              <w:ind w:left="0" w:right="0" w:hanging="0"/>
              <w:jc w:val="right"/>
              <w:rPr>
                <w:sz w:val="20"/>
              </w:rPr>
            </w:pPr>
            <w:r>
              <w:rPr>
                <w:sz w:val="20"/>
              </w:rPr>
            </w:r>
          </w:p>
        </w:tc>
        <w:tc>
          <w:tcPr>
            <w:tcW w:w="125" w:type="dxa"/>
            <w:tcBorders/>
            <w:vAlign w:val="center"/>
          </w:tcPr>
          <w:p>
            <w:pPr>
              <w:pStyle w:val="TableContents"/>
              <w:bidi w:val="0"/>
              <w:spacing w:before="0" w:after="0"/>
              <w:ind w:left="0" w:right="0" w:hanging="0"/>
              <w:jc w:val="right"/>
              <w:rPr>
                <w:sz w:val="20"/>
              </w:rPr>
            </w:pPr>
            <w:r>
              <w:rPr>
                <w:sz w:val="20"/>
              </w:rPr>
            </w:r>
          </w:p>
        </w:tc>
        <w:tc>
          <w:tcPr>
            <w:tcW w:w="950" w:type="dxa"/>
            <w:tcBorders/>
            <w:vAlign w:val="center"/>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149.4</w:t>
            </w:r>
          </w:p>
        </w:tc>
        <w:tc>
          <w:tcPr>
            <w:tcW w:w="95" w:type="dxa"/>
            <w:tcBorders/>
            <w:vAlign w:val="center"/>
          </w:tcPr>
          <w:p>
            <w:pPr>
              <w:pStyle w:val="TableContents"/>
              <w:bidi w:val="0"/>
              <w:spacing w:before="0" w:after="0"/>
              <w:ind w:left="0" w:right="0" w:hanging="0"/>
              <w:jc w:val="right"/>
              <w:rPr>
                <w:sz w:val="20"/>
              </w:rPr>
            </w:pPr>
            <w:r>
              <w:rPr>
                <w:sz w:val="20"/>
              </w:rPr>
            </w:r>
          </w:p>
        </w:tc>
        <w:tc>
          <w:tcPr>
            <w:tcW w:w="23" w:type="dxa"/>
            <w:tcBorders/>
            <w:vAlign w:val="center"/>
          </w:tcPr>
          <w:p>
            <w:pPr>
              <w:pStyle w:val="TableContents"/>
              <w:bidi w:val="0"/>
              <w:spacing w:before="0" w:after="0"/>
              <w:ind w:left="0" w:right="0" w:hanging="0"/>
              <w:jc w:val="right"/>
              <w:rPr>
                <w:sz w:val="20"/>
              </w:rPr>
            </w:pPr>
            <w:r>
              <w:rPr>
                <w:sz w:val="20"/>
              </w:rPr>
            </w:r>
          </w:p>
        </w:tc>
        <w:tc>
          <w:tcPr>
            <w:tcW w:w="125" w:type="dxa"/>
            <w:tcBorders/>
            <w:vAlign w:val="center"/>
          </w:tcPr>
          <w:p>
            <w:pPr>
              <w:pStyle w:val="TableContents"/>
              <w:bidi w:val="0"/>
              <w:spacing w:before="0" w:after="0"/>
              <w:ind w:left="0" w:right="0" w:hanging="0"/>
              <w:jc w:val="right"/>
              <w:rPr>
                <w:sz w:val="20"/>
              </w:rPr>
            </w:pPr>
            <w:r>
              <w:rPr>
                <w:sz w:val="20"/>
              </w:rPr>
            </w:r>
          </w:p>
        </w:tc>
        <w:tc>
          <w:tcPr>
            <w:tcW w:w="950" w:type="dxa"/>
            <w:tcBorders/>
            <w:vAlign w:val="center"/>
          </w:tcPr>
          <w:p>
            <w:pPr>
              <w:pStyle w:val="TableContents"/>
              <w:bidi w:val="0"/>
              <w:spacing w:before="0" w:after="0"/>
              <w:ind w:left="0" w:right="0" w:hanging="0"/>
              <w:jc w:val="right"/>
              <w:rPr>
                <w:sz w:val="20"/>
              </w:rPr>
            </w:pPr>
            <w:r>
              <w:rPr>
                <w:sz w:val="20"/>
              </w:rPr>
              <w:t>312.7</w:t>
            </w:r>
          </w:p>
        </w:tc>
        <w:tc>
          <w:tcPr>
            <w:tcW w:w="95" w:type="dxa"/>
            <w:tcBorders/>
            <w:vAlign w:val="center"/>
          </w:tcPr>
          <w:p>
            <w:pPr>
              <w:pStyle w:val="TableContents"/>
              <w:bidi w:val="0"/>
              <w:spacing w:before="0" w:after="0"/>
              <w:ind w:left="0" w:right="0" w:hanging="0"/>
              <w:jc w:val="right"/>
              <w:rPr>
                <w:sz w:val="20"/>
              </w:rPr>
            </w:pPr>
            <w:r>
              <w:rPr>
                <w:sz w:val="20"/>
              </w:rPr>
            </w:r>
          </w:p>
        </w:tc>
        <w:tc>
          <w:tcPr>
            <w:tcW w:w="23" w:type="dxa"/>
            <w:tcBorders/>
            <w:vAlign w:val="center"/>
          </w:tcPr>
          <w:p>
            <w:pPr>
              <w:pStyle w:val="TableContents"/>
              <w:bidi w:val="0"/>
              <w:spacing w:before="0" w:after="0"/>
              <w:ind w:left="0" w:right="0" w:hanging="0"/>
              <w:jc w:val="right"/>
              <w:rPr>
                <w:sz w:val="20"/>
              </w:rPr>
            </w:pPr>
            <w:r>
              <w:rPr>
                <w:sz w:val="20"/>
              </w:rPr>
            </w:r>
          </w:p>
        </w:tc>
        <w:tc>
          <w:tcPr>
            <w:tcW w:w="125" w:type="dxa"/>
            <w:tcBorders/>
            <w:vAlign w:val="center"/>
          </w:tcPr>
          <w:p>
            <w:pPr>
              <w:pStyle w:val="TableContents"/>
              <w:bidi w:val="0"/>
              <w:spacing w:before="0" w:after="0"/>
              <w:ind w:left="0" w:right="0" w:hanging="0"/>
              <w:jc w:val="right"/>
              <w:rPr>
                <w:sz w:val="20"/>
              </w:rPr>
            </w:pPr>
            <w:r>
              <w:rPr>
                <w:sz w:val="20"/>
              </w:rPr>
            </w:r>
          </w:p>
        </w:tc>
        <w:tc>
          <w:tcPr>
            <w:tcW w:w="950" w:type="dxa"/>
            <w:tcBorders/>
            <w:vAlign w:val="center"/>
          </w:tcPr>
          <w:p>
            <w:pPr>
              <w:pStyle w:val="TableContents"/>
              <w:bidi w:val="0"/>
              <w:spacing w:before="0" w:after="0"/>
              <w:ind w:left="0" w:right="0" w:hanging="0"/>
              <w:jc w:val="right"/>
              <w:rPr>
                <w:sz w:val="20"/>
              </w:rPr>
            </w:pPr>
            <w:r>
              <w:rPr>
                <w:sz w:val="20"/>
              </w:rPr>
              <w:t>291.3</w:t>
            </w:r>
          </w:p>
        </w:tc>
        <w:tc>
          <w:tcPr>
            <w:tcW w:w="110" w:type="dxa"/>
            <w:tcBorders/>
            <w:vAlign w:val="center"/>
          </w:tcPr>
          <w:p>
            <w:pPr>
              <w:pStyle w:val="TableContents"/>
              <w:bidi w:val="0"/>
              <w:spacing w:before="0" w:after="0"/>
              <w:ind w:left="0" w:right="0" w:hanging="0"/>
              <w:jc w:val="right"/>
              <w:rPr>
                <w:sz w:val="20"/>
              </w:rPr>
            </w:pPr>
            <w:r>
              <w:rPr>
                <w:sz w:val="20"/>
              </w:rPr>
            </w:r>
          </w:p>
        </w:tc>
      </w:tr>
      <w:tr>
        <w:trPr/>
        <w:tc>
          <w:tcPr>
            <w:tcW w:w="5441"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Selling, general and administrative</w:t>
            </w:r>
          </w:p>
        </w:tc>
        <w:tc>
          <w:tcPr>
            <w:tcW w:w="125" w:type="dxa"/>
            <w:tcBorders/>
            <w:shd w:fill="CCEEFF" w:val="clear"/>
            <w:vAlign w:val="center"/>
          </w:tcPr>
          <w:p>
            <w:pPr>
              <w:pStyle w:val="TableContents"/>
              <w:bidi w:val="0"/>
              <w:spacing w:before="0" w:after="0"/>
              <w:ind w:left="0" w:right="0" w:hanging="0"/>
              <w:jc w:val="right"/>
              <w:rPr>
                <w:sz w:val="20"/>
              </w:rPr>
            </w:pPr>
            <w:r>
              <w:rPr>
                <w:sz w:val="20"/>
              </w:rPr>
            </w:r>
          </w:p>
        </w:tc>
        <w:tc>
          <w:tcPr>
            <w:tcW w:w="950" w:type="dxa"/>
            <w:tcBorders/>
            <w:shd w:fill="CCEEFF" w:val="clear"/>
            <w:vAlign w:val="center"/>
          </w:tcPr>
          <w:p>
            <w:pPr>
              <w:pStyle w:val="TableContents"/>
              <w:bidi w:val="0"/>
              <w:spacing w:before="0" w:after="0"/>
              <w:ind w:left="0" w:right="0" w:hanging="0"/>
              <w:jc w:val="right"/>
              <w:rPr>
                <w:sz w:val="20"/>
              </w:rPr>
            </w:pPr>
            <w:r>
              <w:rPr>
                <w:sz w:val="20"/>
              </w:rPr>
              <w:t>79.4</w:t>
            </w:r>
          </w:p>
        </w:tc>
        <w:tc>
          <w:tcPr>
            <w:tcW w:w="95" w:type="dxa"/>
            <w:tcBorders/>
            <w:shd w:fill="CCEEFF" w:val="clear"/>
            <w:vAlign w:val="center"/>
          </w:tcPr>
          <w:p>
            <w:pPr>
              <w:pStyle w:val="TableContents"/>
              <w:bidi w:val="0"/>
              <w:spacing w:before="0" w:after="0"/>
              <w:ind w:left="0" w:right="0" w:hanging="0"/>
              <w:jc w:val="right"/>
              <w:rPr>
                <w:sz w:val="20"/>
              </w:rPr>
            </w:pPr>
            <w:r>
              <w:rPr>
                <w:sz w:val="20"/>
              </w:rPr>
            </w:r>
          </w:p>
        </w:tc>
        <w:tc>
          <w:tcPr>
            <w:tcW w:w="23" w:type="dxa"/>
            <w:tcBorders/>
            <w:shd w:fill="CCEEFF" w:val="clear"/>
            <w:vAlign w:val="center"/>
          </w:tcPr>
          <w:p>
            <w:pPr>
              <w:pStyle w:val="TableContents"/>
              <w:bidi w:val="0"/>
              <w:spacing w:before="0" w:after="0"/>
              <w:ind w:left="0" w:right="0" w:hanging="0"/>
              <w:jc w:val="right"/>
              <w:rPr>
                <w:sz w:val="20"/>
              </w:rPr>
            </w:pPr>
            <w:r>
              <w:rPr>
                <w:sz w:val="20"/>
              </w:rPr>
            </w:r>
          </w:p>
        </w:tc>
        <w:tc>
          <w:tcPr>
            <w:tcW w:w="125" w:type="dxa"/>
            <w:tcBorders/>
            <w:shd w:fill="CCEEFF" w:val="clear"/>
            <w:vAlign w:val="center"/>
          </w:tcPr>
          <w:p>
            <w:pPr>
              <w:pStyle w:val="TableContents"/>
              <w:bidi w:val="0"/>
              <w:spacing w:before="0" w:after="0"/>
              <w:ind w:left="0" w:right="0" w:hanging="0"/>
              <w:jc w:val="right"/>
              <w:rPr>
                <w:sz w:val="20"/>
              </w:rPr>
            </w:pPr>
            <w:r>
              <w:rPr>
                <w:sz w:val="20"/>
              </w:rPr>
            </w:r>
          </w:p>
        </w:tc>
        <w:tc>
          <w:tcPr>
            <w:tcW w:w="950" w:type="dxa"/>
            <w:tcBorders/>
            <w:shd w:fill="CCEEFF" w:val="clear"/>
            <w:vAlign w:val="center"/>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75.3</w:t>
            </w:r>
          </w:p>
        </w:tc>
        <w:tc>
          <w:tcPr>
            <w:tcW w:w="95" w:type="dxa"/>
            <w:tcBorders/>
            <w:shd w:fill="CCEEFF" w:val="clear"/>
            <w:vAlign w:val="center"/>
          </w:tcPr>
          <w:p>
            <w:pPr>
              <w:pStyle w:val="TableContents"/>
              <w:bidi w:val="0"/>
              <w:spacing w:before="0" w:after="0"/>
              <w:ind w:left="0" w:right="0" w:hanging="0"/>
              <w:jc w:val="right"/>
              <w:rPr>
                <w:sz w:val="20"/>
              </w:rPr>
            </w:pPr>
            <w:r>
              <w:rPr>
                <w:sz w:val="20"/>
              </w:rPr>
            </w:r>
          </w:p>
        </w:tc>
        <w:tc>
          <w:tcPr>
            <w:tcW w:w="23" w:type="dxa"/>
            <w:tcBorders/>
            <w:shd w:fill="CCEEFF" w:val="clear"/>
            <w:vAlign w:val="center"/>
          </w:tcPr>
          <w:p>
            <w:pPr>
              <w:pStyle w:val="TableContents"/>
              <w:bidi w:val="0"/>
              <w:spacing w:before="0" w:after="0"/>
              <w:ind w:left="0" w:right="0" w:hanging="0"/>
              <w:jc w:val="right"/>
              <w:rPr>
                <w:sz w:val="20"/>
              </w:rPr>
            </w:pPr>
            <w:r>
              <w:rPr>
                <w:sz w:val="20"/>
              </w:rPr>
            </w:r>
          </w:p>
        </w:tc>
        <w:tc>
          <w:tcPr>
            <w:tcW w:w="125" w:type="dxa"/>
            <w:tcBorders/>
            <w:shd w:fill="CCEEFF" w:val="clear"/>
            <w:vAlign w:val="center"/>
          </w:tcPr>
          <w:p>
            <w:pPr>
              <w:pStyle w:val="TableContents"/>
              <w:bidi w:val="0"/>
              <w:spacing w:before="0" w:after="0"/>
              <w:ind w:left="0" w:right="0" w:hanging="0"/>
              <w:jc w:val="right"/>
              <w:rPr>
                <w:sz w:val="20"/>
              </w:rPr>
            </w:pPr>
            <w:r>
              <w:rPr>
                <w:sz w:val="20"/>
              </w:rPr>
            </w:r>
          </w:p>
        </w:tc>
        <w:tc>
          <w:tcPr>
            <w:tcW w:w="950" w:type="dxa"/>
            <w:tcBorders/>
            <w:shd w:fill="CCEEFF" w:val="clear"/>
            <w:vAlign w:val="center"/>
          </w:tcPr>
          <w:p>
            <w:pPr>
              <w:pStyle w:val="TableContents"/>
              <w:bidi w:val="0"/>
              <w:spacing w:before="0" w:after="0"/>
              <w:ind w:left="0" w:right="0" w:hanging="0"/>
              <w:jc w:val="right"/>
              <w:rPr>
                <w:sz w:val="20"/>
              </w:rPr>
            </w:pPr>
            <w:r>
              <w:rPr>
                <w:sz w:val="20"/>
              </w:rPr>
              <w:t>151.3</w:t>
            </w:r>
          </w:p>
        </w:tc>
        <w:tc>
          <w:tcPr>
            <w:tcW w:w="95" w:type="dxa"/>
            <w:tcBorders/>
            <w:shd w:fill="CCEEFF" w:val="clear"/>
            <w:vAlign w:val="center"/>
          </w:tcPr>
          <w:p>
            <w:pPr>
              <w:pStyle w:val="TableContents"/>
              <w:bidi w:val="0"/>
              <w:spacing w:before="0" w:after="0"/>
              <w:ind w:left="0" w:right="0" w:hanging="0"/>
              <w:jc w:val="right"/>
              <w:rPr>
                <w:sz w:val="20"/>
              </w:rPr>
            </w:pPr>
            <w:r>
              <w:rPr>
                <w:sz w:val="20"/>
              </w:rPr>
            </w:r>
          </w:p>
        </w:tc>
        <w:tc>
          <w:tcPr>
            <w:tcW w:w="23" w:type="dxa"/>
            <w:tcBorders/>
            <w:shd w:fill="CCEEFF" w:val="clear"/>
            <w:vAlign w:val="center"/>
          </w:tcPr>
          <w:p>
            <w:pPr>
              <w:pStyle w:val="TableContents"/>
              <w:bidi w:val="0"/>
              <w:spacing w:before="0" w:after="0"/>
              <w:ind w:left="0" w:right="0" w:hanging="0"/>
              <w:jc w:val="right"/>
              <w:rPr>
                <w:sz w:val="20"/>
              </w:rPr>
            </w:pPr>
            <w:r>
              <w:rPr>
                <w:sz w:val="20"/>
              </w:rPr>
            </w:r>
          </w:p>
        </w:tc>
        <w:tc>
          <w:tcPr>
            <w:tcW w:w="125" w:type="dxa"/>
            <w:tcBorders/>
            <w:shd w:fill="CCEEFF" w:val="clear"/>
            <w:vAlign w:val="center"/>
          </w:tcPr>
          <w:p>
            <w:pPr>
              <w:pStyle w:val="TableContents"/>
              <w:bidi w:val="0"/>
              <w:spacing w:before="0" w:after="0"/>
              <w:ind w:left="0" w:right="0" w:hanging="0"/>
              <w:jc w:val="right"/>
              <w:rPr>
                <w:sz w:val="20"/>
              </w:rPr>
            </w:pPr>
            <w:r>
              <w:rPr>
                <w:sz w:val="20"/>
              </w:rPr>
            </w:r>
          </w:p>
        </w:tc>
        <w:tc>
          <w:tcPr>
            <w:tcW w:w="950" w:type="dxa"/>
            <w:tcBorders/>
            <w:shd w:fill="CCEEFF" w:val="clear"/>
            <w:vAlign w:val="center"/>
          </w:tcPr>
          <w:p>
            <w:pPr>
              <w:pStyle w:val="TableContents"/>
              <w:bidi w:val="0"/>
              <w:spacing w:before="0" w:after="0"/>
              <w:ind w:left="0" w:right="0" w:hanging="0"/>
              <w:jc w:val="right"/>
              <w:rPr>
                <w:sz w:val="20"/>
              </w:rPr>
            </w:pPr>
            <w:r>
              <w:rPr>
                <w:sz w:val="20"/>
              </w:rPr>
              <w:t>150.5</w:t>
            </w:r>
          </w:p>
        </w:tc>
        <w:tc>
          <w:tcPr>
            <w:tcW w:w="110" w:type="dxa"/>
            <w:tcBorders/>
            <w:shd w:fill="CCEEFF" w:val="clear"/>
            <w:vAlign w:val="center"/>
          </w:tcPr>
          <w:p>
            <w:pPr>
              <w:pStyle w:val="TableContents"/>
              <w:bidi w:val="0"/>
              <w:spacing w:before="0" w:after="0"/>
              <w:ind w:left="0" w:right="0" w:hanging="0"/>
              <w:jc w:val="right"/>
              <w:rPr>
                <w:sz w:val="20"/>
              </w:rPr>
            </w:pPr>
            <w:r>
              <w:rPr>
                <w:sz w:val="20"/>
              </w:rPr>
            </w:r>
          </w:p>
        </w:tc>
      </w:tr>
      <w:tr>
        <w:trPr/>
        <w:tc>
          <w:tcPr>
            <w:tcW w:w="5441"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Depreciation and amortization</w:t>
            </w:r>
          </w:p>
        </w:tc>
        <w:tc>
          <w:tcPr>
            <w:tcW w:w="125" w:type="dxa"/>
            <w:tcBorders/>
            <w:vAlign w:val="center"/>
          </w:tcPr>
          <w:p>
            <w:pPr>
              <w:pStyle w:val="TableContents"/>
              <w:bidi w:val="0"/>
              <w:spacing w:before="0" w:after="0"/>
              <w:ind w:left="0" w:right="0" w:hanging="0"/>
              <w:jc w:val="right"/>
              <w:rPr>
                <w:sz w:val="20"/>
              </w:rPr>
            </w:pPr>
            <w:r>
              <w:rPr>
                <w:sz w:val="20"/>
              </w:rPr>
            </w:r>
          </w:p>
        </w:tc>
        <w:tc>
          <w:tcPr>
            <w:tcW w:w="950" w:type="dxa"/>
            <w:tcBorders/>
            <w:vAlign w:val="center"/>
          </w:tcPr>
          <w:p>
            <w:pPr>
              <w:pStyle w:val="TableContents"/>
              <w:bidi w:val="0"/>
              <w:spacing w:before="0" w:after="0"/>
              <w:ind w:left="0" w:right="0" w:hanging="0"/>
              <w:jc w:val="right"/>
              <w:rPr>
                <w:sz w:val="20"/>
              </w:rPr>
            </w:pPr>
            <w:r>
              <w:rPr>
                <w:sz w:val="20"/>
              </w:rPr>
              <w:t>33.7</w:t>
            </w:r>
          </w:p>
        </w:tc>
        <w:tc>
          <w:tcPr>
            <w:tcW w:w="95" w:type="dxa"/>
            <w:tcBorders/>
            <w:vAlign w:val="center"/>
          </w:tcPr>
          <w:p>
            <w:pPr>
              <w:pStyle w:val="TableContents"/>
              <w:bidi w:val="0"/>
              <w:spacing w:before="0" w:after="0"/>
              <w:ind w:left="0" w:right="0" w:hanging="0"/>
              <w:jc w:val="right"/>
              <w:rPr>
                <w:sz w:val="20"/>
              </w:rPr>
            </w:pPr>
            <w:r>
              <w:rPr>
                <w:sz w:val="20"/>
              </w:rPr>
            </w:r>
          </w:p>
        </w:tc>
        <w:tc>
          <w:tcPr>
            <w:tcW w:w="23" w:type="dxa"/>
            <w:tcBorders/>
            <w:vAlign w:val="center"/>
          </w:tcPr>
          <w:p>
            <w:pPr>
              <w:pStyle w:val="TableContents"/>
              <w:bidi w:val="0"/>
              <w:spacing w:before="0" w:after="0"/>
              <w:ind w:left="0" w:right="0" w:hanging="0"/>
              <w:jc w:val="right"/>
              <w:rPr>
                <w:sz w:val="20"/>
              </w:rPr>
            </w:pPr>
            <w:r>
              <w:rPr>
                <w:sz w:val="20"/>
              </w:rPr>
            </w:r>
          </w:p>
        </w:tc>
        <w:tc>
          <w:tcPr>
            <w:tcW w:w="125" w:type="dxa"/>
            <w:tcBorders/>
            <w:vAlign w:val="center"/>
          </w:tcPr>
          <w:p>
            <w:pPr>
              <w:pStyle w:val="TableContents"/>
              <w:bidi w:val="0"/>
              <w:spacing w:before="0" w:after="0"/>
              <w:ind w:left="0" w:right="0" w:hanging="0"/>
              <w:jc w:val="right"/>
              <w:rPr>
                <w:sz w:val="20"/>
              </w:rPr>
            </w:pPr>
            <w:r>
              <w:rPr>
                <w:sz w:val="20"/>
              </w:rPr>
            </w:r>
          </w:p>
        </w:tc>
        <w:tc>
          <w:tcPr>
            <w:tcW w:w="950" w:type="dxa"/>
            <w:tcBorders/>
            <w:vAlign w:val="center"/>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33.7</w:t>
            </w:r>
          </w:p>
        </w:tc>
        <w:tc>
          <w:tcPr>
            <w:tcW w:w="95" w:type="dxa"/>
            <w:tcBorders/>
            <w:vAlign w:val="center"/>
          </w:tcPr>
          <w:p>
            <w:pPr>
              <w:pStyle w:val="TableContents"/>
              <w:bidi w:val="0"/>
              <w:spacing w:before="0" w:after="0"/>
              <w:ind w:left="0" w:right="0" w:hanging="0"/>
              <w:jc w:val="right"/>
              <w:rPr>
                <w:sz w:val="20"/>
              </w:rPr>
            </w:pPr>
            <w:r>
              <w:rPr>
                <w:sz w:val="20"/>
              </w:rPr>
            </w:r>
          </w:p>
        </w:tc>
        <w:tc>
          <w:tcPr>
            <w:tcW w:w="23" w:type="dxa"/>
            <w:tcBorders/>
            <w:vAlign w:val="center"/>
          </w:tcPr>
          <w:p>
            <w:pPr>
              <w:pStyle w:val="TableContents"/>
              <w:bidi w:val="0"/>
              <w:spacing w:before="0" w:after="0"/>
              <w:ind w:left="0" w:right="0" w:hanging="0"/>
              <w:jc w:val="right"/>
              <w:rPr>
                <w:sz w:val="20"/>
              </w:rPr>
            </w:pPr>
            <w:r>
              <w:rPr>
                <w:sz w:val="20"/>
              </w:rPr>
            </w:r>
          </w:p>
        </w:tc>
        <w:tc>
          <w:tcPr>
            <w:tcW w:w="125" w:type="dxa"/>
            <w:tcBorders/>
            <w:vAlign w:val="center"/>
          </w:tcPr>
          <w:p>
            <w:pPr>
              <w:pStyle w:val="TableContents"/>
              <w:bidi w:val="0"/>
              <w:spacing w:before="0" w:after="0"/>
              <w:ind w:left="0" w:right="0" w:hanging="0"/>
              <w:jc w:val="right"/>
              <w:rPr>
                <w:sz w:val="20"/>
              </w:rPr>
            </w:pPr>
            <w:r>
              <w:rPr>
                <w:sz w:val="20"/>
              </w:rPr>
            </w:r>
          </w:p>
        </w:tc>
        <w:tc>
          <w:tcPr>
            <w:tcW w:w="950" w:type="dxa"/>
            <w:tcBorders/>
            <w:vAlign w:val="center"/>
          </w:tcPr>
          <w:p>
            <w:pPr>
              <w:pStyle w:val="TableContents"/>
              <w:bidi w:val="0"/>
              <w:spacing w:before="0" w:after="0"/>
              <w:ind w:left="0" w:right="0" w:hanging="0"/>
              <w:jc w:val="right"/>
              <w:rPr>
                <w:sz w:val="20"/>
              </w:rPr>
            </w:pPr>
            <w:r>
              <w:rPr>
                <w:sz w:val="20"/>
              </w:rPr>
              <w:t>66.4</w:t>
            </w:r>
          </w:p>
        </w:tc>
        <w:tc>
          <w:tcPr>
            <w:tcW w:w="95" w:type="dxa"/>
            <w:tcBorders/>
            <w:vAlign w:val="center"/>
          </w:tcPr>
          <w:p>
            <w:pPr>
              <w:pStyle w:val="TableContents"/>
              <w:bidi w:val="0"/>
              <w:spacing w:before="0" w:after="0"/>
              <w:ind w:left="0" w:right="0" w:hanging="0"/>
              <w:jc w:val="right"/>
              <w:rPr>
                <w:sz w:val="20"/>
              </w:rPr>
            </w:pPr>
            <w:r>
              <w:rPr>
                <w:sz w:val="20"/>
              </w:rPr>
            </w:r>
          </w:p>
        </w:tc>
        <w:tc>
          <w:tcPr>
            <w:tcW w:w="23" w:type="dxa"/>
            <w:tcBorders/>
            <w:vAlign w:val="center"/>
          </w:tcPr>
          <w:p>
            <w:pPr>
              <w:pStyle w:val="TableContents"/>
              <w:bidi w:val="0"/>
              <w:spacing w:before="0" w:after="0"/>
              <w:ind w:left="0" w:right="0" w:hanging="0"/>
              <w:jc w:val="right"/>
              <w:rPr>
                <w:sz w:val="20"/>
              </w:rPr>
            </w:pPr>
            <w:r>
              <w:rPr>
                <w:sz w:val="20"/>
              </w:rPr>
            </w:r>
          </w:p>
        </w:tc>
        <w:tc>
          <w:tcPr>
            <w:tcW w:w="125" w:type="dxa"/>
            <w:tcBorders/>
            <w:vAlign w:val="center"/>
          </w:tcPr>
          <w:p>
            <w:pPr>
              <w:pStyle w:val="TableContents"/>
              <w:bidi w:val="0"/>
              <w:spacing w:before="0" w:after="0"/>
              <w:ind w:left="0" w:right="0" w:hanging="0"/>
              <w:jc w:val="right"/>
              <w:rPr>
                <w:sz w:val="20"/>
              </w:rPr>
            </w:pPr>
            <w:r>
              <w:rPr>
                <w:sz w:val="20"/>
              </w:rPr>
            </w:r>
          </w:p>
        </w:tc>
        <w:tc>
          <w:tcPr>
            <w:tcW w:w="950" w:type="dxa"/>
            <w:tcBorders/>
            <w:vAlign w:val="center"/>
          </w:tcPr>
          <w:p>
            <w:pPr>
              <w:pStyle w:val="TableContents"/>
              <w:bidi w:val="0"/>
              <w:spacing w:before="0" w:after="0"/>
              <w:ind w:left="0" w:right="0" w:hanging="0"/>
              <w:jc w:val="right"/>
              <w:rPr>
                <w:sz w:val="20"/>
              </w:rPr>
            </w:pPr>
            <w:r>
              <w:rPr>
                <w:sz w:val="20"/>
              </w:rPr>
              <w:t>66.6</w:t>
            </w:r>
          </w:p>
        </w:tc>
        <w:tc>
          <w:tcPr>
            <w:tcW w:w="110" w:type="dxa"/>
            <w:tcBorders/>
            <w:vAlign w:val="center"/>
          </w:tcPr>
          <w:p>
            <w:pPr>
              <w:pStyle w:val="TableContents"/>
              <w:bidi w:val="0"/>
              <w:spacing w:before="0" w:after="0"/>
              <w:ind w:left="0" w:right="0" w:hanging="0"/>
              <w:jc w:val="right"/>
              <w:rPr>
                <w:sz w:val="20"/>
              </w:rPr>
            </w:pPr>
            <w:r>
              <w:rPr>
                <w:sz w:val="20"/>
              </w:rPr>
            </w:r>
          </w:p>
        </w:tc>
      </w:tr>
      <w:tr>
        <w:trPr/>
        <w:tc>
          <w:tcPr>
            <w:tcW w:w="5441"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Total operating expenses</w:t>
            </w:r>
          </w:p>
        </w:tc>
        <w:tc>
          <w:tcPr>
            <w:tcW w:w="125" w:type="dxa"/>
            <w:tcBorders/>
            <w:shd w:fill="CCEEFF" w:val="clear"/>
            <w:vAlign w:val="center"/>
          </w:tcPr>
          <w:p>
            <w:pPr>
              <w:pStyle w:val="TableContents"/>
              <w:bidi w:val="0"/>
              <w:spacing w:before="0" w:after="0"/>
              <w:ind w:left="0" w:right="0" w:hanging="0"/>
              <w:jc w:val="right"/>
              <w:rPr>
                <w:sz w:val="20"/>
              </w:rPr>
            </w:pPr>
            <w:r>
              <w:rPr>
                <w:sz w:val="20"/>
              </w:rPr>
            </w:r>
          </w:p>
        </w:tc>
        <w:tc>
          <w:tcPr>
            <w:tcW w:w="950" w:type="dxa"/>
            <w:tcBorders/>
            <w:shd w:fill="CCEEFF" w:val="clear"/>
            <w:vAlign w:val="center"/>
          </w:tcPr>
          <w:p>
            <w:pPr>
              <w:pStyle w:val="TableContents"/>
              <w:bidi w:val="0"/>
              <w:spacing w:before="0" w:after="0"/>
              <w:ind w:left="0" w:right="0" w:hanging="0"/>
              <w:jc w:val="right"/>
              <w:rPr>
                <w:sz w:val="20"/>
              </w:rPr>
            </w:pPr>
            <w:r>
              <w:rPr>
                <w:sz w:val="20"/>
              </w:rPr>
              <w:t>851.9</w:t>
            </w:r>
          </w:p>
        </w:tc>
        <w:tc>
          <w:tcPr>
            <w:tcW w:w="95" w:type="dxa"/>
            <w:tcBorders/>
            <w:shd w:fill="CCEEFF" w:val="clear"/>
            <w:vAlign w:val="center"/>
          </w:tcPr>
          <w:p>
            <w:pPr>
              <w:pStyle w:val="TableContents"/>
              <w:bidi w:val="0"/>
              <w:spacing w:before="0" w:after="0"/>
              <w:ind w:left="0" w:right="0" w:hanging="0"/>
              <w:jc w:val="right"/>
              <w:rPr>
                <w:sz w:val="20"/>
              </w:rPr>
            </w:pPr>
            <w:r>
              <w:rPr>
                <w:sz w:val="20"/>
              </w:rPr>
            </w:r>
          </w:p>
        </w:tc>
        <w:tc>
          <w:tcPr>
            <w:tcW w:w="23" w:type="dxa"/>
            <w:tcBorders/>
            <w:shd w:fill="CCEEFF" w:val="clear"/>
            <w:vAlign w:val="center"/>
          </w:tcPr>
          <w:p>
            <w:pPr>
              <w:pStyle w:val="TableContents"/>
              <w:bidi w:val="0"/>
              <w:spacing w:before="0" w:after="0"/>
              <w:ind w:left="0" w:right="0" w:hanging="0"/>
              <w:jc w:val="right"/>
              <w:rPr>
                <w:sz w:val="20"/>
              </w:rPr>
            </w:pPr>
            <w:r>
              <w:rPr>
                <w:sz w:val="20"/>
              </w:rPr>
            </w:r>
          </w:p>
        </w:tc>
        <w:tc>
          <w:tcPr>
            <w:tcW w:w="125" w:type="dxa"/>
            <w:tcBorders/>
            <w:shd w:fill="CCEEFF" w:val="clear"/>
            <w:vAlign w:val="center"/>
          </w:tcPr>
          <w:p>
            <w:pPr>
              <w:pStyle w:val="TableContents"/>
              <w:bidi w:val="0"/>
              <w:spacing w:before="0" w:after="0"/>
              <w:ind w:left="0" w:right="0" w:hanging="0"/>
              <w:jc w:val="right"/>
              <w:rPr>
                <w:sz w:val="20"/>
              </w:rPr>
            </w:pPr>
            <w:r>
              <w:rPr>
                <w:sz w:val="20"/>
              </w:rPr>
            </w:r>
          </w:p>
        </w:tc>
        <w:tc>
          <w:tcPr>
            <w:tcW w:w="950" w:type="dxa"/>
            <w:tcBorders/>
            <w:shd w:fill="CCEEFF" w:val="clear"/>
            <w:vAlign w:val="center"/>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816.5</w:t>
            </w:r>
          </w:p>
        </w:tc>
        <w:tc>
          <w:tcPr>
            <w:tcW w:w="95" w:type="dxa"/>
            <w:tcBorders/>
            <w:shd w:fill="CCEEFF" w:val="clear"/>
            <w:vAlign w:val="center"/>
          </w:tcPr>
          <w:p>
            <w:pPr>
              <w:pStyle w:val="TableContents"/>
              <w:bidi w:val="0"/>
              <w:spacing w:before="0" w:after="0"/>
              <w:ind w:left="0" w:right="0" w:hanging="0"/>
              <w:jc w:val="right"/>
              <w:rPr>
                <w:sz w:val="20"/>
              </w:rPr>
            </w:pPr>
            <w:r>
              <w:rPr>
                <w:sz w:val="20"/>
              </w:rPr>
            </w:r>
          </w:p>
        </w:tc>
        <w:tc>
          <w:tcPr>
            <w:tcW w:w="23" w:type="dxa"/>
            <w:tcBorders/>
            <w:shd w:fill="CCEEFF" w:val="clear"/>
            <w:vAlign w:val="center"/>
          </w:tcPr>
          <w:p>
            <w:pPr>
              <w:pStyle w:val="TableContents"/>
              <w:bidi w:val="0"/>
              <w:spacing w:before="0" w:after="0"/>
              <w:ind w:left="0" w:right="0" w:hanging="0"/>
              <w:jc w:val="right"/>
              <w:rPr>
                <w:sz w:val="20"/>
              </w:rPr>
            </w:pPr>
            <w:r>
              <w:rPr>
                <w:sz w:val="20"/>
              </w:rPr>
            </w:r>
          </w:p>
        </w:tc>
        <w:tc>
          <w:tcPr>
            <w:tcW w:w="125" w:type="dxa"/>
            <w:tcBorders/>
            <w:shd w:fill="CCEEFF" w:val="clear"/>
            <w:vAlign w:val="center"/>
          </w:tcPr>
          <w:p>
            <w:pPr>
              <w:pStyle w:val="TableContents"/>
              <w:bidi w:val="0"/>
              <w:spacing w:before="0" w:after="0"/>
              <w:ind w:left="0" w:right="0" w:hanging="0"/>
              <w:jc w:val="right"/>
              <w:rPr>
                <w:sz w:val="20"/>
              </w:rPr>
            </w:pPr>
            <w:r>
              <w:rPr>
                <w:sz w:val="20"/>
              </w:rPr>
            </w:r>
          </w:p>
        </w:tc>
        <w:tc>
          <w:tcPr>
            <w:tcW w:w="950" w:type="dxa"/>
            <w:tcBorders/>
            <w:shd w:fill="CCEEFF" w:val="clear"/>
            <w:vAlign w:val="center"/>
          </w:tcPr>
          <w:p>
            <w:pPr>
              <w:pStyle w:val="TableContents"/>
              <w:bidi w:val="0"/>
              <w:spacing w:before="0" w:after="0"/>
              <w:ind w:left="0" w:right="0" w:hanging="0"/>
              <w:jc w:val="right"/>
              <w:rPr>
                <w:sz w:val="20"/>
              </w:rPr>
            </w:pPr>
            <w:r>
              <w:rPr>
                <w:sz w:val="20"/>
              </w:rPr>
              <w:t>1,644.9</w:t>
            </w:r>
          </w:p>
        </w:tc>
        <w:tc>
          <w:tcPr>
            <w:tcW w:w="95" w:type="dxa"/>
            <w:tcBorders/>
            <w:shd w:fill="CCEEFF" w:val="clear"/>
            <w:vAlign w:val="center"/>
          </w:tcPr>
          <w:p>
            <w:pPr>
              <w:pStyle w:val="TableContents"/>
              <w:bidi w:val="0"/>
              <w:spacing w:before="0" w:after="0"/>
              <w:ind w:left="0" w:right="0" w:hanging="0"/>
              <w:jc w:val="right"/>
              <w:rPr>
                <w:sz w:val="20"/>
              </w:rPr>
            </w:pPr>
            <w:r>
              <w:rPr>
                <w:sz w:val="20"/>
              </w:rPr>
            </w:r>
          </w:p>
        </w:tc>
        <w:tc>
          <w:tcPr>
            <w:tcW w:w="23" w:type="dxa"/>
            <w:tcBorders/>
            <w:shd w:fill="CCEEFF" w:val="clear"/>
            <w:vAlign w:val="center"/>
          </w:tcPr>
          <w:p>
            <w:pPr>
              <w:pStyle w:val="TableContents"/>
              <w:bidi w:val="0"/>
              <w:spacing w:before="0" w:after="0"/>
              <w:ind w:left="0" w:right="0" w:hanging="0"/>
              <w:jc w:val="right"/>
              <w:rPr>
                <w:sz w:val="20"/>
              </w:rPr>
            </w:pPr>
            <w:r>
              <w:rPr>
                <w:sz w:val="20"/>
              </w:rPr>
            </w:r>
          </w:p>
        </w:tc>
        <w:tc>
          <w:tcPr>
            <w:tcW w:w="125" w:type="dxa"/>
            <w:tcBorders/>
            <w:shd w:fill="CCEEFF" w:val="clear"/>
            <w:vAlign w:val="center"/>
          </w:tcPr>
          <w:p>
            <w:pPr>
              <w:pStyle w:val="TableContents"/>
              <w:bidi w:val="0"/>
              <w:spacing w:before="0" w:after="0"/>
              <w:ind w:left="0" w:right="0" w:hanging="0"/>
              <w:jc w:val="right"/>
              <w:rPr>
                <w:sz w:val="20"/>
              </w:rPr>
            </w:pPr>
            <w:r>
              <w:rPr>
                <w:sz w:val="20"/>
              </w:rPr>
            </w:r>
          </w:p>
        </w:tc>
        <w:tc>
          <w:tcPr>
            <w:tcW w:w="950" w:type="dxa"/>
            <w:tcBorders/>
            <w:shd w:fill="CCEEFF" w:val="clear"/>
            <w:vAlign w:val="center"/>
          </w:tcPr>
          <w:p>
            <w:pPr>
              <w:pStyle w:val="TableContents"/>
              <w:bidi w:val="0"/>
              <w:spacing w:before="0" w:after="0"/>
              <w:ind w:left="0" w:right="0" w:hanging="0"/>
              <w:jc w:val="right"/>
              <w:rPr>
                <w:sz w:val="20"/>
              </w:rPr>
            </w:pPr>
            <w:r>
              <w:rPr>
                <w:sz w:val="20"/>
              </w:rPr>
              <w:t>1,558.1</w:t>
            </w:r>
          </w:p>
        </w:tc>
        <w:tc>
          <w:tcPr>
            <w:tcW w:w="110" w:type="dxa"/>
            <w:tcBorders/>
            <w:shd w:fill="CCEEFF" w:val="clear"/>
            <w:vAlign w:val="center"/>
          </w:tcPr>
          <w:p>
            <w:pPr>
              <w:pStyle w:val="TableContents"/>
              <w:bidi w:val="0"/>
              <w:spacing w:before="0" w:after="0"/>
              <w:ind w:left="0" w:right="0" w:hanging="0"/>
              <w:jc w:val="right"/>
              <w:rPr>
                <w:sz w:val="20"/>
              </w:rPr>
            </w:pPr>
            <w:r>
              <w:rPr>
                <w:sz w:val="20"/>
              </w:rPr>
            </w:r>
          </w:p>
        </w:tc>
      </w:tr>
      <w:tr>
        <w:trPr/>
        <w:tc>
          <w:tcPr>
            <w:tcW w:w="5441"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Operating income</w:t>
            </w:r>
          </w:p>
        </w:tc>
        <w:tc>
          <w:tcPr>
            <w:tcW w:w="125" w:type="dxa"/>
            <w:tcBorders/>
            <w:vAlign w:val="center"/>
          </w:tcPr>
          <w:p>
            <w:pPr>
              <w:pStyle w:val="TableContents"/>
              <w:bidi w:val="0"/>
              <w:spacing w:before="0" w:after="0"/>
              <w:ind w:left="0" w:right="0" w:hanging="0"/>
              <w:jc w:val="right"/>
              <w:rPr>
                <w:sz w:val="20"/>
              </w:rPr>
            </w:pPr>
            <w:r>
              <w:rPr>
                <w:sz w:val="20"/>
              </w:rPr>
            </w:r>
          </w:p>
        </w:tc>
        <w:tc>
          <w:tcPr>
            <w:tcW w:w="950" w:type="dxa"/>
            <w:tcBorders/>
            <w:vAlign w:val="center"/>
          </w:tcPr>
          <w:p>
            <w:pPr>
              <w:pStyle w:val="TableContents"/>
              <w:bidi w:val="0"/>
              <w:spacing w:before="0" w:after="0"/>
              <w:ind w:left="0" w:right="0" w:hanging="0"/>
              <w:jc w:val="right"/>
              <w:rPr>
                <w:sz w:val="20"/>
              </w:rPr>
            </w:pPr>
            <w:r>
              <w:rPr>
                <w:sz w:val="20"/>
              </w:rPr>
              <w:t>134.3</w:t>
            </w:r>
          </w:p>
        </w:tc>
        <w:tc>
          <w:tcPr>
            <w:tcW w:w="95" w:type="dxa"/>
            <w:tcBorders/>
            <w:vAlign w:val="center"/>
          </w:tcPr>
          <w:p>
            <w:pPr>
              <w:pStyle w:val="TableContents"/>
              <w:bidi w:val="0"/>
              <w:spacing w:before="0" w:after="0"/>
              <w:ind w:left="0" w:right="0" w:hanging="0"/>
              <w:jc w:val="right"/>
              <w:rPr>
                <w:sz w:val="20"/>
              </w:rPr>
            </w:pPr>
            <w:r>
              <w:rPr>
                <w:sz w:val="20"/>
              </w:rPr>
            </w:r>
          </w:p>
        </w:tc>
        <w:tc>
          <w:tcPr>
            <w:tcW w:w="23" w:type="dxa"/>
            <w:tcBorders/>
            <w:vAlign w:val="center"/>
          </w:tcPr>
          <w:p>
            <w:pPr>
              <w:pStyle w:val="TableContents"/>
              <w:bidi w:val="0"/>
              <w:spacing w:before="0" w:after="0"/>
              <w:ind w:left="0" w:right="0" w:hanging="0"/>
              <w:jc w:val="right"/>
              <w:rPr>
                <w:sz w:val="20"/>
              </w:rPr>
            </w:pPr>
            <w:r>
              <w:rPr>
                <w:sz w:val="20"/>
              </w:rPr>
            </w:r>
          </w:p>
        </w:tc>
        <w:tc>
          <w:tcPr>
            <w:tcW w:w="125" w:type="dxa"/>
            <w:tcBorders/>
            <w:vAlign w:val="center"/>
          </w:tcPr>
          <w:p>
            <w:pPr>
              <w:pStyle w:val="TableContents"/>
              <w:bidi w:val="0"/>
              <w:spacing w:before="0" w:after="0"/>
              <w:ind w:left="0" w:right="0" w:hanging="0"/>
              <w:jc w:val="right"/>
              <w:rPr>
                <w:sz w:val="20"/>
              </w:rPr>
            </w:pPr>
            <w:r>
              <w:rPr>
                <w:sz w:val="20"/>
              </w:rPr>
            </w:r>
          </w:p>
        </w:tc>
        <w:tc>
          <w:tcPr>
            <w:tcW w:w="950" w:type="dxa"/>
            <w:tcBorders/>
            <w:vAlign w:val="center"/>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122.6</w:t>
            </w:r>
          </w:p>
        </w:tc>
        <w:tc>
          <w:tcPr>
            <w:tcW w:w="95" w:type="dxa"/>
            <w:tcBorders/>
            <w:vAlign w:val="center"/>
          </w:tcPr>
          <w:p>
            <w:pPr>
              <w:pStyle w:val="TableContents"/>
              <w:bidi w:val="0"/>
              <w:spacing w:before="0" w:after="0"/>
              <w:ind w:left="0" w:right="0" w:hanging="0"/>
              <w:jc w:val="right"/>
              <w:rPr>
                <w:sz w:val="20"/>
              </w:rPr>
            </w:pPr>
            <w:r>
              <w:rPr>
                <w:sz w:val="20"/>
              </w:rPr>
            </w:r>
          </w:p>
        </w:tc>
        <w:tc>
          <w:tcPr>
            <w:tcW w:w="23" w:type="dxa"/>
            <w:tcBorders/>
            <w:vAlign w:val="center"/>
          </w:tcPr>
          <w:p>
            <w:pPr>
              <w:pStyle w:val="TableContents"/>
              <w:bidi w:val="0"/>
              <w:spacing w:before="0" w:after="0"/>
              <w:ind w:left="0" w:right="0" w:hanging="0"/>
              <w:jc w:val="right"/>
              <w:rPr>
                <w:sz w:val="20"/>
              </w:rPr>
            </w:pPr>
            <w:r>
              <w:rPr>
                <w:sz w:val="20"/>
              </w:rPr>
            </w:r>
          </w:p>
        </w:tc>
        <w:tc>
          <w:tcPr>
            <w:tcW w:w="125" w:type="dxa"/>
            <w:tcBorders/>
            <w:vAlign w:val="center"/>
          </w:tcPr>
          <w:p>
            <w:pPr>
              <w:pStyle w:val="TableContents"/>
              <w:bidi w:val="0"/>
              <w:spacing w:before="0" w:after="0"/>
              <w:ind w:left="0" w:right="0" w:hanging="0"/>
              <w:jc w:val="right"/>
              <w:rPr>
                <w:sz w:val="20"/>
              </w:rPr>
            </w:pPr>
            <w:r>
              <w:rPr>
                <w:sz w:val="20"/>
              </w:rPr>
            </w:r>
          </w:p>
        </w:tc>
        <w:tc>
          <w:tcPr>
            <w:tcW w:w="950" w:type="dxa"/>
            <w:tcBorders/>
            <w:vAlign w:val="center"/>
          </w:tcPr>
          <w:p>
            <w:pPr>
              <w:pStyle w:val="TableContents"/>
              <w:bidi w:val="0"/>
              <w:spacing w:before="0" w:after="0"/>
              <w:ind w:left="0" w:right="0" w:hanging="0"/>
              <w:jc w:val="right"/>
              <w:rPr>
                <w:sz w:val="20"/>
              </w:rPr>
            </w:pPr>
            <w:r>
              <w:rPr>
                <w:sz w:val="20"/>
              </w:rPr>
              <w:t>198.3</w:t>
            </w:r>
          </w:p>
        </w:tc>
        <w:tc>
          <w:tcPr>
            <w:tcW w:w="95" w:type="dxa"/>
            <w:tcBorders/>
            <w:vAlign w:val="center"/>
          </w:tcPr>
          <w:p>
            <w:pPr>
              <w:pStyle w:val="TableContents"/>
              <w:bidi w:val="0"/>
              <w:spacing w:before="0" w:after="0"/>
              <w:ind w:left="0" w:right="0" w:hanging="0"/>
              <w:jc w:val="right"/>
              <w:rPr>
                <w:sz w:val="20"/>
              </w:rPr>
            </w:pPr>
            <w:r>
              <w:rPr>
                <w:sz w:val="20"/>
              </w:rPr>
            </w:r>
          </w:p>
        </w:tc>
        <w:tc>
          <w:tcPr>
            <w:tcW w:w="23" w:type="dxa"/>
            <w:tcBorders/>
            <w:vAlign w:val="center"/>
          </w:tcPr>
          <w:p>
            <w:pPr>
              <w:pStyle w:val="TableContents"/>
              <w:bidi w:val="0"/>
              <w:spacing w:before="0" w:after="0"/>
              <w:ind w:left="0" w:right="0" w:hanging="0"/>
              <w:jc w:val="right"/>
              <w:rPr>
                <w:sz w:val="20"/>
              </w:rPr>
            </w:pPr>
            <w:r>
              <w:rPr>
                <w:sz w:val="20"/>
              </w:rPr>
            </w:r>
          </w:p>
        </w:tc>
        <w:tc>
          <w:tcPr>
            <w:tcW w:w="125" w:type="dxa"/>
            <w:tcBorders/>
            <w:vAlign w:val="center"/>
          </w:tcPr>
          <w:p>
            <w:pPr>
              <w:pStyle w:val="TableContents"/>
              <w:bidi w:val="0"/>
              <w:spacing w:before="0" w:after="0"/>
              <w:ind w:left="0" w:right="0" w:hanging="0"/>
              <w:jc w:val="right"/>
              <w:rPr>
                <w:sz w:val="20"/>
              </w:rPr>
            </w:pPr>
            <w:r>
              <w:rPr>
                <w:sz w:val="20"/>
              </w:rPr>
            </w:r>
          </w:p>
        </w:tc>
        <w:tc>
          <w:tcPr>
            <w:tcW w:w="950" w:type="dxa"/>
            <w:tcBorders/>
            <w:vAlign w:val="center"/>
          </w:tcPr>
          <w:p>
            <w:pPr>
              <w:pStyle w:val="TableContents"/>
              <w:bidi w:val="0"/>
              <w:spacing w:before="0" w:after="0"/>
              <w:ind w:left="0" w:right="0" w:hanging="0"/>
              <w:jc w:val="right"/>
              <w:rPr>
                <w:sz w:val="20"/>
              </w:rPr>
            </w:pPr>
            <w:r>
              <w:rPr>
                <w:sz w:val="20"/>
              </w:rPr>
              <w:t>168.2</w:t>
            </w:r>
          </w:p>
        </w:tc>
        <w:tc>
          <w:tcPr>
            <w:tcW w:w="110" w:type="dxa"/>
            <w:tcBorders/>
            <w:vAlign w:val="center"/>
          </w:tcPr>
          <w:p>
            <w:pPr>
              <w:pStyle w:val="TableContents"/>
              <w:bidi w:val="0"/>
              <w:spacing w:before="0" w:after="0"/>
              <w:ind w:left="0" w:right="0" w:hanging="0"/>
              <w:jc w:val="right"/>
              <w:rPr>
                <w:sz w:val="20"/>
              </w:rPr>
            </w:pPr>
            <w:r>
              <w:rPr>
                <w:sz w:val="20"/>
              </w:rPr>
            </w:r>
          </w:p>
        </w:tc>
      </w:tr>
      <w:tr>
        <w:trPr/>
        <w:tc>
          <w:tcPr>
            <w:tcW w:w="5441"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Other income (expense):</w:t>
            </w:r>
          </w:p>
        </w:tc>
        <w:tc>
          <w:tcPr>
            <w:tcW w:w="125" w:type="dxa"/>
            <w:tcBorders/>
            <w:shd w:fill="CCEEFF" w:val="clear"/>
            <w:vAlign w:val="center"/>
          </w:tcPr>
          <w:p>
            <w:pPr>
              <w:pStyle w:val="TableContents"/>
              <w:bidi w:val="0"/>
              <w:spacing w:before="0" w:after="0"/>
              <w:ind w:left="0" w:right="0" w:hanging="0"/>
              <w:jc w:val="left"/>
              <w:rPr>
                <w:sz w:val="20"/>
              </w:rPr>
            </w:pPr>
            <w:r>
              <w:rPr>
                <w:sz w:val="20"/>
              </w:rPr>
            </w:r>
          </w:p>
        </w:tc>
        <w:tc>
          <w:tcPr>
            <w:tcW w:w="950" w:type="dxa"/>
            <w:tcBorders/>
            <w:shd w:fill="CCEEFF" w:val="clear"/>
            <w:vAlign w:val="center"/>
          </w:tcPr>
          <w:p>
            <w:pPr>
              <w:pStyle w:val="TableContents"/>
              <w:bidi w:val="0"/>
              <w:spacing w:before="0" w:after="0"/>
              <w:ind w:left="0" w:right="0" w:hanging="0"/>
              <w:jc w:val="left"/>
              <w:rPr>
                <w:sz w:val="20"/>
              </w:rPr>
            </w:pPr>
            <w:r>
              <w:rPr>
                <w:sz w:val="20"/>
              </w:rPr>
            </w:r>
          </w:p>
        </w:tc>
        <w:tc>
          <w:tcPr>
            <w:tcW w:w="95" w:type="dxa"/>
            <w:tcBorders/>
            <w:shd w:fill="CCEEFF" w:val="clear"/>
            <w:vAlign w:val="center"/>
          </w:tcPr>
          <w:p>
            <w:pPr>
              <w:pStyle w:val="TableContents"/>
              <w:bidi w:val="0"/>
              <w:spacing w:before="0" w:after="0"/>
              <w:ind w:left="0" w:right="0" w:hanging="0"/>
              <w:jc w:val="left"/>
              <w:rPr>
                <w:sz w:val="20"/>
              </w:rPr>
            </w:pPr>
            <w:r>
              <w:rPr>
                <w:sz w:val="20"/>
              </w:rPr>
            </w:r>
          </w:p>
        </w:tc>
        <w:tc>
          <w:tcPr>
            <w:tcW w:w="23" w:type="dxa"/>
            <w:tcBorders/>
            <w:shd w:fill="CCEEFF" w:val="clear"/>
            <w:vAlign w:val="center"/>
          </w:tcPr>
          <w:p>
            <w:pPr>
              <w:pStyle w:val="TableContents"/>
              <w:bidi w:val="0"/>
              <w:spacing w:before="0" w:after="0"/>
              <w:ind w:left="0" w:right="0" w:hanging="0"/>
              <w:jc w:val="left"/>
              <w:rPr>
                <w:sz w:val="20"/>
              </w:rPr>
            </w:pPr>
            <w:r>
              <w:rPr>
                <w:sz w:val="20"/>
              </w:rPr>
            </w:r>
          </w:p>
        </w:tc>
        <w:tc>
          <w:tcPr>
            <w:tcW w:w="125" w:type="dxa"/>
            <w:tcBorders/>
            <w:shd w:fill="CCEEFF" w:val="clear"/>
            <w:vAlign w:val="center"/>
          </w:tcPr>
          <w:p>
            <w:pPr>
              <w:pStyle w:val="TableContents"/>
              <w:bidi w:val="0"/>
              <w:spacing w:before="0" w:after="0"/>
              <w:ind w:left="0" w:right="0" w:hanging="0"/>
              <w:jc w:val="left"/>
              <w:rPr>
                <w:sz w:val="20"/>
              </w:rPr>
            </w:pPr>
            <w:r>
              <w:rPr>
                <w:sz w:val="20"/>
              </w:rPr>
            </w:r>
          </w:p>
        </w:tc>
        <w:tc>
          <w:tcPr>
            <w:tcW w:w="950" w:type="dxa"/>
            <w:tcBorders/>
            <w:shd w:fill="CCEEFF" w:val="clear"/>
            <w:vAlign w:val="center"/>
          </w:tcPr>
          <w:p>
            <w:pPr>
              <w:pStyle w:val="TableContents"/>
              <w:bidi w:val="0"/>
              <w:spacing w:before="0" w:after="0"/>
              <w:ind w:left="0" w:right="0" w:hanging="0"/>
              <w:jc w:val="left"/>
              <w:rPr>
                <w:sz w:val="20"/>
              </w:rPr>
            </w:pPr>
            <w:r>
              <w:rPr>
                <w:sz w:val="20"/>
              </w:rPr>
            </w:r>
          </w:p>
        </w:tc>
        <w:tc>
          <w:tcPr>
            <w:tcW w:w="95" w:type="dxa"/>
            <w:tcBorders/>
            <w:shd w:fill="CCEEFF" w:val="clear"/>
            <w:vAlign w:val="center"/>
          </w:tcPr>
          <w:p>
            <w:pPr>
              <w:pStyle w:val="TableContents"/>
              <w:bidi w:val="0"/>
              <w:spacing w:before="0" w:after="0"/>
              <w:ind w:left="0" w:right="0" w:hanging="0"/>
              <w:jc w:val="left"/>
              <w:rPr>
                <w:sz w:val="20"/>
              </w:rPr>
            </w:pPr>
            <w:r>
              <w:rPr>
                <w:sz w:val="20"/>
              </w:rPr>
            </w:r>
          </w:p>
        </w:tc>
        <w:tc>
          <w:tcPr>
            <w:tcW w:w="23" w:type="dxa"/>
            <w:tcBorders/>
            <w:shd w:fill="CCEEFF" w:val="clear"/>
            <w:vAlign w:val="center"/>
          </w:tcPr>
          <w:p>
            <w:pPr>
              <w:pStyle w:val="TableContents"/>
              <w:bidi w:val="0"/>
              <w:spacing w:before="0" w:after="0"/>
              <w:ind w:left="0" w:right="0" w:hanging="0"/>
              <w:jc w:val="left"/>
              <w:rPr>
                <w:sz w:val="20"/>
              </w:rPr>
            </w:pPr>
            <w:r>
              <w:rPr>
                <w:sz w:val="20"/>
              </w:rPr>
            </w:r>
          </w:p>
        </w:tc>
        <w:tc>
          <w:tcPr>
            <w:tcW w:w="125" w:type="dxa"/>
            <w:tcBorders/>
            <w:shd w:fill="CCEEFF" w:val="clear"/>
            <w:vAlign w:val="center"/>
          </w:tcPr>
          <w:p>
            <w:pPr>
              <w:pStyle w:val="TableContents"/>
              <w:bidi w:val="0"/>
              <w:spacing w:before="0" w:after="0"/>
              <w:ind w:left="0" w:right="0" w:hanging="0"/>
              <w:jc w:val="left"/>
              <w:rPr>
                <w:sz w:val="20"/>
              </w:rPr>
            </w:pPr>
            <w:r>
              <w:rPr>
                <w:sz w:val="20"/>
              </w:rPr>
            </w:r>
          </w:p>
        </w:tc>
        <w:tc>
          <w:tcPr>
            <w:tcW w:w="950" w:type="dxa"/>
            <w:tcBorders/>
            <w:shd w:fill="CCEEFF" w:val="clear"/>
            <w:vAlign w:val="center"/>
          </w:tcPr>
          <w:p>
            <w:pPr>
              <w:pStyle w:val="TableContents"/>
              <w:bidi w:val="0"/>
              <w:spacing w:before="0" w:after="0"/>
              <w:ind w:left="0" w:right="0" w:hanging="0"/>
              <w:jc w:val="left"/>
              <w:rPr>
                <w:sz w:val="20"/>
              </w:rPr>
            </w:pPr>
            <w:r>
              <w:rPr>
                <w:sz w:val="20"/>
              </w:rPr>
            </w:r>
          </w:p>
        </w:tc>
        <w:tc>
          <w:tcPr>
            <w:tcW w:w="95" w:type="dxa"/>
            <w:tcBorders/>
            <w:shd w:fill="CCEEFF" w:val="clear"/>
            <w:vAlign w:val="center"/>
          </w:tcPr>
          <w:p>
            <w:pPr>
              <w:pStyle w:val="TableContents"/>
              <w:bidi w:val="0"/>
              <w:spacing w:before="0" w:after="0"/>
              <w:ind w:left="0" w:right="0" w:hanging="0"/>
              <w:jc w:val="left"/>
              <w:rPr>
                <w:sz w:val="20"/>
              </w:rPr>
            </w:pPr>
            <w:r>
              <w:rPr>
                <w:sz w:val="20"/>
              </w:rPr>
            </w:r>
          </w:p>
        </w:tc>
        <w:tc>
          <w:tcPr>
            <w:tcW w:w="23" w:type="dxa"/>
            <w:tcBorders/>
            <w:shd w:fill="CCEEFF" w:val="clear"/>
            <w:vAlign w:val="center"/>
          </w:tcPr>
          <w:p>
            <w:pPr>
              <w:pStyle w:val="TableContents"/>
              <w:bidi w:val="0"/>
              <w:spacing w:before="0" w:after="0"/>
              <w:ind w:left="0" w:right="0" w:hanging="0"/>
              <w:jc w:val="left"/>
              <w:rPr>
                <w:sz w:val="20"/>
              </w:rPr>
            </w:pPr>
            <w:r>
              <w:rPr>
                <w:sz w:val="20"/>
              </w:rPr>
            </w:r>
          </w:p>
        </w:tc>
        <w:tc>
          <w:tcPr>
            <w:tcW w:w="125" w:type="dxa"/>
            <w:tcBorders/>
            <w:shd w:fill="CCEEFF" w:val="clear"/>
            <w:vAlign w:val="center"/>
          </w:tcPr>
          <w:p>
            <w:pPr>
              <w:pStyle w:val="TableContents"/>
              <w:bidi w:val="0"/>
              <w:spacing w:before="0" w:after="0"/>
              <w:ind w:left="0" w:right="0" w:hanging="0"/>
              <w:jc w:val="left"/>
              <w:rPr>
                <w:sz w:val="20"/>
              </w:rPr>
            </w:pPr>
            <w:r>
              <w:rPr>
                <w:sz w:val="20"/>
              </w:rPr>
            </w:r>
          </w:p>
        </w:tc>
        <w:tc>
          <w:tcPr>
            <w:tcW w:w="950" w:type="dxa"/>
            <w:tcBorders/>
            <w:shd w:fill="CCEEFF" w:val="clear"/>
            <w:vAlign w:val="center"/>
          </w:tcPr>
          <w:p>
            <w:pPr>
              <w:pStyle w:val="TableContents"/>
              <w:bidi w:val="0"/>
              <w:spacing w:before="0" w:after="0"/>
              <w:ind w:left="0" w:right="0" w:hanging="0"/>
              <w:jc w:val="left"/>
              <w:rPr>
                <w:sz w:val="20"/>
              </w:rPr>
            </w:pPr>
            <w:r>
              <w:rPr>
                <w:sz w:val="20"/>
              </w:rPr>
            </w:r>
          </w:p>
        </w:tc>
        <w:tc>
          <w:tcPr>
            <w:tcW w:w="110" w:type="dxa"/>
            <w:tcBorders/>
            <w:shd w:fill="CCEEFF" w:val="clear"/>
            <w:vAlign w:val="center"/>
          </w:tcPr>
          <w:p>
            <w:pPr>
              <w:pStyle w:val="TableContents"/>
              <w:bidi w:val="0"/>
              <w:spacing w:before="0" w:after="0"/>
              <w:ind w:left="0" w:right="0" w:hanging="0"/>
              <w:jc w:val="left"/>
              <w:rPr>
                <w:sz w:val="20"/>
              </w:rPr>
            </w:pPr>
            <w:r>
              <w:rPr>
                <w:sz w:val="20"/>
              </w:rPr>
            </w:r>
          </w:p>
        </w:tc>
      </w:tr>
      <w:tr>
        <w:trPr/>
        <w:tc>
          <w:tcPr>
            <w:tcW w:w="5441"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Interest income</w:t>
            </w:r>
          </w:p>
        </w:tc>
        <w:tc>
          <w:tcPr>
            <w:tcW w:w="125" w:type="dxa"/>
            <w:tcBorders/>
            <w:vAlign w:val="center"/>
          </w:tcPr>
          <w:p>
            <w:pPr>
              <w:pStyle w:val="TableContents"/>
              <w:bidi w:val="0"/>
              <w:spacing w:before="0" w:after="0"/>
              <w:ind w:left="0" w:right="0" w:hanging="0"/>
              <w:jc w:val="right"/>
              <w:rPr>
                <w:sz w:val="20"/>
              </w:rPr>
            </w:pPr>
            <w:r>
              <w:rPr>
                <w:sz w:val="20"/>
              </w:rPr>
            </w:r>
          </w:p>
        </w:tc>
        <w:tc>
          <w:tcPr>
            <w:tcW w:w="950" w:type="dxa"/>
            <w:tcBorders/>
            <w:vAlign w:val="center"/>
          </w:tcPr>
          <w:p>
            <w:pPr>
              <w:pStyle w:val="TableContents"/>
              <w:bidi w:val="0"/>
              <w:spacing w:before="0" w:after="0"/>
              <w:ind w:left="0" w:right="0" w:hanging="0"/>
              <w:jc w:val="right"/>
              <w:rPr>
                <w:sz w:val="20"/>
              </w:rPr>
            </w:pPr>
            <w:r>
              <w:rPr>
                <w:sz w:val="20"/>
              </w:rPr>
              <w:t>5.9</w:t>
            </w:r>
          </w:p>
        </w:tc>
        <w:tc>
          <w:tcPr>
            <w:tcW w:w="95" w:type="dxa"/>
            <w:tcBorders/>
            <w:vAlign w:val="center"/>
          </w:tcPr>
          <w:p>
            <w:pPr>
              <w:pStyle w:val="TableContents"/>
              <w:bidi w:val="0"/>
              <w:spacing w:before="0" w:after="0"/>
              <w:ind w:left="0" w:right="0" w:hanging="0"/>
              <w:jc w:val="right"/>
              <w:rPr>
                <w:sz w:val="20"/>
              </w:rPr>
            </w:pPr>
            <w:r>
              <w:rPr>
                <w:sz w:val="20"/>
              </w:rPr>
            </w:r>
          </w:p>
        </w:tc>
        <w:tc>
          <w:tcPr>
            <w:tcW w:w="23" w:type="dxa"/>
            <w:tcBorders/>
            <w:vAlign w:val="center"/>
          </w:tcPr>
          <w:p>
            <w:pPr>
              <w:pStyle w:val="TableContents"/>
              <w:bidi w:val="0"/>
              <w:spacing w:before="0" w:after="0"/>
              <w:ind w:left="0" w:right="0" w:hanging="0"/>
              <w:jc w:val="right"/>
              <w:rPr>
                <w:sz w:val="20"/>
              </w:rPr>
            </w:pPr>
            <w:r>
              <w:rPr>
                <w:sz w:val="20"/>
              </w:rPr>
            </w:r>
          </w:p>
        </w:tc>
        <w:tc>
          <w:tcPr>
            <w:tcW w:w="125" w:type="dxa"/>
            <w:tcBorders/>
            <w:vAlign w:val="center"/>
          </w:tcPr>
          <w:p>
            <w:pPr>
              <w:pStyle w:val="TableContents"/>
              <w:bidi w:val="0"/>
              <w:spacing w:before="0" w:after="0"/>
              <w:ind w:left="0" w:right="0" w:hanging="0"/>
              <w:jc w:val="right"/>
              <w:rPr>
                <w:sz w:val="20"/>
              </w:rPr>
            </w:pPr>
            <w:r>
              <w:rPr>
                <w:sz w:val="20"/>
              </w:rPr>
            </w:r>
          </w:p>
        </w:tc>
        <w:tc>
          <w:tcPr>
            <w:tcW w:w="950" w:type="dxa"/>
            <w:tcBorders/>
            <w:vAlign w:val="center"/>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3.5</w:t>
            </w:r>
          </w:p>
        </w:tc>
        <w:tc>
          <w:tcPr>
            <w:tcW w:w="95" w:type="dxa"/>
            <w:tcBorders/>
            <w:vAlign w:val="center"/>
          </w:tcPr>
          <w:p>
            <w:pPr>
              <w:pStyle w:val="TableContents"/>
              <w:bidi w:val="0"/>
              <w:spacing w:before="0" w:after="0"/>
              <w:ind w:left="0" w:right="0" w:hanging="0"/>
              <w:jc w:val="right"/>
              <w:rPr>
                <w:sz w:val="20"/>
              </w:rPr>
            </w:pPr>
            <w:r>
              <w:rPr>
                <w:sz w:val="20"/>
              </w:rPr>
            </w:r>
          </w:p>
        </w:tc>
        <w:tc>
          <w:tcPr>
            <w:tcW w:w="23" w:type="dxa"/>
            <w:tcBorders/>
            <w:vAlign w:val="center"/>
          </w:tcPr>
          <w:p>
            <w:pPr>
              <w:pStyle w:val="TableContents"/>
              <w:bidi w:val="0"/>
              <w:spacing w:before="0" w:after="0"/>
              <w:ind w:left="0" w:right="0" w:hanging="0"/>
              <w:jc w:val="right"/>
              <w:rPr>
                <w:sz w:val="20"/>
              </w:rPr>
            </w:pPr>
            <w:r>
              <w:rPr>
                <w:sz w:val="20"/>
              </w:rPr>
            </w:r>
          </w:p>
        </w:tc>
        <w:tc>
          <w:tcPr>
            <w:tcW w:w="125" w:type="dxa"/>
            <w:tcBorders/>
            <w:vAlign w:val="center"/>
          </w:tcPr>
          <w:p>
            <w:pPr>
              <w:pStyle w:val="TableContents"/>
              <w:bidi w:val="0"/>
              <w:spacing w:before="0" w:after="0"/>
              <w:ind w:left="0" w:right="0" w:hanging="0"/>
              <w:jc w:val="right"/>
              <w:rPr>
                <w:sz w:val="20"/>
              </w:rPr>
            </w:pPr>
            <w:r>
              <w:rPr>
                <w:sz w:val="20"/>
              </w:rPr>
            </w:r>
          </w:p>
        </w:tc>
        <w:tc>
          <w:tcPr>
            <w:tcW w:w="950" w:type="dxa"/>
            <w:tcBorders/>
            <w:vAlign w:val="center"/>
          </w:tcPr>
          <w:p>
            <w:pPr>
              <w:pStyle w:val="TableContents"/>
              <w:bidi w:val="0"/>
              <w:spacing w:before="0" w:after="0"/>
              <w:ind w:left="0" w:right="0" w:hanging="0"/>
              <w:jc w:val="right"/>
              <w:rPr>
                <w:sz w:val="20"/>
              </w:rPr>
            </w:pPr>
            <w:r>
              <w:rPr>
                <w:sz w:val="20"/>
              </w:rPr>
              <w:t>11.6</w:t>
            </w:r>
          </w:p>
        </w:tc>
        <w:tc>
          <w:tcPr>
            <w:tcW w:w="95" w:type="dxa"/>
            <w:tcBorders/>
            <w:vAlign w:val="center"/>
          </w:tcPr>
          <w:p>
            <w:pPr>
              <w:pStyle w:val="TableContents"/>
              <w:bidi w:val="0"/>
              <w:spacing w:before="0" w:after="0"/>
              <w:ind w:left="0" w:right="0" w:hanging="0"/>
              <w:jc w:val="right"/>
              <w:rPr>
                <w:sz w:val="20"/>
              </w:rPr>
            </w:pPr>
            <w:r>
              <w:rPr>
                <w:sz w:val="20"/>
              </w:rPr>
            </w:r>
          </w:p>
        </w:tc>
        <w:tc>
          <w:tcPr>
            <w:tcW w:w="23" w:type="dxa"/>
            <w:tcBorders/>
            <w:vAlign w:val="center"/>
          </w:tcPr>
          <w:p>
            <w:pPr>
              <w:pStyle w:val="TableContents"/>
              <w:bidi w:val="0"/>
              <w:spacing w:before="0" w:after="0"/>
              <w:ind w:left="0" w:right="0" w:hanging="0"/>
              <w:jc w:val="right"/>
              <w:rPr>
                <w:sz w:val="20"/>
              </w:rPr>
            </w:pPr>
            <w:r>
              <w:rPr>
                <w:sz w:val="20"/>
              </w:rPr>
            </w:r>
          </w:p>
        </w:tc>
        <w:tc>
          <w:tcPr>
            <w:tcW w:w="125" w:type="dxa"/>
            <w:tcBorders/>
            <w:vAlign w:val="center"/>
          </w:tcPr>
          <w:p>
            <w:pPr>
              <w:pStyle w:val="TableContents"/>
              <w:bidi w:val="0"/>
              <w:spacing w:before="0" w:after="0"/>
              <w:ind w:left="0" w:right="0" w:hanging="0"/>
              <w:jc w:val="right"/>
              <w:rPr>
                <w:sz w:val="20"/>
              </w:rPr>
            </w:pPr>
            <w:r>
              <w:rPr>
                <w:sz w:val="20"/>
              </w:rPr>
            </w:r>
          </w:p>
        </w:tc>
        <w:tc>
          <w:tcPr>
            <w:tcW w:w="950" w:type="dxa"/>
            <w:tcBorders/>
            <w:vAlign w:val="center"/>
          </w:tcPr>
          <w:p>
            <w:pPr>
              <w:pStyle w:val="TableContents"/>
              <w:bidi w:val="0"/>
              <w:spacing w:before="0" w:after="0"/>
              <w:ind w:left="0" w:right="0" w:hanging="0"/>
              <w:jc w:val="right"/>
              <w:rPr>
                <w:sz w:val="20"/>
              </w:rPr>
            </w:pPr>
            <w:r>
              <w:rPr>
                <w:sz w:val="20"/>
              </w:rPr>
              <w:t>6.1</w:t>
            </w:r>
          </w:p>
        </w:tc>
        <w:tc>
          <w:tcPr>
            <w:tcW w:w="110" w:type="dxa"/>
            <w:tcBorders/>
            <w:vAlign w:val="center"/>
          </w:tcPr>
          <w:p>
            <w:pPr>
              <w:pStyle w:val="TableContents"/>
              <w:bidi w:val="0"/>
              <w:spacing w:before="0" w:after="0"/>
              <w:ind w:left="0" w:right="0" w:hanging="0"/>
              <w:jc w:val="right"/>
              <w:rPr>
                <w:sz w:val="20"/>
              </w:rPr>
            </w:pPr>
            <w:r>
              <w:rPr>
                <w:sz w:val="20"/>
              </w:rPr>
            </w:r>
          </w:p>
        </w:tc>
      </w:tr>
      <w:tr>
        <w:trPr/>
        <w:tc>
          <w:tcPr>
            <w:tcW w:w="5441"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Interest expense</w:t>
            </w:r>
          </w:p>
        </w:tc>
        <w:tc>
          <w:tcPr>
            <w:tcW w:w="125" w:type="dxa"/>
            <w:tcBorders/>
            <w:shd w:fill="CCEEFF" w:val="clear"/>
            <w:vAlign w:val="center"/>
          </w:tcPr>
          <w:p>
            <w:pPr>
              <w:pStyle w:val="TableContents"/>
              <w:bidi w:val="0"/>
              <w:spacing w:before="0" w:after="0"/>
              <w:ind w:left="0" w:right="0" w:hanging="0"/>
              <w:jc w:val="right"/>
              <w:rPr>
                <w:sz w:val="20"/>
              </w:rPr>
            </w:pPr>
            <w:r>
              <w:rPr>
                <w:sz w:val="20"/>
              </w:rPr>
            </w:r>
          </w:p>
        </w:tc>
        <w:tc>
          <w:tcPr>
            <w:tcW w:w="950" w:type="dxa"/>
            <w:tcBorders/>
            <w:shd w:fill="CCEEFF" w:val="clear"/>
            <w:vAlign w:val="center"/>
          </w:tcPr>
          <w:p>
            <w:pPr>
              <w:pStyle w:val="TableContents"/>
              <w:bidi w:val="0"/>
              <w:spacing w:before="0" w:after="0"/>
              <w:ind w:left="0" w:right="0" w:hanging="0"/>
              <w:jc w:val="right"/>
              <w:rPr>
                <w:sz w:val="20"/>
              </w:rPr>
            </w:pPr>
            <w:r>
              <w:rPr>
                <w:sz w:val="20"/>
              </w:rPr>
              <w:t>(20.1</w:t>
            </w:r>
          </w:p>
        </w:tc>
        <w:tc>
          <w:tcPr>
            <w:tcW w:w="9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right"/>
              <w:rPr>
                <w:sz w:val="20"/>
              </w:rPr>
            </w:pPr>
            <w:r>
              <w:rPr>
                <w:sz w:val="20"/>
              </w:rPr>
            </w:r>
          </w:p>
        </w:tc>
        <w:tc>
          <w:tcPr>
            <w:tcW w:w="125" w:type="dxa"/>
            <w:tcBorders/>
            <w:shd w:fill="CCEEFF" w:val="clear"/>
            <w:vAlign w:val="center"/>
          </w:tcPr>
          <w:p>
            <w:pPr>
              <w:pStyle w:val="TableContents"/>
              <w:bidi w:val="0"/>
              <w:spacing w:before="0" w:after="0"/>
              <w:ind w:left="0" w:right="0" w:hanging="0"/>
              <w:jc w:val="right"/>
              <w:rPr>
                <w:sz w:val="20"/>
              </w:rPr>
            </w:pPr>
            <w:r>
              <w:rPr>
                <w:sz w:val="20"/>
              </w:rPr>
            </w:r>
          </w:p>
        </w:tc>
        <w:tc>
          <w:tcPr>
            <w:tcW w:w="950" w:type="dxa"/>
            <w:tcBorders/>
            <w:shd w:fill="CCEEFF" w:val="clear"/>
            <w:vAlign w:val="center"/>
          </w:tcPr>
          <w:p>
            <w:pPr>
              <w:pStyle w:val="TableContents"/>
              <w:bidi w:val="0"/>
              <w:spacing w:before="0" w:after="0"/>
              <w:ind w:left="0" w:right="0" w:hanging="0"/>
              <w:jc w:val="right"/>
              <w:rPr>
                <w:sz w:val="20"/>
              </w:rPr>
            </w:pPr>
            <w:r>
              <w:rPr>
                <w:sz w:val="20"/>
              </w:rPr>
              <w:t>(14.0</w:t>
            </w:r>
          </w:p>
        </w:tc>
        <w:tc>
          <w:tcPr>
            <w:tcW w:w="9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283"/>
              <w:ind w:left="0" w:right="0" w:hanging="0"/>
              <w:jc w:val="left"/>
              <w:rPr/>
            </w:pPr>
            <w:r>
              <w:rPr/>
            </w:r>
          </w:p>
        </w:tc>
        <w:tc>
          <w:tcPr>
            <w:tcW w:w="125" w:type="dxa"/>
            <w:tcBorders/>
            <w:shd w:fill="CCEEFF" w:val="clear"/>
            <w:vAlign w:val="center"/>
          </w:tcPr>
          <w:p>
            <w:pPr>
              <w:pStyle w:val="TableContents"/>
              <w:bidi w:val="0"/>
              <w:spacing w:before="0" w:after="283"/>
              <w:ind w:left="0" w:right="0" w:hanging="0"/>
              <w:jc w:val="left"/>
              <w:rPr/>
            </w:pPr>
            <w:r>
              <w:rPr/>
            </w:r>
          </w:p>
        </w:tc>
        <w:tc>
          <w:tcPr>
            <w:tcW w:w="950" w:type="dxa"/>
            <w:tcBorders/>
            <w:shd w:fill="CCEEFF" w:val="clear"/>
            <w:vAlign w:val="center"/>
          </w:tcPr>
          <w:p>
            <w:pPr>
              <w:pStyle w:val="TableContents"/>
              <w:bidi w:val="0"/>
              <w:spacing w:before="0" w:after="0"/>
              <w:ind w:left="0" w:right="0" w:hanging="0"/>
              <w:jc w:val="right"/>
              <w:rPr/>
            </w:pPr>
            <w:r>
              <w:rPr/>
              <w:t>(35.0</w:t>
            </w:r>
          </w:p>
        </w:tc>
        <w:tc>
          <w:tcPr>
            <w:tcW w:w="9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283"/>
              <w:ind w:left="0" w:right="0" w:hanging="0"/>
              <w:jc w:val="left"/>
              <w:rPr/>
            </w:pPr>
            <w:r>
              <w:rPr/>
            </w:r>
          </w:p>
        </w:tc>
        <w:tc>
          <w:tcPr>
            <w:tcW w:w="125" w:type="dxa"/>
            <w:tcBorders/>
            <w:shd w:fill="CCEEFF" w:val="clear"/>
            <w:vAlign w:val="center"/>
          </w:tcPr>
          <w:p>
            <w:pPr>
              <w:pStyle w:val="TableContents"/>
              <w:bidi w:val="0"/>
              <w:spacing w:before="0" w:after="283"/>
              <w:ind w:left="0" w:right="0" w:hanging="0"/>
              <w:jc w:val="left"/>
              <w:rPr/>
            </w:pPr>
            <w:r>
              <w:rPr/>
            </w:r>
          </w:p>
        </w:tc>
        <w:tc>
          <w:tcPr>
            <w:tcW w:w="950" w:type="dxa"/>
            <w:tcBorders/>
            <w:shd w:fill="CCEEFF" w:val="clear"/>
            <w:vAlign w:val="center"/>
          </w:tcPr>
          <w:p>
            <w:pPr>
              <w:pStyle w:val="TableContents"/>
              <w:bidi w:val="0"/>
              <w:spacing w:before="0" w:after="0"/>
              <w:ind w:left="0" w:right="0" w:hanging="0"/>
              <w:jc w:val="right"/>
              <w:rPr/>
            </w:pPr>
            <w:r>
              <w:rPr/>
              <w:t>(24.1</w:t>
            </w:r>
          </w:p>
        </w:tc>
        <w:tc>
          <w:tcPr>
            <w:tcW w:w="110" w:type="dxa"/>
            <w:tcBorders/>
            <w:shd w:fill="CCEEFF" w:val="clear"/>
            <w:vAlign w:val="center"/>
          </w:tcPr>
          <w:p>
            <w:pPr>
              <w:pStyle w:val="TableContents"/>
              <w:bidi w:val="0"/>
              <w:spacing w:before="0" w:after="0"/>
              <w:jc w:val="left"/>
              <w:rPr/>
            </w:pPr>
            <w:r>
              <w:rPr/>
              <w:t>)</w:t>
            </w:r>
          </w:p>
        </w:tc>
      </w:tr>
      <w:tr>
        <w:trPr/>
        <w:tc>
          <w:tcPr>
            <w:tcW w:w="5441"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Foreign currency exchange gain (loss), net</w:t>
            </w:r>
          </w:p>
        </w:tc>
        <w:tc>
          <w:tcPr>
            <w:tcW w:w="125" w:type="dxa"/>
            <w:tcBorders/>
            <w:vAlign w:val="center"/>
          </w:tcPr>
          <w:p>
            <w:pPr>
              <w:pStyle w:val="TableContents"/>
              <w:bidi w:val="0"/>
              <w:spacing w:before="0" w:after="0"/>
              <w:ind w:left="0" w:right="0" w:hanging="0"/>
              <w:jc w:val="right"/>
              <w:rPr>
                <w:sz w:val="20"/>
              </w:rPr>
            </w:pPr>
            <w:r>
              <w:rPr>
                <w:sz w:val="20"/>
              </w:rPr>
            </w:r>
          </w:p>
        </w:tc>
        <w:tc>
          <w:tcPr>
            <w:tcW w:w="950" w:type="dxa"/>
            <w:tcBorders/>
            <w:vAlign w:val="center"/>
          </w:tcPr>
          <w:p>
            <w:pPr>
              <w:pStyle w:val="TableContents"/>
              <w:bidi w:val="0"/>
              <w:spacing w:before="0" w:after="0"/>
              <w:ind w:left="0" w:right="0" w:hanging="0"/>
              <w:jc w:val="right"/>
              <w:rPr>
                <w:sz w:val="20"/>
              </w:rPr>
            </w:pPr>
            <w:r>
              <w:rPr>
                <w:sz w:val="20"/>
              </w:rPr>
              <w:t>1.5</w:t>
            </w:r>
          </w:p>
        </w:tc>
        <w:tc>
          <w:tcPr>
            <w:tcW w:w="95"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0"/>
              <w:ind w:left="0" w:right="0" w:hanging="0"/>
              <w:jc w:val="right"/>
              <w:rPr>
                <w:sz w:val="20"/>
              </w:rPr>
            </w:pPr>
            <w:r>
              <w:rPr>
                <w:sz w:val="20"/>
              </w:rPr>
            </w:r>
          </w:p>
        </w:tc>
        <w:tc>
          <w:tcPr>
            <w:tcW w:w="125" w:type="dxa"/>
            <w:tcBorders/>
            <w:vAlign w:val="center"/>
          </w:tcPr>
          <w:p>
            <w:pPr>
              <w:pStyle w:val="TableContents"/>
              <w:bidi w:val="0"/>
              <w:spacing w:before="0" w:after="0"/>
              <w:ind w:left="0" w:right="0" w:hanging="0"/>
              <w:jc w:val="right"/>
              <w:rPr>
                <w:sz w:val="20"/>
              </w:rPr>
            </w:pPr>
            <w:r>
              <w:rPr>
                <w:sz w:val="20"/>
              </w:rPr>
            </w:r>
          </w:p>
        </w:tc>
        <w:tc>
          <w:tcPr>
            <w:tcW w:w="950" w:type="dxa"/>
            <w:tcBorders/>
            <w:vAlign w:val="center"/>
          </w:tcPr>
          <w:p>
            <w:pPr>
              <w:pStyle w:val="TableContents"/>
              <w:bidi w:val="0"/>
              <w:spacing w:before="0" w:after="0"/>
              <w:ind w:left="0" w:right="0" w:hanging="0"/>
              <w:jc w:val="right"/>
              <w:rPr>
                <w:sz w:val="20"/>
              </w:rPr>
            </w:pPr>
            <w:r>
              <w:rPr>
                <w:sz w:val="20"/>
              </w:rPr>
              <w:t>6.3</w:t>
            </w:r>
          </w:p>
        </w:tc>
        <w:tc>
          <w:tcPr>
            <w:tcW w:w="95"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ind w:left="0" w:right="0" w:hanging="0"/>
              <w:jc w:val="left"/>
              <w:rPr/>
            </w:pPr>
            <w:r>
              <w:rPr/>
            </w:r>
          </w:p>
        </w:tc>
        <w:tc>
          <w:tcPr>
            <w:tcW w:w="125" w:type="dxa"/>
            <w:tcBorders/>
            <w:vAlign w:val="center"/>
          </w:tcPr>
          <w:p>
            <w:pPr>
              <w:pStyle w:val="TableContents"/>
              <w:bidi w:val="0"/>
              <w:spacing w:before="0" w:after="283"/>
              <w:ind w:left="0" w:right="0" w:hanging="0"/>
              <w:jc w:val="left"/>
              <w:rPr/>
            </w:pPr>
            <w:r>
              <w:rPr/>
            </w:r>
          </w:p>
        </w:tc>
        <w:tc>
          <w:tcPr>
            <w:tcW w:w="950" w:type="dxa"/>
            <w:tcBorders/>
            <w:vAlign w:val="center"/>
          </w:tcPr>
          <w:p>
            <w:pPr>
              <w:pStyle w:val="TableContents"/>
              <w:bidi w:val="0"/>
              <w:spacing w:before="0" w:after="0"/>
              <w:ind w:left="0" w:right="0" w:hanging="0"/>
              <w:jc w:val="right"/>
              <w:rPr/>
            </w:pPr>
            <w:r>
              <w:rPr/>
              <w:t>(11.0</w:t>
            </w:r>
          </w:p>
        </w:tc>
        <w:tc>
          <w:tcPr>
            <w:tcW w:w="9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283"/>
              <w:ind w:left="0" w:right="0" w:hanging="0"/>
              <w:jc w:val="left"/>
              <w:rPr/>
            </w:pPr>
            <w:r>
              <w:rPr/>
            </w:r>
          </w:p>
        </w:tc>
        <w:tc>
          <w:tcPr>
            <w:tcW w:w="125" w:type="dxa"/>
            <w:tcBorders/>
            <w:vAlign w:val="center"/>
          </w:tcPr>
          <w:p>
            <w:pPr>
              <w:pStyle w:val="TableContents"/>
              <w:bidi w:val="0"/>
              <w:spacing w:before="0" w:after="283"/>
              <w:ind w:left="0" w:right="0" w:hanging="0"/>
              <w:jc w:val="left"/>
              <w:rPr/>
            </w:pPr>
            <w:r>
              <w:rPr/>
            </w:r>
          </w:p>
        </w:tc>
        <w:tc>
          <w:tcPr>
            <w:tcW w:w="950" w:type="dxa"/>
            <w:tcBorders/>
            <w:vAlign w:val="center"/>
          </w:tcPr>
          <w:p>
            <w:pPr>
              <w:pStyle w:val="TableContents"/>
              <w:bidi w:val="0"/>
              <w:spacing w:before="0" w:after="0"/>
              <w:ind w:left="0" w:right="0" w:hanging="0"/>
              <w:jc w:val="right"/>
              <w:rPr/>
            </w:pPr>
            <w:r>
              <w:rPr/>
              <w:t>5.2</w:t>
            </w:r>
          </w:p>
        </w:tc>
        <w:tc>
          <w:tcPr>
            <w:tcW w:w="110" w:type="dxa"/>
            <w:tcBorders/>
            <w:vAlign w:val="center"/>
          </w:tcPr>
          <w:p>
            <w:pPr>
              <w:pStyle w:val="TableContents"/>
              <w:bidi w:val="0"/>
              <w:spacing w:before="0" w:after="283"/>
              <w:jc w:val="left"/>
              <w:rPr/>
            </w:pPr>
            <w:r>
              <w:rPr/>
            </w:r>
          </w:p>
        </w:tc>
      </w:tr>
      <w:tr>
        <w:trPr/>
        <w:tc>
          <w:tcPr>
            <w:tcW w:w="5441"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Other (losses) gains, net</w:t>
            </w:r>
          </w:p>
        </w:tc>
        <w:tc>
          <w:tcPr>
            <w:tcW w:w="125" w:type="dxa"/>
            <w:tcBorders/>
            <w:shd w:fill="CCEEFF" w:val="clear"/>
            <w:vAlign w:val="center"/>
          </w:tcPr>
          <w:p>
            <w:pPr>
              <w:pStyle w:val="TableContents"/>
              <w:bidi w:val="0"/>
              <w:spacing w:before="0" w:after="0"/>
              <w:ind w:left="0" w:right="0" w:hanging="0"/>
              <w:jc w:val="right"/>
              <w:rPr>
                <w:sz w:val="20"/>
              </w:rPr>
            </w:pPr>
            <w:r>
              <w:rPr>
                <w:sz w:val="20"/>
              </w:rPr>
            </w:r>
          </w:p>
        </w:tc>
        <w:tc>
          <w:tcPr>
            <w:tcW w:w="950" w:type="dxa"/>
            <w:tcBorders/>
            <w:shd w:fill="CCEEFF" w:val="clear"/>
            <w:vAlign w:val="center"/>
          </w:tcPr>
          <w:p>
            <w:pPr>
              <w:pStyle w:val="TableContents"/>
              <w:bidi w:val="0"/>
              <w:spacing w:before="0" w:after="0"/>
              <w:ind w:left="0" w:right="0" w:hanging="0"/>
              <w:jc w:val="right"/>
              <w:rPr>
                <w:sz w:val="20"/>
              </w:rPr>
            </w:pPr>
            <w:r>
              <w:rPr>
                <w:sz w:val="20"/>
              </w:rPr>
              <w:t>0.8</w:t>
            </w:r>
          </w:p>
        </w:tc>
        <w:tc>
          <w:tcPr>
            <w:tcW w:w="95"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23" w:type="dxa"/>
            <w:tcBorders/>
            <w:shd w:fill="CCEEFF" w:val="clear"/>
            <w:vAlign w:val="center"/>
          </w:tcPr>
          <w:p>
            <w:pPr>
              <w:pStyle w:val="TableContents"/>
              <w:bidi w:val="0"/>
              <w:spacing w:before="0" w:after="0"/>
              <w:ind w:left="0" w:right="0" w:hanging="0"/>
              <w:jc w:val="right"/>
              <w:rPr>
                <w:sz w:val="20"/>
              </w:rPr>
            </w:pPr>
            <w:r>
              <w:rPr>
                <w:sz w:val="20"/>
              </w:rPr>
            </w:r>
          </w:p>
        </w:tc>
        <w:tc>
          <w:tcPr>
            <w:tcW w:w="125" w:type="dxa"/>
            <w:tcBorders/>
            <w:shd w:fill="CCEEFF" w:val="clear"/>
            <w:vAlign w:val="center"/>
          </w:tcPr>
          <w:p>
            <w:pPr>
              <w:pStyle w:val="TableContents"/>
              <w:bidi w:val="0"/>
              <w:spacing w:before="0" w:after="0"/>
              <w:ind w:left="0" w:right="0" w:hanging="0"/>
              <w:jc w:val="right"/>
              <w:rPr>
                <w:sz w:val="20"/>
              </w:rPr>
            </w:pPr>
            <w:r>
              <w:rPr>
                <w:sz w:val="20"/>
              </w:rPr>
            </w:r>
          </w:p>
        </w:tc>
        <w:tc>
          <w:tcPr>
            <w:tcW w:w="950" w:type="dxa"/>
            <w:tcBorders/>
            <w:shd w:fill="CCEEFF" w:val="clear"/>
            <w:vAlign w:val="center"/>
          </w:tcPr>
          <w:p>
            <w:pPr>
              <w:pStyle w:val="TableContents"/>
              <w:bidi w:val="0"/>
              <w:spacing w:before="0" w:after="0"/>
              <w:ind w:left="0" w:right="0" w:hanging="0"/>
              <w:jc w:val="right"/>
              <w:rPr>
                <w:sz w:val="20"/>
              </w:rPr>
            </w:pPr>
            <w:r>
              <w:rPr>
                <w:sz w:val="20"/>
              </w:rPr>
              <w:t>(0.1</w:t>
            </w:r>
          </w:p>
        </w:tc>
        <w:tc>
          <w:tcPr>
            <w:tcW w:w="9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right"/>
              <w:rPr>
                <w:sz w:val="20"/>
              </w:rPr>
            </w:pPr>
            <w:r>
              <w:rPr>
                <w:sz w:val="20"/>
              </w:rPr>
            </w:r>
          </w:p>
        </w:tc>
        <w:tc>
          <w:tcPr>
            <w:tcW w:w="125" w:type="dxa"/>
            <w:tcBorders/>
            <w:shd w:fill="CCEEFF" w:val="clear"/>
            <w:vAlign w:val="center"/>
          </w:tcPr>
          <w:p>
            <w:pPr>
              <w:pStyle w:val="TableContents"/>
              <w:bidi w:val="0"/>
              <w:spacing w:before="0" w:after="0"/>
              <w:ind w:left="0" w:right="0" w:hanging="0"/>
              <w:jc w:val="right"/>
              <w:rPr>
                <w:sz w:val="20"/>
              </w:rPr>
            </w:pPr>
            <w:r>
              <w:rPr>
                <w:sz w:val="20"/>
              </w:rPr>
            </w:r>
          </w:p>
        </w:tc>
        <w:tc>
          <w:tcPr>
            <w:tcW w:w="950" w:type="dxa"/>
            <w:tcBorders/>
            <w:shd w:fill="CCEEFF" w:val="clear"/>
            <w:vAlign w:val="center"/>
          </w:tcPr>
          <w:p>
            <w:pPr>
              <w:pStyle w:val="TableContents"/>
              <w:bidi w:val="0"/>
              <w:spacing w:before="0" w:after="0"/>
              <w:ind w:left="0" w:right="0" w:hanging="0"/>
              <w:jc w:val="right"/>
              <w:rPr>
                <w:sz w:val="20"/>
              </w:rPr>
            </w:pPr>
            <w:r>
              <w:rPr>
                <w:sz w:val="20"/>
              </w:rPr>
              <w:t>0.7</w:t>
            </w:r>
          </w:p>
        </w:tc>
        <w:tc>
          <w:tcPr>
            <w:tcW w:w="95" w:type="dxa"/>
            <w:tcBorders/>
            <w:shd w:fill="CCEEFF" w:val="clear"/>
            <w:vAlign w:val="center"/>
          </w:tcPr>
          <w:p>
            <w:pPr>
              <w:pStyle w:val="TableContents"/>
              <w:bidi w:val="0"/>
              <w:spacing w:before="0" w:after="0"/>
              <w:ind w:left="0" w:right="0" w:hanging="0"/>
              <w:jc w:val="right"/>
              <w:rPr>
                <w:sz w:val="20"/>
              </w:rPr>
            </w:pPr>
            <w:r>
              <w:rPr>
                <w:sz w:val="20"/>
              </w:rPr>
            </w:r>
          </w:p>
        </w:tc>
        <w:tc>
          <w:tcPr>
            <w:tcW w:w="23" w:type="dxa"/>
            <w:tcBorders/>
            <w:shd w:fill="CCEEFF" w:val="clear"/>
            <w:vAlign w:val="center"/>
          </w:tcPr>
          <w:p>
            <w:pPr>
              <w:pStyle w:val="TableContents"/>
              <w:bidi w:val="0"/>
              <w:spacing w:before="0" w:after="0"/>
              <w:ind w:left="0" w:right="0" w:hanging="0"/>
              <w:jc w:val="right"/>
              <w:rPr>
                <w:sz w:val="20"/>
              </w:rPr>
            </w:pPr>
            <w:r>
              <w:rPr>
                <w:sz w:val="20"/>
              </w:rPr>
            </w:r>
          </w:p>
        </w:tc>
        <w:tc>
          <w:tcPr>
            <w:tcW w:w="125" w:type="dxa"/>
            <w:tcBorders/>
            <w:shd w:fill="CCEEFF" w:val="clear"/>
            <w:vAlign w:val="center"/>
          </w:tcPr>
          <w:p>
            <w:pPr>
              <w:pStyle w:val="TableContents"/>
              <w:bidi w:val="0"/>
              <w:spacing w:before="0" w:after="0"/>
              <w:ind w:left="0" w:right="0" w:hanging="0"/>
              <w:jc w:val="right"/>
              <w:rPr>
                <w:sz w:val="20"/>
              </w:rPr>
            </w:pPr>
            <w:r>
              <w:rPr>
                <w:sz w:val="20"/>
              </w:rPr>
            </w:r>
          </w:p>
        </w:tc>
        <w:tc>
          <w:tcPr>
            <w:tcW w:w="950" w:type="dxa"/>
            <w:tcBorders/>
            <w:shd w:fill="CCEEFF" w:val="clear"/>
            <w:vAlign w:val="center"/>
          </w:tcPr>
          <w:p>
            <w:pPr>
              <w:pStyle w:val="TableContents"/>
              <w:bidi w:val="0"/>
              <w:spacing w:before="0" w:after="0"/>
              <w:ind w:left="0" w:right="0" w:hanging="0"/>
              <w:jc w:val="right"/>
              <w:rPr>
                <w:sz w:val="20"/>
              </w:rPr>
            </w:pPr>
            <w:r>
              <w:rPr>
                <w:sz w:val="20"/>
              </w:rPr>
              <w:t>(0.1</w:t>
            </w:r>
          </w:p>
        </w:tc>
        <w:tc>
          <w:tcPr>
            <w:tcW w:w="110" w:type="dxa"/>
            <w:tcBorders/>
            <w:shd w:fill="CCEEFF" w:val="clear"/>
            <w:vAlign w:val="center"/>
          </w:tcPr>
          <w:p>
            <w:pPr>
              <w:pStyle w:val="TableContents"/>
              <w:bidi w:val="0"/>
              <w:spacing w:before="0" w:after="0"/>
              <w:jc w:val="left"/>
              <w:rPr/>
            </w:pPr>
            <w:r>
              <w:rPr/>
              <w:t>)</w:t>
            </w:r>
          </w:p>
        </w:tc>
      </w:tr>
      <w:tr>
        <w:trPr/>
        <w:tc>
          <w:tcPr>
            <w:tcW w:w="5441"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Other expense, net</w:t>
            </w:r>
          </w:p>
        </w:tc>
        <w:tc>
          <w:tcPr>
            <w:tcW w:w="125" w:type="dxa"/>
            <w:tcBorders/>
            <w:vAlign w:val="center"/>
          </w:tcPr>
          <w:p>
            <w:pPr>
              <w:pStyle w:val="TableContents"/>
              <w:bidi w:val="0"/>
              <w:spacing w:before="0" w:after="0"/>
              <w:ind w:left="0" w:right="0" w:hanging="0"/>
              <w:jc w:val="right"/>
              <w:rPr>
                <w:sz w:val="20"/>
              </w:rPr>
            </w:pPr>
            <w:r>
              <w:rPr>
                <w:sz w:val="20"/>
              </w:rPr>
            </w:r>
          </w:p>
        </w:tc>
        <w:tc>
          <w:tcPr>
            <w:tcW w:w="950" w:type="dxa"/>
            <w:tcBorders/>
            <w:vAlign w:val="center"/>
          </w:tcPr>
          <w:p>
            <w:pPr>
              <w:pStyle w:val="TableContents"/>
              <w:bidi w:val="0"/>
              <w:spacing w:before="0" w:after="0"/>
              <w:ind w:left="0" w:right="0" w:hanging="0"/>
              <w:jc w:val="right"/>
              <w:rPr>
                <w:sz w:val="20"/>
              </w:rPr>
            </w:pPr>
            <w:r>
              <w:rPr>
                <w:sz w:val="20"/>
              </w:rPr>
              <w:t>(11.9</w:t>
            </w:r>
          </w:p>
        </w:tc>
        <w:tc>
          <w:tcPr>
            <w:tcW w:w="9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right"/>
              <w:rPr>
                <w:sz w:val="20"/>
              </w:rPr>
            </w:pPr>
            <w:r>
              <w:rPr>
                <w:sz w:val="20"/>
              </w:rPr>
            </w:r>
          </w:p>
        </w:tc>
        <w:tc>
          <w:tcPr>
            <w:tcW w:w="125" w:type="dxa"/>
            <w:tcBorders/>
            <w:vAlign w:val="center"/>
          </w:tcPr>
          <w:p>
            <w:pPr>
              <w:pStyle w:val="TableContents"/>
              <w:bidi w:val="0"/>
              <w:spacing w:before="0" w:after="0"/>
              <w:ind w:left="0" w:right="0" w:hanging="0"/>
              <w:jc w:val="right"/>
              <w:rPr>
                <w:sz w:val="20"/>
              </w:rPr>
            </w:pPr>
            <w:r>
              <w:rPr>
                <w:sz w:val="20"/>
              </w:rPr>
            </w:r>
          </w:p>
        </w:tc>
        <w:tc>
          <w:tcPr>
            <w:tcW w:w="950" w:type="dxa"/>
            <w:tcBorders/>
            <w:vAlign w:val="center"/>
          </w:tcPr>
          <w:p>
            <w:pPr>
              <w:pStyle w:val="TableContents"/>
              <w:bidi w:val="0"/>
              <w:spacing w:before="0" w:after="0"/>
              <w:ind w:left="0" w:right="0" w:hanging="0"/>
              <w:jc w:val="right"/>
              <w:rPr>
                <w:sz w:val="20"/>
              </w:rPr>
            </w:pPr>
            <w:r>
              <w:rPr>
                <w:sz w:val="20"/>
              </w:rPr>
              <w:t>(4.3</w:t>
            </w:r>
          </w:p>
        </w:tc>
        <w:tc>
          <w:tcPr>
            <w:tcW w:w="9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283"/>
              <w:ind w:left="0" w:right="0" w:hanging="0"/>
              <w:jc w:val="left"/>
              <w:rPr/>
            </w:pPr>
            <w:r>
              <w:rPr/>
            </w:r>
          </w:p>
        </w:tc>
        <w:tc>
          <w:tcPr>
            <w:tcW w:w="125" w:type="dxa"/>
            <w:tcBorders/>
            <w:vAlign w:val="center"/>
          </w:tcPr>
          <w:p>
            <w:pPr>
              <w:pStyle w:val="TableContents"/>
              <w:bidi w:val="0"/>
              <w:spacing w:before="0" w:after="283"/>
              <w:ind w:left="0" w:right="0" w:hanging="0"/>
              <w:jc w:val="left"/>
              <w:rPr/>
            </w:pPr>
            <w:r>
              <w:rPr/>
            </w:r>
          </w:p>
        </w:tc>
        <w:tc>
          <w:tcPr>
            <w:tcW w:w="950" w:type="dxa"/>
            <w:tcBorders/>
            <w:vAlign w:val="center"/>
          </w:tcPr>
          <w:p>
            <w:pPr>
              <w:pStyle w:val="TableContents"/>
              <w:bidi w:val="0"/>
              <w:spacing w:before="0" w:after="0"/>
              <w:ind w:left="0" w:right="0" w:hanging="0"/>
              <w:jc w:val="right"/>
              <w:rPr/>
            </w:pPr>
            <w:r>
              <w:rPr/>
              <w:t>(33.7</w:t>
            </w:r>
          </w:p>
        </w:tc>
        <w:tc>
          <w:tcPr>
            <w:tcW w:w="9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283"/>
              <w:ind w:left="0" w:right="0" w:hanging="0"/>
              <w:jc w:val="left"/>
              <w:rPr/>
            </w:pPr>
            <w:r>
              <w:rPr/>
            </w:r>
          </w:p>
        </w:tc>
        <w:tc>
          <w:tcPr>
            <w:tcW w:w="125" w:type="dxa"/>
            <w:tcBorders/>
            <w:vAlign w:val="center"/>
          </w:tcPr>
          <w:p>
            <w:pPr>
              <w:pStyle w:val="TableContents"/>
              <w:bidi w:val="0"/>
              <w:spacing w:before="0" w:after="283"/>
              <w:ind w:left="0" w:right="0" w:hanging="0"/>
              <w:jc w:val="left"/>
              <w:rPr/>
            </w:pPr>
            <w:r>
              <w:rPr/>
            </w:r>
          </w:p>
        </w:tc>
        <w:tc>
          <w:tcPr>
            <w:tcW w:w="950" w:type="dxa"/>
            <w:tcBorders/>
            <w:vAlign w:val="center"/>
          </w:tcPr>
          <w:p>
            <w:pPr>
              <w:pStyle w:val="TableContents"/>
              <w:bidi w:val="0"/>
              <w:spacing w:before="0" w:after="0"/>
              <w:ind w:left="0" w:right="0" w:hanging="0"/>
              <w:jc w:val="right"/>
              <w:rPr/>
            </w:pPr>
            <w:r>
              <w:rPr/>
              <w:t>(12.9</w:t>
            </w:r>
          </w:p>
        </w:tc>
        <w:tc>
          <w:tcPr>
            <w:tcW w:w="110" w:type="dxa"/>
            <w:tcBorders/>
            <w:vAlign w:val="center"/>
          </w:tcPr>
          <w:p>
            <w:pPr>
              <w:pStyle w:val="TableContents"/>
              <w:bidi w:val="0"/>
              <w:spacing w:before="0" w:after="0"/>
              <w:jc w:val="left"/>
              <w:rPr/>
            </w:pPr>
            <w:r>
              <w:rPr/>
              <w:t>)</w:t>
            </w:r>
          </w:p>
        </w:tc>
      </w:tr>
      <w:tr>
        <w:trPr/>
        <w:tc>
          <w:tcPr>
            <w:tcW w:w="5441"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Income before income taxes</w:t>
            </w:r>
          </w:p>
        </w:tc>
        <w:tc>
          <w:tcPr>
            <w:tcW w:w="125" w:type="dxa"/>
            <w:tcBorders/>
            <w:shd w:fill="CCEEFF" w:val="clear"/>
            <w:vAlign w:val="center"/>
          </w:tcPr>
          <w:p>
            <w:pPr>
              <w:pStyle w:val="TableContents"/>
              <w:bidi w:val="0"/>
              <w:spacing w:before="0" w:after="0"/>
              <w:ind w:left="0" w:right="0" w:hanging="0"/>
              <w:jc w:val="right"/>
              <w:rPr>
                <w:sz w:val="20"/>
              </w:rPr>
            </w:pPr>
            <w:r>
              <w:rPr>
                <w:sz w:val="20"/>
              </w:rPr>
            </w:r>
          </w:p>
        </w:tc>
        <w:tc>
          <w:tcPr>
            <w:tcW w:w="950" w:type="dxa"/>
            <w:tcBorders/>
            <w:shd w:fill="CCEEFF" w:val="clear"/>
            <w:vAlign w:val="center"/>
          </w:tcPr>
          <w:p>
            <w:pPr>
              <w:pStyle w:val="TableContents"/>
              <w:bidi w:val="0"/>
              <w:spacing w:before="0" w:after="0"/>
              <w:ind w:left="0" w:right="0" w:hanging="0"/>
              <w:jc w:val="right"/>
              <w:rPr>
                <w:sz w:val="20"/>
              </w:rPr>
            </w:pPr>
            <w:r>
              <w:rPr>
                <w:sz w:val="20"/>
              </w:rPr>
              <w:t>122.4</w:t>
            </w:r>
          </w:p>
        </w:tc>
        <w:tc>
          <w:tcPr>
            <w:tcW w:w="95" w:type="dxa"/>
            <w:tcBorders/>
            <w:shd w:fill="CCEEFF" w:val="clear"/>
            <w:vAlign w:val="center"/>
          </w:tcPr>
          <w:p>
            <w:pPr>
              <w:pStyle w:val="TableContents"/>
              <w:bidi w:val="0"/>
              <w:spacing w:before="0" w:after="0"/>
              <w:ind w:left="0" w:right="0" w:hanging="0"/>
              <w:jc w:val="right"/>
              <w:rPr>
                <w:sz w:val="20"/>
              </w:rPr>
            </w:pPr>
            <w:r>
              <w:rPr>
                <w:sz w:val="20"/>
              </w:rPr>
            </w:r>
          </w:p>
        </w:tc>
        <w:tc>
          <w:tcPr>
            <w:tcW w:w="23" w:type="dxa"/>
            <w:tcBorders/>
            <w:shd w:fill="CCEEFF" w:val="clear"/>
            <w:vAlign w:val="center"/>
          </w:tcPr>
          <w:p>
            <w:pPr>
              <w:pStyle w:val="TableContents"/>
              <w:bidi w:val="0"/>
              <w:spacing w:before="0" w:after="0"/>
              <w:ind w:left="0" w:right="0" w:hanging="0"/>
              <w:jc w:val="right"/>
              <w:rPr>
                <w:sz w:val="20"/>
              </w:rPr>
            </w:pPr>
            <w:r>
              <w:rPr>
                <w:sz w:val="20"/>
              </w:rPr>
            </w:r>
          </w:p>
        </w:tc>
        <w:tc>
          <w:tcPr>
            <w:tcW w:w="125" w:type="dxa"/>
            <w:tcBorders/>
            <w:shd w:fill="CCEEFF" w:val="clear"/>
            <w:vAlign w:val="center"/>
          </w:tcPr>
          <w:p>
            <w:pPr>
              <w:pStyle w:val="TableContents"/>
              <w:bidi w:val="0"/>
              <w:spacing w:before="0" w:after="0"/>
              <w:ind w:left="0" w:right="0" w:hanging="0"/>
              <w:jc w:val="right"/>
              <w:rPr>
                <w:sz w:val="20"/>
              </w:rPr>
            </w:pPr>
            <w:r>
              <w:rPr>
                <w:sz w:val="20"/>
              </w:rPr>
            </w:r>
          </w:p>
        </w:tc>
        <w:tc>
          <w:tcPr>
            <w:tcW w:w="950" w:type="dxa"/>
            <w:tcBorders/>
            <w:shd w:fill="CCEEFF" w:val="clear"/>
            <w:vAlign w:val="center"/>
          </w:tcPr>
          <w:p>
            <w:pPr>
              <w:pStyle w:val="TableContents"/>
              <w:bidi w:val="0"/>
              <w:spacing w:before="0" w:after="0"/>
              <w:ind w:left="0" w:right="0" w:hanging="0"/>
              <w:jc w:val="right"/>
              <w:rPr>
                <w:sz w:val="20"/>
              </w:rPr>
            </w:pPr>
            <w:r>
              <w:rPr>
                <w:sz w:val="20"/>
              </w:rPr>
              <w:t>118.3</w:t>
            </w:r>
          </w:p>
        </w:tc>
        <w:tc>
          <w:tcPr>
            <w:tcW w:w="95" w:type="dxa"/>
            <w:tcBorders/>
            <w:shd w:fill="CCEEFF" w:val="clear"/>
            <w:vAlign w:val="center"/>
          </w:tcPr>
          <w:p>
            <w:pPr>
              <w:pStyle w:val="TableContents"/>
              <w:bidi w:val="0"/>
              <w:spacing w:before="0" w:after="0"/>
              <w:ind w:left="0" w:right="0" w:hanging="0"/>
              <w:jc w:val="right"/>
              <w:rPr>
                <w:sz w:val="20"/>
              </w:rPr>
            </w:pPr>
            <w:r>
              <w:rPr>
                <w:sz w:val="20"/>
              </w:rPr>
            </w:r>
          </w:p>
        </w:tc>
        <w:tc>
          <w:tcPr>
            <w:tcW w:w="23" w:type="dxa"/>
            <w:tcBorders/>
            <w:shd w:fill="CCEEFF" w:val="clear"/>
            <w:vAlign w:val="center"/>
          </w:tcPr>
          <w:p>
            <w:pPr>
              <w:pStyle w:val="TableContents"/>
              <w:bidi w:val="0"/>
              <w:spacing w:before="0" w:after="0"/>
              <w:ind w:left="0" w:right="0" w:hanging="0"/>
              <w:jc w:val="right"/>
              <w:rPr>
                <w:sz w:val="20"/>
              </w:rPr>
            </w:pPr>
            <w:r>
              <w:rPr>
                <w:sz w:val="20"/>
              </w:rPr>
            </w:r>
          </w:p>
        </w:tc>
        <w:tc>
          <w:tcPr>
            <w:tcW w:w="125" w:type="dxa"/>
            <w:tcBorders/>
            <w:shd w:fill="CCEEFF" w:val="clear"/>
            <w:vAlign w:val="center"/>
          </w:tcPr>
          <w:p>
            <w:pPr>
              <w:pStyle w:val="TableContents"/>
              <w:bidi w:val="0"/>
              <w:spacing w:before="0" w:after="0"/>
              <w:ind w:left="0" w:right="0" w:hanging="0"/>
              <w:jc w:val="right"/>
              <w:rPr>
                <w:sz w:val="20"/>
              </w:rPr>
            </w:pPr>
            <w:r>
              <w:rPr>
                <w:sz w:val="20"/>
              </w:rPr>
            </w:r>
          </w:p>
        </w:tc>
        <w:tc>
          <w:tcPr>
            <w:tcW w:w="950" w:type="dxa"/>
            <w:tcBorders/>
            <w:shd w:fill="CCEEFF" w:val="clear"/>
            <w:vAlign w:val="center"/>
          </w:tcPr>
          <w:p>
            <w:pPr>
              <w:pStyle w:val="TableContents"/>
              <w:bidi w:val="0"/>
              <w:spacing w:before="0" w:after="0"/>
              <w:ind w:left="0" w:right="0" w:hanging="0"/>
              <w:jc w:val="right"/>
              <w:rPr>
                <w:sz w:val="20"/>
              </w:rPr>
            </w:pPr>
            <w:r>
              <w:rPr>
                <w:sz w:val="20"/>
              </w:rPr>
              <w:t>164.6</w:t>
            </w:r>
          </w:p>
        </w:tc>
        <w:tc>
          <w:tcPr>
            <w:tcW w:w="95" w:type="dxa"/>
            <w:tcBorders/>
            <w:shd w:fill="CCEEFF" w:val="clear"/>
            <w:vAlign w:val="center"/>
          </w:tcPr>
          <w:p>
            <w:pPr>
              <w:pStyle w:val="TableContents"/>
              <w:bidi w:val="0"/>
              <w:spacing w:before="0" w:after="0"/>
              <w:ind w:left="0" w:right="0" w:hanging="0"/>
              <w:jc w:val="right"/>
              <w:rPr>
                <w:sz w:val="20"/>
              </w:rPr>
            </w:pPr>
            <w:r>
              <w:rPr>
                <w:sz w:val="20"/>
              </w:rPr>
            </w:r>
          </w:p>
        </w:tc>
        <w:tc>
          <w:tcPr>
            <w:tcW w:w="23" w:type="dxa"/>
            <w:tcBorders/>
            <w:shd w:fill="CCEEFF" w:val="clear"/>
            <w:vAlign w:val="center"/>
          </w:tcPr>
          <w:p>
            <w:pPr>
              <w:pStyle w:val="TableContents"/>
              <w:bidi w:val="0"/>
              <w:spacing w:before="0" w:after="0"/>
              <w:ind w:left="0" w:right="0" w:hanging="0"/>
              <w:jc w:val="right"/>
              <w:rPr>
                <w:sz w:val="20"/>
              </w:rPr>
            </w:pPr>
            <w:r>
              <w:rPr>
                <w:sz w:val="20"/>
              </w:rPr>
            </w:r>
          </w:p>
        </w:tc>
        <w:tc>
          <w:tcPr>
            <w:tcW w:w="125" w:type="dxa"/>
            <w:tcBorders/>
            <w:shd w:fill="CCEEFF" w:val="clear"/>
            <w:vAlign w:val="center"/>
          </w:tcPr>
          <w:p>
            <w:pPr>
              <w:pStyle w:val="TableContents"/>
              <w:bidi w:val="0"/>
              <w:spacing w:before="0" w:after="0"/>
              <w:ind w:left="0" w:right="0" w:hanging="0"/>
              <w:jc w:val="right"/>
              <w:rPr>
                <w:sz w:val="20"/>
              </w:rPr>
            </w:pPr>
            <w:r>
              <w:rPr>
                <w:sz w:val="20"/>
              </w:rPr>
            </w:r>
          </w:p>
        </w:tc>
        <w:tc>
          <w:tcPr>
            <w:tcW w:w="950" w:type="dxa"/>
            <w:tcBorders/>
            <w:shd w:fill="CCEEFF" w:val="clear"/>
            <w:vAlign w:val="center"/>
          </w:tcPr>
          <w:p>
            <w:pPr>
              <w:pStyle w:val="TableContents"/>
              <w:bidi w:val="0"/>
              <w:spacing w:before="0" w:after="0"/>
              <w:ind w:left="0" w:right="0" w:hanging="0"/>
              <w:jc w:val="right"/>
              <w:rPr>
                <w:sz w:val="20"/>
              </w:rPr>
            </w:pPr>
            <w:r>
              <w:rPr>
                <w:sz w:val="20"/>
              </w:rPr>
              <w:t>155.3</w:t>
            </w:r>
          </w:p>
        </w:tc>
        <w:tc>
          <w:tcPr>
            <w:tcW w:w="110" w:type="dxa"/>
            <w:tcBorders/>
            <w:shd w:fill="CCEEFF" w:val="clear"/>
            <w:vAlign w:val="center"/>
          </w:tcPr>
          <w:p>
            <w:pPr>
              <w:pStyle w:val="TableContents"/>
              <w:bidi w:val="0"/>
              <w:spacing w:before="0" w:after="0"/>
              <w:ind w:left="0" w:right="0" w:hanging="0"/>
              <w:jc w:val="right"/>
              <w:rPr>
                <w:sz w:val="20"/>
              </w:rPr>
            </w:pPr>
            <w:r>
              <w:rPr>
                <w:sz w:val="20"/>
              </w:rPr>
            </w:r>
          </w:p>
        </w:tc>
      </w:tr>
      <w:tr>
        <w:trPr/>
        <w:tc>
          <w:tcPr>
            <w:tcW w:w="5441"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Income tax expense</w:t>
            </w:r>
          </w:p>
        </w:tc>
        <w:tc>
          <w:tcPr>
            <w:tcW w:w="125" w:type="dxa"/>
            <w:tcBorders/>
            <w:vAlign w:val="center"/>
          </w:tcPr>
          <w:p>
            <w:pPr>
              <w:pStyle w:val="TableContents"/>
              <w:bidi w:val="0"/>
              <w:spacing w:before="0" w:after="0"/>
              <w:ind w:left="0" w:right="0" w:hanging="0"/>
              <w:jc w:val="right"/>
              <w:rPr>
                <w:sz w:val="20"/>
              </w:rPr>
            </w:pPr>
            <w:r>
              <w:rPr>
                <w:sz w:val="20"/>
              </w:rPr>
            </w:r>
          </w:p>
        </w:tc>
        <w:tc>
          <w:tcPr>
            <w:tcW w:w="950" w:type="dxa"/>
            <w:tcBorders/>
            <w:vAlign w:val="bottom"/>
          </w:tcPr>
          <w:p>
            <w:pPr>
              <w:pStyle w:val="TableContents"/>
              <w:bidi w:val="0"/>
              <w:spacing w:before="0" w:after="0"/>
              <w:ind w:left="0" w:right="0" w:hanging="0"/>
              <w:jc w:val="right"/>
              <w:rPr>
                <w:sz w:val="20"/>
              </w:rPr>
            </w:pPr>
            <w:r>
              <w:rPr>
                <w:sz w:val="20"/>
              </w:rPr>
              <w:t>(39.2</w:t>
            </w:r>
          </w:p>
        </w:tc>
        <w:tc>
          <w:tcPr>
            <w:tcW w:w="95" w:type="dxa"/>
            <w:tcBorders/>
            <w:vAlign w:val="bottom"/>
          </w:tcPr>
          <w:p>
            <w:pPr>
              <w:pStyle w:val="TableContents"/>
              <w:bidi w:val="0"/>
              <w:spacing w:before="0" w:after="0"/>
              <w:ind w:left="0" w:right="0" w:hanging="0"/>
              <w:jc w:val="left"/>
              <w:rPr/>
            </w:pPr>
            <w:r>
              <w:rPr/>
              <w:t>)</w:t>
            </w:r>
          </w:p>
        </w:tc>
        <w:tc>
          <w:tcPr>
            <w:tcW w:w="23" w:type="dxa"/>
            <w:tcBorders/>
            <w:vAlign w:val="bottom"/>
          </w:tcPr>
          <w:p>
            <w:pPr>
              <w:pStyle w:val="TableContents"/>
              <w:bidi w:val="0"/>
              <w:spacing w:before="0" w:after="0"/>
              <w:ind w:left="0" w:right="0" w:hanging="0"/>
              <w:jc w:val="right"/>
              <w:rPr>
                <w:sz w:val="20"/>
              </w:rPr>
            </w:pPr>
            <w:r>
              <w:rPr>
                <w:sz w:val="20"/>
              </w:rPr>
            </w:r>
          </w:p>
        </w:tc>
        <w:tc>
          <w:tcPr>
            <w:tcW w:w="125" w:type="dxa"/>
            <w:tcBorders/>
            <w:vAlign w:val="bottom"/>
          </w:tcPr>
          <w:p>
            <w:pPr>
              <w:pStyle w:val="TableContents"/>
              <w:bidi w:val="0"/>
              <w:spacing w:before="0" w:after="0"/>
              <w:ind w:left="0" w:right="0" w:hanging="0"/>
              <w:jc w:val="right"/>
              <w:rPr>
                <w:sz w:val="20"/>
              </w:rPr>
            </w:pPr>
            <w:r>
              <w:rPr>
                <w:sz w:val="20"/>
              </w:rPr>
            </w:r>
          </w:p>
        </w:tc>
        <w:tc>
          <w:tcPr>
            <w:tcW w:w="950" w:type="dxa"/>
            <w:tcBorders/>
            <w:vAlign w:val="bottom"/>
          </w:tcPr>
          <w:p>
            <w:pPr>
              <w:pStyle w:val="TableContents"/>
              <w:bidi w:val="0"/>
              <w:spacing w:before="0" w:after="0"/>
              <w:ind w:left="0" w:right="0" w:hanging="0"/>
              <w:jc w:val="right"/>
              <w:rPr>
                <w:sz w:val="20"/>
              </w:rPr>
            </w:pPr>
            <w:r>
              <w:rPr>
                <w:sz w:val="20"/>
              </w:rPr>
              <w:t>(32.3</w:t>
            </w:r>
          </w:p>
        </w:tc>
        <w:tc>
          <w:tcPr>
            <w:tcW w:w="95" w:type="dxa"/>
            <w:tcBorders/>
            <w:vAlign w:val="bottom"/>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283"/>
              <w:ind w:left="0" w:right="0" w:hanging="0"/>
              <w:jc w:val="left"/>
              <w:rPr/>
            </w:pPr>
            <w:r>
              <w:rPr/>
            </w:r>
          </w:p>
        </w:tc>
        <w:tc>
          <w:tcPr>
            <w:tcW w:w="125" w:type="dxa"/>
            <w:tcBorders/>
            <w:vAlign w:val="center"/>
          </w:tcPr>
          <w:p>
            <w:pPr>
              <w:pStyle w:val="TableContents"/>
              <w:bidi w:val="0"/>
              <w:spacing w:before="0" w:after="283"/>
              <w:ind w:left="0" w:right="0" w:hanging="0"/>
              <w:jc w:val="left"/>
              <w:rPr/>
            </w:pPr>
            <w:r>
              <w:rPr/>
            </w:r>
          </w:p>
        </w:tc>
        <w:tc>
          <w:tcPr>
            <w:tcW w:w="950" w:type="dxa"/>
            <w:tcBorders/>
            <w:vAlign w:val="center"/>
          </w:tcPr>
          <w:p>
            <w:pPr>
              <w:pStyle w:val="TableContents"/>
              <w:bidi w:val="0"/>
              <w:spacing w:before="0" w:after="0"/>
              <w:ind w:left="0" w:right="0" w:hanging="0"/>
              <w:jc w:val="right"/>
              <w:rPr/>
            </w:pPr>
            <w:r>
              <w:rPr/>
              <w:t>(55.2</w:t>
            </w:r>
          </w:p>
        </w:tc>
        <w:tc>
          <w:tcPr>
            <w:tcW w:w="9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283"/>
              <w:ind w:left="0" w:right="0" w:hanging="0"/>
              <w:jc w:val="left"/>
              <w:rPr/>
            </w:pPr>
            <w:r>
              <w:rPr/>
            </w:r>
          </w:p>
        </w:tc>
        <w:tc>
          <w:tcPr>
            <w:tcW w:w="125" w:type="dxa"/>
            <w:tcBorders/>
            <w:vAlign w:val="center"/>
          </w:tcPr>
          <w:p>
            <w:pPr>
              <w:pStyle w:val="TableContents"/>
              <w:bidi w:val="0"/>
              <w:spacing w:before="0" w:after="283"/>
              <w:ind w:left="0" w:right="0" w:hanging="0"/>
              <w:jc w:val="left"/>
              <w:rPr/>
            </w:pPr>
            <w:r>
              <w:rPr/>
            </w:r>
          </w:p>
        </w:tc>
        <w:tc>
          <w:tcPr>
            <w:tcW w:w="950" w:type="dxa"/>
            <w:tcBorders/>
            <w:vAlign w:val="center"/>
          </w:tcPr>
          <w:p>
            <w:pPr>
              <w:pStyle w:val="TableContents"/>
              <w:bidi w:val="0"/>
              <w:spacing w:before="0" w:after="0"/>
              <w:ind w:left="0" w:right="0" w:hanging="0"/>
              <w:jc w:val="right"/>
              <w:rPr/>
            </w:pPr>
            <w:r>
              <w:rPr/>
              <w:t>(49.5</w:t>
            </w:r>
          </w:p>
        </w:tc>
        <w:tc>
          <w:tcPr>
            <w:tcW w:w="110" w:type="dxa"/>
            <w:tcBorders/>
            <w:vAlign w:val="center"/>
          </w:tcPr>
          <w:p>
            <w:pPr>
              <w:pStyle w:val="TableContents"/>
              <w:bidi w:val="0"/>
              <w:spacing w:before="0" w:after="0"/>
              <w:jc w:val="left"/>
              <w:rPr/>
            </w:pPr>
            <w:r>
              <w:rPr/>
              <w:t>)</w:t>
            </w:r>
          </w:p>
        </w:tc>
      </w:tr>
      <w:tr>
        <w:trPr/>
        <w:tc>
          <w:tcPr>
            <w:tcW w:w="5441"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Net income</w:t>
            </w:r>
          </w:p>
        </w:tc>
        <w:tc>
          <w:tcPr>
            <w:tcW w:w="125" w:type="dxa"/>
            <w:tcBorders/>
            <w:shd w:fill="CCEEFF" w:val="clear"/>
            <w:vAlign w:val="center"/>
          </w:tcPr>
          <w:p>
            <w:pPr>
              <w:pStyle w:val="TableContents"/>
              <w:bidi w:val="0"/>
              <w:spacing w:before="0" w:after="0"/>
              <w:ind w:left="0" w:right="0" w:hanging="0"/>
              <w:jc w:val="right"/>
              <w:rPr>
                <w:sz w:val="20"/>
              </w:rPr>
            </w:pPr>
            <w:r>
              <w:rPr>
                <w:sz w:val="20"/>
              </w:rPr>
            </w:r>
          </w:p>
        </w:tc>
        <w:tc>
          <w:tcPr>
            <w:tcW w:w="950" w:type="dxa"/>
            <w:tcBorders/>
            <w:shd w:fill="CCEEFF" w:val="clear"/>
            <w:vAlign w:val="center"/>
          </w:tcPr>
          <w:p>
            <w:pPr>
              <w:pStyle w:val="TableContents"/>
              <w:bidi w:val="0"/>
              <w:spacing w:before="0" w:after="0"/>
              <w:ind w:left="0" w:right="0" w:hanging="0"/>
              <w:jc w:val="right"/>
              <w:rPr>
                <w:sz w:val="20"/>
              </w:rPr>
            </w:pPr>
            <w:r>
              <w:rPr>
                <w:sz w:val="20"/>
              </w:rPr>
              <w:t>83.2</w:t>
            </w:r>
          </w:p>
        </w:tc>
        <w:tc>
          <w:tcPr>
            <w:tcW w:w="95" w:type="dxa"/>
            <w:tcBorders/>
            <w:shd w:fill="CCEEFF" w:val="clear"/>
            <w:vAlign w:val="center"/>
          </w:tcPr>
          <w:p>
            <w:pPr>
              <w:pStyle w:val="TableContents"/>
              <w:bidi w:val="0"/>
              <w:spacing w:before="0" w:after="0"/>
              <w:ind w:left="0" w:right="0" w:hanging="0"/>
              <w:jc w:val="right"/>
              <w:rPr>
                <w:sz w:val="20"/>
              </w:rPr>
            </w:pPr>
            <w:r>
              <w:rPr>
                <w:sz w:val="20"/>
              </w:rPr>
            </w:r>
          </w:p>
        </w:tc>
        <w:tc>
          <w:tcPr>
            <w:tcW w:w="23" w:type="dxa"/>
            <w:tcBorders/>
            <w:shd w:fill="CCEEFF" w:val="clear"/>
            <w:vAlign w:val="center"/>
          </w:tcPr>
          <w:p>
            <w:pPr>
              <w:pStyle w:val="TableContents"/>
              <w:bidi w:val="0"/>
              <w:spacing w:before="0" w:after="0"/>
              <w:ind w:left="0" w:right="0" w:hanging="0"/>
              <w:jc w:val="right"/>
              <w:rPr>
                <w:sz w:val="20"/>
              </w:rPr>
            </w:pPr>
            <w:r>
              <w:rPr>
                <w:sz w:val="20"/>
              </w:rPr>
            </w:r>
          </w:p>
        </w:tc>
        <w:tc>
          <w:tcPr>
            <w:tcW w:w="125" w:type="dxa"/>
            <w:tcBorders/>
            <w:shd w:fill="CCEEFF" w:val="clear"/>
            <w:vAlign w:val="center"/>
          </w:tcPr>
          <w:p>
            <w:pPr>
              <w:pStyle w:val="TableContents"/>
              <w:bidi w:val="0"/>
              <w:spacing w:before="0" w:after="0"/>
              <w:ind w:left="0" w:right="0" w:hanging="0"/>
              <w:jc w:val="right"/>
              <w:rPr>
                <w:sz w:val="20"/>
              </w:rPr>
            </w:pPr>
            <w:r>
              <w:rPr>
                <w:sz w:val="20"/>
              </w:rPr>
            </w:r>
          </w:p>
        </w:tc>
        <w:tc>
          <w:tcPr>
            <w:tcW w:w="950" w:type="dxa"/>
            <w:tcBorders/>
            <w:shd w:fill="CCEEFF" w:val="clear"/>
            <w:vAlign w:val="center"/>
          </w:tcPr>
          <w:p>
            <w:pPr>
              <w:pStyle w:val="TableContents"/>
              <w:bidi w:val="0"/>
              <w:spacing w:before="0" w:after="0"/>
              <w:ind w:left="0" w:right="0" w:hanging="0"/>
              <w:jc w:val="right"/>
              <w:rPr>
                <w:sz w:val="20"/>
              </w:rPr>
            </w:pPr>
            <w:r>
              <w:rPr>
                <w:sz w:val="20"/>
              </w:rPr>
              <w:t>86.0</w:t>
            </w:r>
          </w:p>
        </w:tc>
        <w:tc>
          <w:tcPr>
            <w:tcW w:w="95" w:type="dxa"/>
            <w:tcBorders/>
            <w:shd w:fill="CCEEFF" w:val="clear"/>
            <w:vAlign w:val="center"/>
          </w:tcPr>
          <w:p>
            <w:pPr>
              <w:pStyle w:val="TableContents"/>
              <w:bidi w:val="0"/>
              <w:spacing w:before="0" w:after="0"/>
              <w:ind w:left="0" w:right="0" w:hanging="0"/>
              <w:jc w:val="right"/>
              <w:rPr>
                <w:sz w:val="20"/>
              </w:rPr>
            </w:pPr>
            <w:r>
              <w:rPr>
                <w:sz w:val="20"/>
              </w:rPr>
            </w:r>
          </w:p>
        </w:tc>
        <w:tc>
          <w:tcPr>
            <w:tcW w:w="23" w:type="dxa"/>
            <w:tcBorders/>
            <w:shd w:fill="CCEEFF" w:val="clear"/>
            <w:vAlign w:val="center"/>
          </w:tcPr>
          <w:p>
            <w:pPr>
              <w:pStyle w:val="TableContents"/>
              <w:bidi w:val="0"/>
              <w:spacing w:before="0" w:after="0"/>
              <w:ind w:left="0" w:right="0" w:hanging="0"/>
              <w:jc w:val="right"/>
              <w:rPr>
                <w:sz w:val="20"/>
              </w:rPr>
            </w:pPr>
            <w:r>
              <w:rPr>
                <w:sz w:val="20"/>
              </w:rPr>
            </w:r>
          </w:p>
        </w:tc>
        <w:tc>
          <w:tcPr>
            <w:tcW w:w="125" w:type="dxa"/>
            <w:tcBorders/>
            <w:shd w:fill="CCEEFF" w:val="clear"/>
            <w:vAlign w:val="center"/>
          </w:tcPr>
          <w:p>
            <w:pPr>
              <w:pStyle w:val="TableContents"/>
              <w:bidi w:val="0"/>
              <w:spacing w:before="0" w:after="0"/>
              <w:ind w:left="0" w:right="0" w:hanging="0"/>
              <w:jc w:val="right"/>
              <w:rPr>
                <w:sz w:val="20"/>
              </w:rPr>
            </w:pPr>
            <w:r>
              <w:rPr>
                <w:sz w:val="20"/>
              </w:rPr>
            </w:r>
          </w:p>
        </w:tc>
        <w:tc>
          <w:tcPr>
            <w:tcW w:w="950" w:type="dxa"/>
            <w:tcBorders/>
            <w:shd w:fill="CCEEFF" w:val="clear"/>
            <w:vAlign w:val="center"/>
          </w:tcPr>
          <w:p>
            <w:pPr>
              <w:pStyle w:val="TableContents"/>
              <w:bidi w:val="0"/>
              <w:spacing w:before="0" w:after="0"/>
              <w:ind w:left="0" w:right="0" w:hanging="0"/>
              <w:jc w:val="right"/>
              <w:rPr>
                <w:sz w:val="20"/>
              </w:rPr>
            </w:pPr>
            <w:r>
              <w:rPr>
                <w:sz w:val="20"/>
              </w:rPr>
              <w:t>109.4</w:t>
            </w:r>
          </w:p>
        </w:tc>
        <w:tc>
          <w:tcPr>
            <w:tcW w:w="95" w:type="dxa"/>
            <w:tcBorders/>
            <w:shd w:fill="CCEEFF" w:val="clear"/>
            <w:vAlign w:val="center"/>
          </w:tcPr>
          <w:p>
            <w:pPr>
              <w:pStyle w:val="TableContents"/>
              <w:bidi w:val="0"/>
              <w:spacing w:before="0" w:after="0"/>
              <w:ind w:left="0" w:right="0" w:hanging="0"/>
              <w:jc w:val="right"/>
              <w:rPr>
                <w:sz w:val="20"/>
              </w:rPr>
            </w:pPr>
            <w:r>
              <w:rPr>
                <w:sz w:val="20"/>
              </w:rPr>
            </w:r>
          </w:p>
        </w:tc>
        <w:tc>
          <w:tcPr>
            <w:tcW w:w="23" w:type="dxa"/>
            <w:tcBorders/>
            <w:shd w:fill="CCEEFF" w:val="clear"/>
            <w:vAlign w:val="center"/>
          </w:tcPr>
          <w:p>
            <w:pPr>
              <w:pStyle w:val="TableContents"/>
              <w:bidi w:val="0"/>
              <w:spacing w:before="0" w:after="0"/>
              <w:ind w:left="0" w:right="0" w:hanging="0"/>
              <w:jc w:val="right"/>
              <w:rPr>
                <w:sz w:val="20"/>
              </w:rPr>
            </w:pPr>
            <w:r>
              <w:rPr>
                <w:sz w:val="20"/>
              </w:rPr>
            </w:r>
          </w:p>
        </w:tc>
        <w:tc>
          <w:tcPr>
            <w:tcW w:w="125" w:type="dxa"/>
            <w:tcBorders/>
            <w:shd w:fill="CCEEFF" w:val="clear"/>
            <w:vAlign w:val="center"/>
          </w:tcPr>
          <w:p>
            <w:pPr>
              <w:pStyle w:val="TableContents"/>
              <w:bidi w:val="0"/>
              <w:spacing w:before="0" w:after="0"/>
              <w:ind w:left="0" w:right="0" w:hanging="0"/>
              <w:jc w:val="right"/>
              <w:rPr>
                <w:sz w:val="20"/>
              </w:rPr>
            </w:pPr>
            <w:r>
              <w:rPr>
                <w:sz w:val="20"/>
              </w:rPr>
            </w:r>
          </w:p>
        </w:tc>
        <w:tc>
          <w:tcPr>
            <w:tcW w:w="950" w:type="dxa"/>
            <w:tcBorders/>
            <w:shd w:fill="CCEEFF" w:val="clear"/>
            <w:vAlign w:val="center"/>
          </w:tcPr>
          <w:p>
            <w:pPr>
              <w:pStyle w:val="TableContents"/>
              <w:bidi w:val="0"/>
              <w:spacing w:before="0" w:after="0"/>
              <w:ind w:left="0" w:right="0" w:hanging="0"/>
              <w:jc w:val="right"/>
              <w:rPr>
                <w:sz w:val="20"/>
              </w:rPr>
            </w:pPr>
            <w:r>
              <w:rPr>
                <w:sz w:val="20"/>
              </w:rPr>
              <w:t>105.8</w:t>
            </w:r>
          </w:p>
        </w:tc>
        <w:tc>
          <w:tcPr>
            <w:tcW w:w="110" w:type="dxa"/>
            <w:tcBorders/>
            <w:shd w:fill="CCEEFF" w:val="clear"/>
            <w:vAlign w:val="center"/>
          </w:tcPr>
          <w:p>
            <w:pPr>
              <w:pStyle w:val="TableContents"/>
              <w:bidi w:val="0"/>
              <w:spacing w:before="0" w:after="0"/>
              <w:ind w:left="0" w:right="0" w:hanging="0"/>
              <w:jc w:val="right"/>
              <w:rPr>
                <w:sz w:val="20"/>
              </w:rPr>
            </w:pPr>
            <w:r>
              <w:rPr>
                <w:sz w:val="20"/>
              </w:rPr>
            </w:r>
          </w:p>
        </w:tc>
      </w:tr>
      <w:tr>
        <w:trPr/>
        <w:tc>
          <w:tcPr>
            <w:tcW w:w="5441"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Net (income) loss attributable to noncontrolling interests</w:t>
            </w:r>
          </w:p>
        </w:tc>
        <w:tc>
          <w:tcPr>
            <w:tcW w:w="125" w:type="dxa"/>
            <w:tcBorders/>
            <w:vAlign w:val="center"/>
          </w:tcPr>
          <w:p>
            <w:pPr>
              <w:pStyle w:val="TableContents"/>
              <w:bidi w:val="0"/>
              <w:spacing w:before="0" w:after="0"/>
              <w:ind w:left="0" w:right="0" w:hanging="0"/>
              <w:jc w:val="right"/>
              <w:rPr>
                <w:sz w:val="20"/>
              </w:rPr>
            </w:pPr>
            <w:r>
              <w:rPr>
                <w:sz w:val="20"/>
              </w:rPr>
            </w:r>
          </w:p>
        </w:tc>
        <w:tc>
          <w:tcPr>
            <w:tcW w:w="950" w:type="dxa"/>
            <w:tcBorders/>
            <w:vAlign w:val="center"/>
          </w:tcPr>
          <w:p>
            <w:pPr>
              <w:pStyle w:val="TableContents"/>
              <w:bidi w:val="0"/>
              <w:spacing w:before="0" w:after="0"/>
              <w:ind w:left="0" w:right="0" w:hanging="0"/>
              <w:jc w:val="right"/>
              <w:rPr>
                <w:sz w:val="20"/>
              </w:rPr>
            </w:pPr>
            <w:r>
              <w:rPr>
                <w:sz w:val="20"/>
              </w:rPr>
              <w:t>(0.1</w:t>
            </w:r>
          </w:p>
        </w:tc>
        <w:tc>
          <w:tcPr>
            <w:tcW w:w="9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right"/>
              <w:rPr>
                <w:sz w:val="20"/>
              </w:rPr>
            </w:pPr>
            <w:r>
              <w:rPr>
                <w:sz w:val="20"/>
              </w:rPr>
            </w:r>
          </w:p>
        </w:tc>
        <w:tc>
          <w:tcPr>
            <w:tcW w:w="125" w:type="dxa"/>
            <w:tcBorders/>
            <w:vAlign w:val="center"/>
          </w:tcPr>
          <w:p>
            <w:pPr>
              <w:pStyle w:val="TableContents"/>
              <w:bidi w:val="0"/>
              <w:spacing w:before="0" w:after="0"/>
              <w:ind w:left="0" w:right="0" w:hanging="0"/>
              <w:jc w:val="right"/>
              <w:rPr>
                <w:sz w:val="20"/>
              </w:rPr>
            </w:pPr>
            <w:r>
              <w:rPr>
                <w:sz w:val="20"/>
              </w:rPr>
            </w:r>
          </w:p>
        </w:tc>
        <w:tc>
          <w:tcPr>
            <w:tcW w:w="950" w:type="dxa"/>
            <w:tcBorders/>
            <w:vAlign w:val="center"/>
          </w:tcPr>
          <w:p>
            <w:pPr>
              <w:pStyle w:val="TableContents"/>
              <w:bidi w:val="0"/>
              <w:spacing w:before="0" w:after="0"/>
              <w:ind w:left="0" w:right="0" w:hanging="0"/>
              <w:jc w:val="right"/>
              <w:rPr>
                <w:sz w:val="20"/>
              </w:rPr>
            </w:pPr>
            <w:r>
              <w:rPr>
                <w:sz w:val="20"/>
              </w:rPr>
              <w:t>0.1</w:t>
            </w:r>
          </w:p>
        </w:tc>
        <w:tc>
          <w:tcPr>
            <w:tcW w:w="95" w:type="dxa"/>
            <w:tcBorders/>
            <w:vAlign w:val="center"/>
          </w:tcPr>
          <w:p>
            <w:pPr>
              <w:pStyle w:val="TableContents"/>
              <w:bidi w:val="0"/>
              <w:spacing w:before="0" w:after="0"/>
              <w:ind w:left="0" w:right="0" w:hanging="0"/>
              <w:jc w:val="right"/>
              <w:rPr>
                <w:sz w:val="20"/>
              </w:rPr>
            </w:pPr>
            <w:r>
              <w:rPr>
                <w:sz w:val="20"/>
              </w:rPr>
            </w:r>
          </w:p>
        </w:tc>
        <w:tc>
          <w:tcPr>
            <w:tcW w:w="23" w:type="dxa"/>
            <w:tcBorders/>
            <w:vAlign w:val="center"/>
          </w:tcPr>
          <w:p>
            <w:pPr>
              <w:pStyle w:val="TableContents"/>
              <w:bidi w:val="0"/>
              <w:spacing w:before="0" w:after="0"/>
              <w:ind w:left="0" w:right="0" w:hanging="0"/>
              <w:jc w:val="right"/>
              <w:rPr>
                <w:sz w:val="20"/>
              </w:rPr>
            </w:pPr>
            <w:r>
              <w:rPr>
                <w:sz w:val="20"/>
              </w:rPr>
            </w:r>
          </w:p>
        </w:tc>
        <w:tc>
          <w:tcPr>
            <w:tcW w:w="125" w:type="dxa"/>
            <w:tcBorders/>
            <w:vAlign w:val="center"/>
          </w:tcPr>
          <w:p>
            <w:pPr>
              <w:pStyle w:val="TableContents"/>
              <w:bidi w:val="0"/>
              <w:spacing w:before="0" w:after="0"/>
              <w:ind w:left="0" w:right="0" w:hanging="0"/>
              <w:jc w:val="right"/>
              <w:rPr>
                <w:sz w:val="20"/>
              </w:rPr>
            </w:pPr>
            <w:r>
              <w:rPr>
                <w:sz w:val="20"/>
              </w:rPr>
            </w:r>
          </w:p>
        </w:tc>
        <w:tc>
          <w:tcPr>
            <w:tcW w:w="950" w:type="dxa"/>
            <w:tcBorders/>
            <w:vAlign w:val="center"/>
          </w:tcPr>
          <w:p>
            <w:pPr>
              <w:pStyle w:val="TableContents"/>
              <w:bidi w:val="0"/>
              <w:spacing w:before="0" w:after="0"/>
              <w:ind w:left="0" w:right="0" w:hanging="0"/>
              <w:jc w:val="right"/>
              <w:rPr>
                <w:sz w:val="20"/>
              </w:rPr>
            </w:pPr>
            <w:r>
              <w:rPr>
                <w:sz w:val="20"/>
              </w:rPr>
              <w:t>(0.1</w:t>
            </w:r>
          </w:p>
        </w:tc>
        <w:tc>
          <w:tcPr>
            <w:tcW w:w="9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right"/>
              <w:rPr>
                <w:sz w:val="20"/>
              </w:rPr>
            </w:pPr>
            <w:r>
              <w:rPr>
                <w:sz w:val="20"/>
              </w:rPr>
            </w:r>
          </w:p>
        </w:tc>
        <w:tc>
          <w:tcPr>
            <w:tcW w:w="125" w:type="dxa"/>
            <w:tcBorders/>
            <w:vAlign w:val="center"/>
          </w:tcPr>
          <w:p>
            <w:pPr>
              <w:pStyle w:val="TableContents"/>
              <w:bidi w:val="0"/>
              <w:spacing w:before="0" w:after="0"/>
              <w:ind w:left="0" w:right="0" w:hanging="0"/>
              <w:jc w:val="right"/>
              <w:rPr>
                <w:sz w:val="20"/>
              </w:rPr>
            </w:pPr>
            <w:r>
              <w:rPr>
                <w:sz w:val="20"/>
              </w:rPr>
            </w:r>
          </w:p>
        </w:tc>
        <w:tc>
          <w:tcPr>
            <w:tcW w:w="950" w:type="dxa"/>
            <w:tcBorders/>
            <w:vAlign w:val="center"/>
          </w:tcPr>
          <w:p>
            <w:pPr>
              <w:pStyle w:val="TableContents"/>
              <w:bidi w:val="0"/>
              <w:spacing w:before="0" w:after="0"/>
              <w:ind w:left="0" w:right="0" w:hanging="0"/>
              <w:jc w:val="right"/>
              <w:rPr>
                <w:sz w:val="20"/>
              </w:rPr>
            </w:pPr>
            <w:r>
              <w:rPr>
                <w:sz w:val="20"/>
              </w:rPr>
              <w:t>0.4</w:t>
            </w:r>
          </w:p>
        </w:tc>
        <w:tc>
          <w:tcPr>
            <w:tcW w:w="110" w:type="dxa"/>
            <w:tcBorders/>
            <w:vAlign w:val="center"/>
          </w:tcPr>
          <w:p>
            <w:pPr>
              <w:pStyle w:val="TableContents"/>
              <w:bidi w:val="0"/>
              <w:spacing w:before="0" w:after="0"/>
              <w:ind w:left="0" w:right="0" w:hanging="0"/>
              <w:jc w:val="right"/>
              <w:rPr>
                <w:sz w:val="20"/>
              </w:rPr>
            </w:pPr>
            <w:r>
              <w:rPr>
                <w:sz w:val="20"/>
              </w:rPr>
            </w:r>
          </w:p>
        </w:tc>
      </w:tr>
      <w:tr>
        <w:trPr/>
        <w:tc>
          <w:tcPr>
            <w:tcW w:w="5441"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Net income attributable to Euronet Worldwide, Inc.</w:t>
            </w:r>
          </w:p>
        </w:tc>
        <w:tc>
          <w:tcPr>
            <w:tcW w:w="125" w:type="dxa"/>
            <w:tcBorders/>
            <w:shd w:fill="CCEEFF" w:val="clear"/>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950" w:type="dxa"/>
            <w:tcBorders/>
            <w:shd w:fill="CCEEFF" w:val="clear"/>
            <w:vAlign w:val="center"/>
          </w:tcPr>
          <w:p>
            <w:pPr>
              <w:pStyle w:val="TableContents"/>
              <w:bidi w:val="0"/>
              <w:spacing w:before="0" w:after="0"/>
              <w:jc w:val="right"/>
              <w:rPr>
                <w:sz w:val="20"/>
              </w:rPr>
            </w:pPr>
            <w:r>
              <w:rPr>
                <w:sz w:val="20"/>
              </w:rPr>
              <w:t>83.1</w:t>
            </w:r>
          </w:p>
        </w:tc>
        <w:tc>
          <w:tcPr>
            <w:tcW w:w="95" w:type="dxa"/>
            <w:tcBorders/>
            <w:shd w:fill="CCEEFF" w:val="clear"/>
            <w:vAlign w:val="center"/>
          </w:tcPr>
          <w:p>
            <w:pPr>
              <w:pStyle w:val="TableContents"/>
              <w:bidi w:val="0"/>
              <w:spacing w:before="0" w:after="0"/>
              <w:ind w:left="0" w:right="0" w:hanging="0"/>
              <w:jc w:val="left"/>
              <w:rPr>
                <w:sz w:val="20"/>
              </w:rPr>
            </w:pPr>
            <w:r>
              <w:rPr>
                <w:sz w:val="20"/>
              </w:rPr>
            </w:r>
          </w:p>
        </w:tc>
        <w:tc>
          <w:tcPr>
            <w:tcW w:w="23" w:type="dxa"/>
            <w:tcBorders/>
            <w:shd w:fill="CCEEFF" w:val="clear"/>
            <w:vAlign w:val="center"/>
          </w:tcPr>
          <w:p>
            <w:pPr>
              <w:pStyle w:val="TableContents"/>
              <w:bidi w:val="0"/>
              <w:spacing w:before="0" w:after="0"/>
              <w:ind w:left="0" w:right="0" w:hanging="0"/>
              <w:jc w:val="left"/>
              <w:rPr>
                <w:sz w:val="20"/>
              </w:rPr>
            </w:pPr>
            <w:r>
              <w:rPr>
                <w:sz w:val="20"/>
              </w:rPr>
            </w:r>
          </w:p>
        </w:tc>
        <w:tc>
          <w:tcPr>
            <w:tcW w:w="125" w:type="dxa"/>
            <w:tcBorders/>
            <w:shd w:fill="CCEEFF" w:val="clear"/>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950" w:type="dxa"/>
            <w:tcBorders/>
            <w:shd w:fill="CCEEFF" w:val="clear"/>
            <w:vAlign w:val="center"/>
          </w:tcPr>
          <w:p>
            <w:pPr>
              <w:pStyle w:val="TableContents"/>
              <w:bidi w:val="0"/>
              <w:spacing w:before="0" w:after="0"/>
              <w:jc w:val="right"/>
              <w:rPr>
                <w:sz w:val="20"/>
              </w:rPr>
            </w:pPr>
            <w:r>
              <w:rPr>
                <w:sz w:val="20"/>
              </w:rPr>
              <w:t>86.1</w:t>
            </w:r>
          </w:p>
        </w:tc>
        <w:tc>
          <w:tcPr>
            <w:tcW w:w="95" w:type="dxa"/>
            <w:tcBorders/>
            <w:shd w:fill="CCEEFF" w:val="clear"/>
            <w:vAlign w:val="center"/>
          </w:tcPr>
          <w:p>
            <w:pPr>
              <w:pStyle w:val="TableContents"/>
              <w:bidi w:val="0"/>
              <w:spacing w:before="0" w:after="0"/>
              <w:ind w:left="0" w:right="0" w:hanging="0"/>
              <w:jc w:val="left"/>
              <w:rPr>
                <w:sz w:val="20"/>
              </w:rPr>
            </w:pPr>
            <w:r>
              <w:rPr>
                <w:sz w:val="20"/>
              </w:rPr>
            </w:r>
          </w:p>
        </w:tc>
        <w:tc>
          <w:tcPr>
            <w:tcW w:w="23" w:type="dxa"/>
            <w:tcBorders/>
            <w:shd w:fill="CCEEFF" w:val="clear"/>
            <w:vAlign w:val="center"/>
          </w:tcPr>
          <w:p>
            <w:pPr>
              <w:pStyle w:val="TableContents"/>
              <w:bidi w:val="0"/>
              <w:spacing w:before="0" w:after="0"/>
              <w:ind w:left="0" w:right="0" w:hanging="0"/>
              <w:jc w:val="left"/>
              <w:rPr>
                <w:sz w:val="20"/>
              </w:rPr>
            </w:pPr>
            <w:r>
              <w:rPr>
                <w:sz w:val="20"/>
              </w:rPr>
            </w:r>
          </w:p>
        </w:tc>
        <w:tc>
          <w:tcPr>
            <w:tcW w:w="125" w:type="dxa"/>
            <w:tcBorders/>
            <w:shd w:fill="CCEEFF" w:val="clear"/>
            <w:vAlign w:val="center"/>
          </w:tcPr>
          <w:p>
            <w:pPr>
              <w:pStyle w:val="TableContents"/>
              <w:bidi w:val="0"/>
              <w:spacing w:before="0" w:after="0"/>
              <w:ind w:left="0" w:right="0" w:hanging="0"/>
              <w:jc w:val="left"/>
              <w:rPr>
                <w:sz w:val="20"/>
              </w:rPr>
            </w:pPr>
            <w:r>
              <w:rPr>
                <w:sz w:val="20"/>
              </w:rPr>
              <w:t>$</w:t>
            </w:r>
          </w:p>
        </w:tc>
        <w:tc>
          <w:tcPr>
            <w:tcW w:w="950" w:type="dxa"/>
            <w:tcBorders/>
            <w:shd w:fill="CCEEFF" w:val="clear"/>
            <w:vAlign w:val="center"/>
          </w:tcPr>
          <w:p>
            <w:pPr>
              <w:pStyle w:val="TableContents"/>
              <w:bidi w:val="0"/>
              <w:spacing w:before="0" w:after="0"/>
              <w:ind w:left="0" w:right="0" w:hanging="0"/>
              <w:jc w:val="right"/>
              <w:rPr>
                <w:sz w:val="20"/>
              </w:rPr>
            </w:pPr>
            <w:r>
              <w:rPr>
                <w:sz w:val="20"/>
              </w:rPr>
              <w:t>109.3</w:t>
            </w:r>
          </w:p>
        </w:tc>
        <w:tc>
          <w:tcPr>
            <w:tcW w:w="95" w:type="dxa"/>
            <w:tcBorders/>
            <w:shd w:fill="CCEEFF" w:val="clear"/>
            <w:vAlign w:val="center"/>
          </w:tcPr>
          <w:p>
            <w:pPr>
              <w:pStyle w:val="TableContents"/>
              <w:bidi w:val="0"/>
              <w:spacing w:before="0" w:after="0"/>
              <w:ind w:left="0" w:right="0" w:hanging="0"/>
              <w:jc w:val="left"/>
              <w:rPr>
                <w:sz w:val="20"/>
              </w:rPr>
            </w:pPr>
            <w:r>
              <w:rPr>
                <w:sz w:val="20"/>
              </w:rPr>
            </w:r>
          </w:p>
        </w:tc>
        <w:tc>
          <w:tcPr>
            <w:tcW w:w="23" w:type="dxa"/>
            <w:tcBorders/>
            <w:shd w:fill="CCEEFF" w:val="clear"/>
            <w:vAlign w:val="center"/>
          </w:tcPr>
          <w:p>
            <w:pPr>
              <w:pStyle w:val="TableContents"/>
              <w:bidi w:val="0"/>
              <w:spacing w:before="0" w:after="0"/>
              <w:ind w:left="0" w:right="0" w:hanging="0"/>
              <w:jc w:val="left"/>
              <w:rPr>
                <w:sz w:val="20"/>
              </w:rPr>
            </w:pPr>
            <w:r>
              <w:rPr>
                <w:sz w:val="20"/>
              </w:rPr>
            </w:r>
          </w:p>
        </w:tc>
        <w:tc>
          <w:tcPr>
            <w:tcW w:w="125" w:type="dxa"/>
            <w:tcBorders/>
            <w:shd w:fill="CCEEFF" w:val="clear"/>
            <w:vAlign w:val="center"/>
          </w:tcPr>
          <w:p>
            <w:pPr>
              <w:pStyle w:val="TableContents"/>
              <w:bidi w:val="0"/>
              <w:spacing w:before="0" w:after="0"/>
              <w:ind w:left="0" w:right="0" w:hanging="0"/>
              <w:jc w:val="left"/>
              <w:rPr>
                <w:sz w:val="20"/>
              </w:rPr>
            </w:pPr>
            <w:r>
              <w:rPr>
                <w:sz w:val="20"/>
              </w:rPr>
              <w:t>$</w:t>
            </w:r>
          </w:p>
        </w:tc>
        <w:tc>
          <w:tcPr>
            <w:tcW w:w="950" w:type="dxa"/>
            <w:tcBorders/>
            <w:shd w:fill="CCEEFF" w:val="clear"/>
            <w:vAlign w:val="center"/>
          </w:tcPr>
          <w:p>
            <w:pPr>
              <w:pStyle w:val="TableContents"/>
              <w:bidi w:val="0"/>
              <w:spacing w:before="0" w:after="0"/>
              <w:ind w:left="0" w:right="0" w:hanging="0"/>
              <w:jc w:val="right"/>
              <w:rPr>
                <w:sz w:val="20"/>
              </w:rPr>
            </w:pPr>
            <w:r>
              <w:rPr>
                <w:sz w:val="20"/>
              </w:rPr>
              <w:t>106.2</w:t>
            </w:r>
          </w:p>
        </w:tc>
        <w:tc>
          <w:tcPr>
            <w:tcW w:w="110" w:type="dxa"/>
            <w:tcBorders/>
            <w:shd w:fill="CCEEFF" w:val="clear"/>
            <w:vAlign w:val="center"/>
          </w:tcPr>
          <w:p>
            <w:pPr>
              <w:pStyle w:val="TableContents"/>
              <w:bidi w:val="0"/>
              <w:spacing w:before="0" w:after="0"/>
              <w:ind w:left="0" w:right="0" w:hanging="0"/>
              <w:jc w:val="left"/>
              <w:rPr>
                <w:sz w:val="20"/>
              </w:rPr>
            </w:pPr>
            <w:r>
              <w:rPr>
                <w:sz w:val="20"/>
              </w:rPr>
            </w:r>
          </w:p>
        </w:tc>
      </w:tr>
      <w:tr>
        <w:trPr/>
        <w:tc>
          <w:tcPr>
            <w:tcW w:w="5441" w:type="dxa"/>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sz w:val="20"/>
              </w:rPr>
            </w:pPr>
            <w:r>
              <w:rPr>
                <w:sz w:val="20"/>
              </w:rPr>
            </w:r>
          </w:p>
        </w:tc>
        <w:tc>
          <w:tcPr>
            <w:tcW w:w="950" w:type="dxa"/>
            <w:tcBorders/>
            <w:vAlign w:val="center"/>
          </w:tcPr>
          <w:p>
            <w:pPr>
              <w:pStyle w:val="TableContents"/>
              <w:bidi w:val="0"/>
              <w:spacing w:before="0" w:after="0"/>
              <w:ind w:left="0" w:right="0" w:hanging="0"/>
              <w:jc w:val="left"/>
              <w:rPr>
                <w:sz w:val="20"/>
              </w:rPr>
            </w:pPr>
            <w:r>
              <w:rPr>
                <w:sz w:val="20"/>
              </w:rPr>
            </w:r>
          </w:p>
        </w:tc>
        <w:tc>
          <w:tcPr>
            <w:tcW w:w="95" w:type="dxa"/>
            <w:tcBorders/>
            <w:vAlign w:val="center"/>
          </w:tcPr>
          <w:p>
            <w:pPr>
              <w:pStyle w:val="TableContents"/>
              <w:bidi w:val="0"/>
              <w:spacing w:before="0" w:after="0"/>
              <w:ind w:left="0" w:right="0" w:hanging="0"/>
              <w:jc w:val="left"/>
              <w:rPr>
                <w:sz w:val="20"/>
              </w:rPr>
            </w:pPr>
            <w:r>
              <w:rPr>
                <w:sz w:val="20"/>
              </w:rPr>
            </w:r>
          </w:p>
        </w:tc>
        <w:tc>
          <w:tcPr>
            <w:tcW w:w="23" w:type="dxa"/>
            <w:tcBorders/>
            <w:vAlign w:val="center"/>
          </w:tcPr>
          <w:p>
            <w:pPr>
              <w:pStyle w:val="TableContents"/>
              <w:bidi w:val="0"/>
              <w:spacing w:before="0" w:after="0"/>
              <w:ind w:left="0" w:right="0" w:hanging="0"/>
              <w:jc w:val="left"/>
              <w:rPr>
                <w:sz w:val="20"/>
              </w:rPr>
            </w:pPr>
            <w:r>
              <w:rPr>
                <w:sz w:val="20"/>
              </w:rPr>
            </w:r>
          </w:p>
        </w:tc>
        <w:tc>
          <w:tcPr>
            <w:tcW w:w="125" w:type="dxa"/>
            <w:tcBorders/>
            <w:vAlign w:val="center"/>
          </w:tcPr>
          <w:p>
            <w:pPr>
              <w:pStyle w:val="TableContents"/>
              <w:bidi w:val="0"/>
              <w:spacing w:before="0" w:after="0"/>
              <w:ind w:left="0" w:right="0" w:hanging="0"/>
              <w:jc w:val="left"/>
              <w:rPr>
                <w:sz w:val="20"/>
              </w:rPr>
            </w:pPr>
            <w:r>
              <w:rPr>
                <w:sz w:val="20"/>
              </w:rPr>
            </w:r>
          </w:p>
        </w:tc>
        <w:tc>
          <w:tcPr>
            <w:tcW w:w="950" w:type="dxa"/>
            <w:tcBorders/>
            <w:vAlign w:val="center"/>
          </w:tcPr>
          <w:p>
            <w:pPr>
              <w:pStyle w:val="TableContents"/>
              <w:bidi w:val="0"/>
              <w:spacing w:before="0" w:after="0"/>
              <w:ind w:left="0" w:right="0" w:hanging="0"/>
              <w:jc w:val="left"/>
              <w:rPr>
                <w:sz w:val="20"/>
              </w:rPr>
            </w:pPr>
            <w:r>
              <w:rPr>
                <w:sz w:val="20"/>
              </w:rPr>
            </w:r>
          </w:p>
        </w:tc>
        <w:tc>
          <w:tcPr>
            <w:tcW w:w="95" w:type="dxa"/>
            <w:tcBorders/>
            <w:vAlign w:val="center"/>
          </w:tcPr>
          <w:p>
            <w:pPr>
              <w:pStyle w:val="TableContents"/>
              <w:bidi w:val="0"/>
              <w:spacing w:before="0" w:after="0"/>
              <w:ind w:left="0" w:right="0" w:hanging="0"/>
              <w:jc w:val="left"/>
              <w:rPr>
                <w:sz w:val="20"/>
              </w:rPr>
            </w:pPr>
            <w:r>
              <w:rPr>
                <w:sz w:val="20"/>
              </w:rPr>
            </w:r>
          </w:p>
        </w:tc>
        <w:tc>
          <w:tcPr>
            <w:tcW w:w="23" w:type="dxa"/>
            <w:tcBorders/>
            <w:vAlign w:val="center"/>
          </w:tcPr>
          <w:p>
            <w:pPr>
              <w:pStyle w:val="TableContents"/>
              <w:bidi w:val="0"/>
              <w:spacing w:before="0" w:after="0"/>
              <w:ind w:left="0" w:right="0" w:hanging="0"/>
              <w:jc w:val="left"/>
              <w:rPr>
                <w:sz w:val="20"/>
              </w:rPr>
            </w:pPr>
            <w:r>
              <w:rPr>
                <w:sz w:val="20"/>
              </w:rPr>
            </w:r>
          </w:p>
        </w:tc>
        <w:tc>
          <w:tcPr>
            <w:tcW w:w="125" w:type="dxa"/>
            <w:tcBorders/>
            <w:vAlign w:val="center"/>
          </w:tcPr>
          <w:p>
            <w:pPr>
              <w:pStyle w:val="TableContents"/>
              <w:bidi w:val="0"/>
              <w:spacing w:before="0" w:after="0"/>
              <w:ind w:left="0" w:right="0" w:hanging="0"/>
              <w:jc w:val="left"/>
              <w:rPr>
                <w:sz w:val="20"/>
              </w:rPr>
            </w:pPr>
            <w:r>
              <w:rPr>
                <w:sz w:val="20"/>
              </w:rPr>
            </w:r>
          </w:p>
        </w:tc>
        <w:tc>
          <w:tcPr>
            <w:tcW w:w="950" w:type="dxa"/>
            <w:tcBorders/>
            <w:vAlign w:val="center"/>
          </w:tcPr>
          <w:p>
            <w:pPr>
              <w:pStyle w:val="TableContents"/>
              <w:bidi w:val="0"/>
              <w:spacing w:before="0" w:after="0"/>
              <w:ind w:left="0" w:right="0" w:hanging="0"/>
              <w:jc w:val="left"/>
              <w:rPr>
                <w:sz w:val="20"/>
              </w:rPr>
            </w:pPr>
            <w:r>
              <w:rPr>
                <w:sz w:val="20"/>
              </w:rPr>
            </w:r>
          </w:p>
        </w:tc>
        <w:tc>
          <w:tcPr>
            <w:tcW w:w="95" w:type="dxa"/>
            <w:tcBorders/>
            <w:vAlign w:val="center"/>
          </w:tcPr>
          <w:p>
            <w:pPr>
              <w:pStyle w:val="TableContents"/>
              <w:bidi w:val="0"/>
              <w:spacing w:before="0" w:after="0"/>
              <w:ind w:left="0" w:right="0" w:hanging="0"/>
              <w:jc w:val="left"/>
              <w:rPr>
                <w:sz w:val="20"/>
              </w:rPr>
            </w:pPr>
            <w:r>
              <w:rPr>
                <w:sz w:val="20"/>
              </w:rPr>
            </w:r>
          </w:p>
        </w:tc>
        <w:tc>
          <w:tcPr>
            <w:tcW w:w="23" w:type="dxa"/>
            <w:tcBorders/>
            <w:vAlign w:val="center"/>
          </w:tcPr>
          <w:p>
            <w:pPr>
              <w:pStyle w:val="TableContents"/>
              <w:bidi w:val="0"/>
              <w:spacing w:before="0" w:after="0"/>
              <w:ind w:left="0" w:right="0" w:hanging="0"/>
              <w:jc w:val="left"/>
              <w:rPr>
                <w:sz w:val="20"/>
              </w:rPr>
            </w:pPr>
            <w:r>
              <w:rPr>
                <w:sz w:val="20"/>
              </w:rPr>
            </w:r>
          </w:p>
        </w:tc>
        <w:tc>
          <w:tcPr>
            <w:tcW w:w="125" w:type="dxa"/>
            <w:tcBorders/>
            <w:vAlign w:val="center"/>
          </w:tcPr>
          <w:p>
            <w:pPr>
              <w:pStyle w:val="TableContents"/>
              <w:bidi w:val="0"/>
              <w:spacing w:before="0" w:after="0"/>
              <w:ind w:left="0" w:right="0" w:hanging="0"/>
              <w:jc w:val="left"/>
              <w:rPr>
                <w:sz w:val="20"/>
              </w:rPr>
            </w:pPr>
            <w:r>
              <w:rPr>
                <w:sz w:val="20"/>
              </w:rPr>
            </w:r>
          </w:p>
        </w:tc>
        <w:tc>
          <w:tcPr>
            <w:tcW w:w="950" w:type="dxa"/>
            <w:tcBorders/>
            <w:vAlign w:val="center"/>
          </w:tcPr>
          <w:p>
            <w:pPr>
              <w:pStyle w:val="TableContents"/>
              <w:bidi w:val="0"/>
              <w:spacing w:before="0" w:after="0"/>
              <w:ind w:left="0" w:right="0" w:hanging="0"/>
              <w:jc w:val="left"/>
              <w:rPr>
                <w:sz w:val="20"/>
              </w:rPr>
            </w:pPr>
            <w:r>
              <w:rPr>
                <w:sz w:val="20"/>
              </w:rPr>
            </w:r>
          </w:p>
        </w:tc>
        <w:tc>
          <w:tcPr>
            <w:tcW w:w="110" w:type="dxa"/>
            <w:tcBorders/>
            <w:vAlign w:val="center"/>
          </w:tcPr>
          <w:p>
            <w:pPr>
              <w:pStyle w:val="TableContents"/>
              <w:bidi w:val="0"/>
              <w:spacing w:before="0" w:after="0"/>
              <w:ind w:left="0" w:right="0" w:hanging="0"/>
              <w:jc w:val="left"/>
              <w:rPr>
                <w:sz w:val="20"/>
              </w:rPr>
            </w:pPr>
            <w:r>
              <w:rPr>
                <w:sz w:val="20"/>
              </w:rPr>
            </w:r>
          </w:p>
        </w:tc>
      </w:tr>
      <w:tr>
        <w:trPr/>
        <w:tc>
          <w:tcPr>
            <w:tcW w:w="5441"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Earnings per share attributable to Euronet Worldwide, Inc. stockholders:</w:t>
            </w:r>
          </w:p>
        </w:tc>
        <w:tc>
          <w:tcPr>
            <w:tcW w:w="125" w:type="dxa"/>
            <w:tcBorders/>
            <w:shd w:fill="CCEEFF" w:val="clear"/>
            <w:vAlign w:val="center"/>
          </w:tcPr>
          <w:p>
            <w:pPr>
              <w:pStyle w:val="TableContents"/>
              <w:bidi w:val="0"/>
              <w:spacing w:before="0" w:after="0"/>
              <w:ind w:left="0" w:right="0" w:hanging="0"/>
              <w:jc w:val="left"/>
              <w:rPr>
                <w:sz w:val="20"/>
              </w:rPr>
            </w:pPr>
            <w:r>
              <w:rPr>
                <w:sz w:val="20"/>
              </w:rPr>
            </w:r>
          </w:p>
        </w:tc>
        <w:tc>
          <w:tcPr>
            <w:tcW w:w="950" w:type="dxa"/>
            <w:tcBorders/>
            <w:shd w:fill="CCEEFF" w:val="clear"/>
            <w:vAlign w:val="center"/>
          </w:tcPr>
          <w:p>
            <w:pPr>
              <w:pStyle w:val="TableContents"/>
              <w:bidi w:val="0"/>
              <w:spacing w:before="0" w:after="0"/>
              <w:ind w:left="0" w:right="0" w:hanging="0"/>
              <w:jc w:val="left"/>
              <w:rPr>
                <w:sz w:val="20"/>
              </w:rPr>
            </w:pPr>
            <w:r>
              <w:rPr>
                <w:sz w:val="20"/>
              </w:rPr>
            </w:r>
          </w:p>
        </w:tc>
        <w:tc>
          <w:tcPr>
            <w:tcW w:w="95" w:type="dxa"/>
            <w:tcBorders/>
            <w:shd w:fill="CCEEFF" w:val="clear"/>
            <w:vAlign w:val="center"/>
          </w:tcPr>
          <w:p>
            <w:pPr>
              <w:pStyle w:val="TableContents"/>
              <w:bidi w:val="0"/>
              <w:spacing w:before="0" w:after="0"/>
              <w:ind w:left="0" w:right="0" w:hanging="0"/>
              <w:jc w:val="left"/>
              <w:rPr>
                <w:sz w:val="20"/>
              </w:rPr>
            </w:pPr>
            <w:r>
              <w:rPr>
                <w:sz w:val="20"/>
              </w:rPr>
            </w:r>
          </w:p>
        </w:tc>
        <w:tc>
          <w:tcPr>
            <w:tcW w:w="23" w:type="dxa"/>
            <w:tcBorders/>
            <w:shd w:fill="CCEEFF" w:val="clear"/>
            <w:vAlign w:val="center"/>
          </w:tcPr>
          <w:p>
            <w:pPr>
              <w:pStyle w:val="TableContents"/>
              <w:bidi w:val="0"/>
              <w:spacing w:before="0" w:after="0"/>
              <w:ind w:left="0" w:right="0" w:hanging="0"/>
              <w:jc w:val="left"/>
              <w:rPr>
                <w:sz w:val="20"/>
              </w:rPr>
            </w:pPr>
            <w:r>
              <w:rPr>
                <w:sz w:val="20"/>
              </w:rPr>
            </w:r>
          </w:p>
        </w:tc>
        <w:tc>
          <w:tcPr>
            <w:tcW w:w="125" w:type="dxa"/>
            <w:tcBorders/>
            <w:shd w:fill="CCEEFF" w:val="clear"/>
            <w:vAlign w:val="center"/>
          </w:tcPr>
          <w:p>
            <w:pPr>
              <w:pStyle w:val="TableContents"/>
              <w:bidi w:val="0"/>
              <w:spacing w:before="0" w:after="0"/>
              <w:ind w:left="0" w:right="0" w:hanging="0"/>
              <w:jc w:val="left"/>
              <w:rPr>
                <w:sz w:val="20"/>
              </w:rPr>
            </w:pPr>
            <w:r>
              <w:rPr>
                <w:sz w:val="20"/>
              </w:rPr>
            </w:r>
          </w:p>
        </w:tc>
        <w:tc>
          <w:tcPr>
            <w:tcW w:w="950" w:type="dxa"/>
            <w:tcBorders/>
            <w:shd w:fill="CCEEFF" w:val="clear"/>
            <w:vAlign w:val="center"/>
          </w:tcPr>
          <w:p>
            <w:pPr>
              <w:pStyle w:val="TableContents"/>
              <w:bidi w:val="0"/>
              <w:spacing w:before="0" w:after="0"/>
              <w:ind w:left="0" w:right="0" w:hanging="0"/>
              <w:jc w:val="left"/>
              <w:rPr>
                <w:sz w:val="20"/>
              </w:rPr>
            </w:pPr>
            <w:r>
              <w:rPr>
                <w:sz w:val="20"/>
              </w:rPr>
            </w:r>
          </w:p>
        </w:tc>
        <w:tc>
          <w:tcPr>
            <w:tcW w:w="95" w:type="dxa"/>
            <w:tcBorders/>
            <w:shd w:fill="CCEEFF" w:val="clear"/>
            <w:vAlign w:val="center"/>
          </w:tcPr>
          <w:p>
            <w:pPr>
              <w:pStyle w:val="TableContents"/>
              <w:bidi w:val="0"/>
              <w:spacing w:before="0" w:after="0"/>
              <w:ind w:left="0" w:right="0" w:hanging="0"/>
              <w:jc w:val="left"/>
              <w:rPr>
                <w:sz w:val="20"/>
              </w:rPr>
            </w:pPr>
            <w:r>
              <w:rPr>
                <w:sz w:val="20"/>
              </w:rPr>
            </w:r>
          </w:p>
        </w:tc>
        <w:tc>
          <w:tcPr>
            <w:tcW w:w="23" w:type="dxa"/>
            <w:tcBorders/>
            <w:shd w:fill="CCEEFF" w:val="clear"/>
            <w:vAlign w:val="center"/>
          </w:tcPr>
          <w:p>
            <w:pPr>
              <w:pStyle w:val="TableContents"/>
              <w:bidi w:val="0"/>
              <w:spacing w:before="0" w:after="0"/>
              <w:ind w:left="0" w:right="0" w:hanging="0"/>
              <w:jc w:val="left"/>
              <w:rPr>
                <w:sz w:val="20"/>
              </w:rPr>
            </w:pPr>
            <w:r>
              <w:rPr>
                <w:sz w:val="20"/>
              </w:rPr>
            </w:r>
          </w:p>
        </w:tc>
        <w:tc>
          <w:tcPr>
            <w:tcW w:w="125" w:type="dxa"/>
            <w:tcBorders/>
            <w:shd w:fill="CCEEFF" w:val="clear"/>
            <w:vAlign w:val="center"/>
          </w:tcPr>
          <w:p>
            <w:pPr>
              <w:pStyle w:val="TableContents"/>
              <w:bidi w:val="0"/>
              <w:spacing w:before="0" w:after="0"/>
              <w:ind w:left="0" w:right="0" w:hanging="0"/>
              <w:jc w:val="left"/>
              <w:rPr>
                <w:sz w:val="20"/>
              </w:rPr>
            </w:pPr>
            <w:r>
              <w:rPr>
                <w:sz w:val="20"/>
              </w:rPr>
            </w:r>
          </w:p>
        </w:tc>
        <w:tc>
          <w:tcPr>
            <w:tcW w:w="950" w:type="dxa"/>
            <w:tcBorders/>
            <w:shd w:fill="CCEEFF" w:val="clear"/>
            <w:vAlign w:val="center"/>
          </w:tcPr>
          <w:p>
            <w:pPr>
              <w:pStyle w:val="TableContents"/>
              <w:bidi w:val="0"/>
              <w:spacing w:before="0" w:after="0"/>
              <w:ind w:left="0" w:right="0" w:hanging="0"/>
              <w:jc w:val="left"/>
              <w:rPr>
                <w:sz w:val="20"/>
              </w:rPr>
            </w:pPr>
            <w:r>
              <w:rPr>
                <w:sz w:val="20"/>
              </w:rPr>
            </w:r>
          </w:p>
        </w:tc>
        <w:tc>
          <w:tcPr>
            <w:tcW w:w="95" w:type="dxa"/>
            <w:tcBorders/>
            <w:shd w:fill="CCEEFF" w:val="clear"/>
            <w:vAlign w:val="center"/>
          </w:tcPr>
          <w:p>
            <w:pPr>
              <w:pStyle w:val="TableContents"/>
              <w:bidi w:val="0"/>
              <w:spacing w:before="0" w:after="0"/>
              <w:ind w:left="0" w:right="0" w:hanging="0"/>
              <w:jc w:val="left"/>
              <w:rPr>
                <w:sz w:val="20"/>
              </w:rPr>
            </w:pPr>
            <w:r>
              <w:rPr>
                <w:sz w:val="20"/>
              </w:rPr>
            </w:r>
          </w:p>
        </w:tc>
        <w:tc>
          <w:tcPr>
            <w:tcW w:w="23" w:type="dxa"/>
            <w:tcBorders/>
            <w:shd w:fill="CCEEFF" w:val="clear"/>
            <w:vAlign w:val="center"/>
          </w:tcPr>
          <w:p>
            <w:pPr>
              <w:pStyle w:val="TableContents"/>
              <w:bidi w:val="0"/>
              <w:spacing w:before="0" w:after="0"/>
              <w:ind w:left="0" w:right="0" w:hanging="0"/>
              <w:jc w:val="left"/>
              <w:rPr>
                <w:sz w:val="20"/>
              </w:rPr>
            </w:pPr>
            <w:r>
              <w:rPr>
                <w:sz w:val="20"/>
              </w:rPr>
            </w:r>
          </w:p>
        </w:tc>
        <w:tc>
          <w:tcPr>
            <w:tcW w:w="125" w:type="dxa"/>
            <w:tcBorders/>
            <w:shd w:fill="CCEEFF" w:val="clear"/>
            <w:vAlign w:val="center"/>
          </w:tcPr>
          <w:p>
            <w:pPr>
              <w:pStyle w:val="TableContents"/>
              <w:bidi w:val="0"/>
              <w:spacing w:before="0" w:after="0"/>
              <w:ind w:left="0" w:right="0" w:hanging="0"/>
              <w:jc w:val="left"/>
              <w:rPr>
                <w:sz w:val="20"/>
              </w:rPr>
            </w:pPr>
            <w:r>
              <w:rPr>
                <w:sz w:val="20"/>
              </w:rPr>
            </w:r>
          </w:p>
        </w:tc>
        <w:tc>
          <w:tcPr>
            <w:tcW w:w="950" w:type="dxa"/>
            <w:tcBorders/>
            <w:shd w:fill="CCEEFF" w:val="clear"/>
            <w:vAlign w:val="center"/>
          </w:tcPr>
          <w:p>
            <w:pPr>
              <w:pStyle w:val="TableContents"/>
              <w:bidi w:val="0"/>
              <w:spacing w:before="0" w:after="0"/>
              <w:ind w:left="0" w:right="0" w:hanging="0"/>
              <w:jc w:val="left"/>
              <w:rPr>
                <w:sz w:val="20"/>
              </w:rPr>
            </w:pPr>
            <w:r>
              <w:rPr>
                <w:sz w:val="20"/>
              </w:rPr>
            </w:r>
          </w:p>
        </w:tc>
        <w:tc>
          <w:tcPr>
            <w:tcW w:w="110" w:type="dxa"/>
            <w:tcBorders/>
            <w:shd w:fill="CCEEFF" w:val="clear"/>
            <w:vAlign w:val="center"/>
          </w:tcPr>
          <w:p>
            <w:pPr>
              <w:pStyle w:val="TableContents"/>
              <w:bidi w:val="0"/>
              <w:spacing w:before="0" w:after="0"/>
              <w:ind w:left="0" w:right="0" w:hanging="0"/>
              <w:jc w:val="left"/>
              <w:rPr>
                <w:sz w:val="20"/>
              </w:rPr>
            </w:pPr>
            <w:r>
              <w:rPr>
                <w:sz w:val="20"/>
              </w:rPr>
            </w:r>
          </w:p>
        </w:tc>
      </w:tr>
      <w:tr>
        <w:trPr/>
        <w:tc>
          <w:tcPr>
            <w:tcW w:w="5441"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Basic</w:t>
            </w:r>
          </w:p>
        </w:tc>
        <w:tc>
          <w:tcPr>
            <w:tcW w:w="125" w:type="dxa"/>
            <w:tcBorders/>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950" w:type="dxa"/>
            <w:tcBorders/>
            <w:vAlign w:val="center"/>
          </w:tcPr>
          <w:p>
            <w:pPr>
              <w:pStyle w:val="TableContents"/>
              <w:bidi w:val="0"/>
              <w:spacing w:before="0" w:after="0"/>
              <w:jc w:val="right"/>
              <w:rPr>
                <w:sz w:val="20"/>
              </w:rPr>
            </w:pPr>
            <w:r>
              <w:rPr>
                <w:sz w:val="20"/>
              </w:rPr>
              <w:t>1.83</w:t>
            </w:r>
          </w:p>
        </w:tc>
        <w:tc>
          <w:tcPr>
            <w:tcW w:w="95" w:type="dxa"/>
            <w:tcBorders/>
            <w:vAlign w:val="center"/>
          </w:tcPr>
          <w:p>
            <w:pPr>
              <w:pStyle w:val="TableContents"/>
              <w:bidi w:val="0"/>
              <w:spacing w:before="0" w:after="0"/>
              <w:ind w:left="0" w:right="0" w:hanging="0"/>
              <w:jc w:val="left"/>
              <w:rPr>
                <w:sz w:val="20"/>
              </w:rPr>
            </w:pPr>
            <w:r>
              <w:rPr>
                <w:sz w:val="20"/>
              </w:rPr>
            </w:r>
          </w:p>
        </w:tc>
        <w:tc>
          <w:tcPr>
            <w:tcW w:w="23" w:type="dxa"/>
            <w:tcBorders/>
            <w:vAlign w:val="center"/>
          </w:tcPr>
          <w:p>
            <w:pPr>
              <w:pStyle w:val="TableContents"/>
              <w:bidi w:val="0"/>
              <w:spacing w:before="0" w:after="0"/>
              <w:ind w:left="0" w:right="0" w:hanging="0"/>
              <w:jc w:val="left"/>
              <w:rPr>
                <w:sz w:val="20"/>
              </w:rPr>
            </w:pPr>
            <w:r>
              <w:rPr>
                <w:sz w:val="20"/>
              </w:rPr>
            </w:r>
          </w:p>
        </w:tc>
        <w:tc>
          <w:tcPr>
            <w:tcW w:w="125" w:type="dxa"/>
            <w:tcBorders/>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950" w:type="dxa"/>
            <w:tcBorders/>
            <w:vAlign w:val="center"/>
          </w:tcPr>
          <w:p>
            <w:pPr>
              <w:pStyle w:val="TableContents"/>
              <w:bidi w:val="0"/>
              <w:spacing w:before="0" w:after="283"/>
              <w:jc w:val="right"/>
              <w:rPr/>
            </w:pPr>
            <w:r>
              <w:rPr/>
              <w:t>1.73</w:t>
            </w:r>
          </w:p>
        </w:tc>
        <w:tc>
          <w:tcPr>
            <w:tcW w:w="95" w:type="dxa"/>
            <w:tcBorders/>
            <w:vAlign w:val="center"/>
          </w:tcPr>
          <w:p>
            <w:pPr>
              <w:pStyle w:val="TableContents"/>
              <w:bidi w:val="0"/>
              <w:spacing w:before="0" w:after="0"/>
              <w:ind w:left="0" w:right="0" w:hanging="0"/>
              <w:jc w:val="left"/>
              <w:rPr>
                <w:sz w:val="20"/>
              </w:rPr>
            </w:pPr>
            <w:r>
              <w:rPr>
                <w:sz w:val="20"/>
              </w:rPr>
            </w:r>
          </w:p>
        </w:tc>
        <w:tc>
          <w:tcPr>
            <w:tcW w:w="23" w:type="dxa"/>
            <w:tcBorders/>
            <w:vAlign w:val="center"/>
          </w:tcPr>
          <w:p>
            <w:pPr>
              <w:pStyle w:val="TableContents"/>
              <w:bidi w:val="0"/>
              <w:spacing w:before="0" w:after="0"/>
              <w:ind w:left="0" w:right="0" w:hanging="0"/>
              <w:jc w:val="left"/>
              <w:rPr>
                <w:sz w:val="20"/>
              </w:rPr>
            </w:pPr>
            <w:r>
              <w:rPr>
                <w:sz w:val="20"/>
              </w:rPr>
            </w:r>
          </w:p>
        </w:tc>
        <w:tc>
          <w:tcPr>
            <w:tcW w:w="125" w:type="dxa"/>
            <w:tcBorders/>
            <w:vAlign w:val="center"/>
          </w:tcPr>
          <w:p>
            <w:pPr>
              <w:pStyle w:val="TableContents"/>
              <w:bidi w:val="0"/>
              <w:spacing w:before="0" w:after="0"/>
              <w:ind w:left="0" w:right="0" w:hanging="0"/>
              <w:jc w:val="left"/>
              <w:rPr>
                <w:sz w:val="20"/>
              </w:rPr>
            </w:pPr>
            <w:r>
              <w:rPr>
                <w:sz w:val="20"/>
              </w:rPr>
              <w:t>$</w:t>
            </w:r>
          </w:p>
        </w:tc>
        <w:tc>
          <w:tcPr>
            <w:tcW w:w="950" w:type="dxa"/>
            <w:tcBorders/>
            <w:vAlign w:val="center"/>
          </w:tcPr>
          <w:p>
            <w:pPr>
              <w:pStyle w:val="TableContents"/>
              <w:bidi w:val="0"/>
              <w:spacing w:before="0" w:after="0"/>
              <w:ind w:left="0" w:right="0" w:hanging="0"/>
              <w:jc w:val="right"/>
              <w:rPr>
                <w:sz w:val="20"/>
              </w:rPr>
            </w:pPr>
            <w:r>
              <w:rPr>
                <w:sz w:val="20"/>
              </w:rPr>
              <w:t>2.40</w:t>
            </w:r>
          </w:p>
        </w:tc>
        <w:tc>
          <w:tcPr>
            <w:tcW w:w="95" w:type="dxa"/>
            <w:tcBorders/>
            <w:vAlign w:val="center"/>
          </w:tcPr>
          <w:p>
            <w:pPr>
              <w:pStyle w:val="TableContents"/>
              <w:bidi w:val="0"/>
              <w:spacing w:before="0" w:after="0"/>
              <w:ind w:left="0" w:right="0" w:hanging="0"/>
              <w:jc w:val="left"/>
              <w:rPr>
                <w:sz w:val="20"/>
              </w:rPr>
            </w:pPr>
            <w:r>
              <w:rPr>
                <w:sz w:val="20"/>
              </w:rPr>
            </w:r>
          </w:p>
        </w:tc>
        <w:tc>
          <w:tcPr>
            <w:tcW w:w="23" w:type="dxa"/>
            <w:tcBorders/>
            <w:vAlign w:val="center"/>
          </w:tcPr>
          <w:p>
            <w:pPr>
              <w:pStyle w:val="TableContents"/>
              <w:bidi w:val="0"/>
              <w:spacing w:before="0" w:after="0"/>
              <w:ind w:left="0" w:right="0" w:hanging="0"/>
              <w:jc w:val="left"/>
              <w:rPr>
                <w:sz w:val="20"/>
              </w:rPr>
            </w:pPr>
            <w:r>
              <w:rPr>
                <w:sz w:val="20"/>
              </w:rPr>
            </w:r>
          </w:p>
        </w:tc>
        <w:tc>
          <w:tcPr>
            <w:tcW w:w="125" w:type="dxa"/>
            <w:tcBorders/>
            <w:vAlign w:val="center"/>
          </w:tcPr>
          <w:p>
            <w:pPr>
              <w:pStyle w:val="TableContents"/>
              <w:bidi w:val="0"/>
              <w:spacing w:before="0" w:after="0"/>
              <w:ind w:left="0" w:right="0" w:hanging="0"/>
              <w:jc w:val="left"/>
              <w:rPr>
                <w:sz w:val="20"/>
              </w:rPr>
            </w:pPr>
            <w:r>
              <w:rPr>
                <w:sz w:val="20"/>
              </w:rPr>
              <w:t>$</w:t>
            </w:r>
          </w:p>
        </w:tc>
        <w:tc>
          <w:tcPr>
            <w:tcW w:w="950" w:type="dxa"/>
            <w:tcBorders/>
            <w:vAlign w:val="center"/>
          </w:tcPr>
          <w:p>
            <w:pPr>
              <w:pStyle w:val="TableContents"/>
              <w:bidi w:val="0"/>
              <w:spacing w:before="0" w:after="0"/>
              <w:ind w:left="0" w:right="0" w:hanging="0"/>
              <w:jc w:val="right"/>
              <w:rPr>
                <w:sz w:val="20"/>
              </w:rPr>
            </w:pPr>
            <w:r>
              <w:rPr>
                <w:sz w:val="20"/>
              </w:rPr>
              <w:t>2.14</w:t>
            </w:r>
          </w:p>
        </w:tc>
        <w:tc>
          <w:tcPr>
            <w:tcW w:w="110" w:type="dxa"/>
            <w:tcBorders/>
            <w:vAlign w:val="center"/>
          </w:tcPr>
          <w:p>
            <w:pPr>
              <w:pStyle w:val="TableContents"/>
              <w:bidi w:val="0"/>
              <w:spacing w:before="0" w:after="0"/>
              <w:ind w:left="0" w:right="0" w:hanging="0"/>
              <w:jc w:val="left"/>
              <w:rPr>
                <w:sz w:val="20"/>
              </w:rPr>
            </w:pPr>
            <w:r>
              <w:rPr>
                <w:sz w:val="20"/>
              </w:rPr>
            </w:r>
          </w:p>
        </w:tc>
      </w:tr>
      <w:tr>
        <w:trPr/>
        <w:tc>
          <w:tcPr>
            <w:tcW w:w="5441"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Diluted</w:t>
            </w:r>
          </w:p>
        </w:tc>
        <w:tc>
          <w:tcPr>
            <w:tcW w:w="125" w:type="dxa"/>
            <w:tcBorders/>
            <w:shd w:fill="CCEEFF" w:val="clear"/>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950" w:type="dxa"/>
            <w:tcBorders/>
            <w:shd w:fill="CCEEFF" w:val="clear"/>
            <w:vAlign w:val="center"/>
          </w:tcPr>
          <w:p>
            <w:pPr>
              <w:pStyle w:val="TableContents"/>
              <w:bidi w:val="0"/>
              <w:spacing w:before="0" w:after="0"/>
              <w:ind w:left="0" w:right="0" w:hanging="0"/>
              <w:jc w:val="right"/>
              <w:rPr>
                <w:sz w:val="20"/>
              </w:rPr>
            </w:pPr>
            <w:r>
              <w:rPr>
                <w:sz w:val="20"/>
              </w:rPr>
              <w:t>1.73</w:t>
            </w:r>
          </w:p>
        </w:tc>
        <w:tc>
          <w:tcPr>
            <w:tcW w:w="95" w:type="dxa"/>
            <w:tcBorders/>
            <w:shd w:fill="CCEEFF" w:val="clear"/>
            <w:vAlign w:val="center"/>
          </w:tcPr>
          <w:p>
            <w:pPr>
              <w:pStyle w:val="TableContents"/>
              <w:bidi w:val="0"/>
              <w:spacing w:before="0" w:after="0"/>
              <w:ind w:left="0" w:right="0" w:hanging="0"/>
              <w:jc w:val="left"/>
              <w:rPr>
                <w:sz w:val="20"/>
              </w:rPr>
            </w:pPr>
            <w:r>
              <w:rPr>
                <w:sz w:val="20"/>
              </w:rPr>
            </w:r>
          </w:p>
        </w:tc>
        <w:tc>
          <w:tcPr>
            <w:tcW w:w="23" w:type="dxa"/>
            <w:tcBorders/>
            <w:shd w:fill="CCEEFF" w:val="clear"/>
            <w:vAlign w:val="center"/>
          </w:tcPr>
          <w:p>
            <w:pPr>
              <w:pStyle w:val="TableContents"/>
              <w:bidi w:val="0"/>
              <w:spacing w:before="0" w:after="0"/>
              <w:ind w:left="0" w:right="0" w:hanging="0"/>
              <w:jc w:val="left"/>
              <w:rPr>
                <w:sz w:val="20"/>
              </w:rPr>
            </w:pPr>
            <w:r>
              <w:rPr>
                <w:sz w:val="20"/>
              </w:rPr>
            </w:r>
          </w:p>
        </w:tc>
        <w:tc>
          <w:tcPr>
            <w:tcW w:w="125" w:type="dxa"/>
            <w:tcBorders/>
            <w:shd w:fill="CCEEFF" w:val="clear"/>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950" w:type="dxa"/>
            <w:tcBorders/>
            <w:shd w:fill="CCEEFF" w:val="clear"/>
            <w:vAlign w:val="center"/>
          </w:tcPr>
          <w:p>
            <w:pPr>
              <w:pStyle w:val="TableContents"/>
              <w:bidi w:val="0"/>
              <w:spacing w:before="0" w:after="0"/>
              <w:ind w:left="0" w:right="0" w:hanging="0"/>
              <w:jc w:val="right"/>
              <w:rPr/>
            </w:pPr>
            <w:r>
              <w:rPr/>
              <w:t>1.65</w:t>
            </w:r>
          </w:p>
        </w:tc>
        <w:tc>
          <w:tcPr>
            <w:tcW w:w="95" w:type="dxa"/>
            <w:tcBorders/>
            <w:shd w:fill="CCEEFF" w:val="clear"/>
            <w:vAlign w:val="center"/>
          </w:tcPr>
          <w:p>
            <w:pPr>
              <w:pStyle w:val="TableContents"/>
              <w:bidi w:val="0"/>
              <w:spacing w:before="0" w:after="0"/>
              <w:ind w:left="0" w:right="0" w:hanging="0"/>
              <w:jc w:val="left"/>
              <w:rPr>
                <w:sz w:val="20"/>
              </w:rPr>
            </w:pPr>
            <w:r>
              <w:rPr>
                <w:sz w:val="20"/>
              </w:rPr>
            </w:r>
          </w:p>
        </w:tc>
        <w:tc>
          <w:tcPr>
            <w:tcW w:w="23" w:type="dxa"/>
            <w:tcBorders/>
            <w:shd w:fill="CCEEFF" w:val="clear"/>
            <w:vAlign w:val="center"/>
          </w:tcPr>
          <w:p>
            <w:pPr>
              <w:pStyle w:val="TableContents"/>
              <w:bidi w:val="0"/>
              <w:spacing w:before="0" w:after="0"/>
              <w:ind w:left="0" w:right="0" w:hanging="0"/>
              <w:jc w:val="left"/>
              <w:rPr>
                <w:sz w:val="20"/>
              </w:rPr>
            </w:pPr>
            <w:r>
              <w:rPr>
                <w:sz w:val="20"/>
              </w:rPr>
            </w:r>
          </w:p>
        </w:tc>
        <w:tc>
          <w:tcPr>
            <w:tcW w:w="125" w:type="dxa"/>
            <w:tcBorders/>
            <w:shd w:fill="CCEEFF" w:val="clear"/>
            <w:vAlign w:val="center"/>
          </w:tcPr>
          <w:p>
            <w:pPr>
              <w:pStyle w:val="TableContents"/>
              <w:bidi w:val="0"/>
              <w:spacing w:before="0" w:after="0"/>
              <w:ind w:left="0" w:right="0" w:hanging="0"/>
              <w:jc w:val="left"/>
              <w:rPr>
                <w:sz w:val="20"/>
              </w:rPr>
            </w:pPr>
            <w:r>
              <w:rPr>
                <w:sz w:val="20"/>
              </w:rPr>
              <w:t>$</w:t>
            </w:r>
          </w:p>
        </w:tc>
        <w:tc>
          <w:tcPr>
            <w:tcW w:w="950" w:type="dxa"/>
            <w:tcBorders/>
            <w:shd w:fill="CCEEFF" w:val="clear"/>
            <w:vAlign w:val="center"/>
          </w:tcPr>
          <w:p>
            <w:pPr>
              <w:pStyle w:val="TableContents"/>
              <w:bidi w:val="0"/>
              <w:spacing w:before="0" w:after="0"/>
              <w:ind w:left="0" w:right="0" w:hanging="0"/>
              <w:jc w:val="right"/>
              <w:rPr>
                <w:sz w:val="20"/>
              </w:rPr>
            </w:pPr>
            <w:r>
              <w:rPr>
                <w:sz w:val="20"/>
              </w:rPr>
              <w:t>2.28</w:t>
            </w:r>
          </w:p>
        </w:tc>
        <w:tc>
          <w:tcPr>
            <w:tcW w:w="95" w:type="dxa"/>
            <w:tcBorders/>
            <w:shd w:fill="CCEEFF" w:val="clear"/>
            <w:vAlign w:val="center"/>
          </w:tcPr>
          <w:p>
            <w:pPr>
              <w:pStyle w:val="TableContents"/>
              <w:bidi w:val="0"/>
              <w:spacing w:before="0" w:after="0"/>
              <w:ind w:left="0" w:right="0" w:hanging="0"/>
              <w:jc w:val="left"/>
              <w:rPr>
                <w:sz w:val="20"/>
              </w:rPr>
            </w:pPr>
            <w:r>
              <w:rPr>
                <w:sz w:val="20"/>
              </w:rPr>
            </w:r>
          </w:p>
        </w:tc>
        <w:tc>
          <w:tcPr>
            <w:tcW w:w="23" w:type="dxa"/>
            <w:tcBorders/>
            <w:shd w:fill="CCEEFF" w:val="clear"/>
            <w:vAlign w:val="center"/>
          </w:tcPr>
          <w:p>
            <w:pPr>
              <w:pStyle w:val="TableContents"/>
              <w:bidi w:val="0"/>
              <w:spacing w:before="0" w:after="0"/>
              <w:ind w:left="0" w:right="0" w:hanging="0"/>
              <w:jc w:val="left"/>
              <w:rPr>
                <w:sz w:val="20"/>
              </w:rPr>
            </w:pPr>
            <w:r>
              <w:rPr>
                <w:sz w:val="20"/>
              </w:rPr>
            </w:r>
          </w:p>
        </w:tc>
        <w:tc>
          <w:tcPr>
            <w:tcW w:w="125" w:type="dxa"/>
            <w:tcBorders/>
            <w:shd w:fill="CCEEFF" w:val="clear"/>
            <w:vAlign w:val="center"/>
          </w:tcPr>
          <w:p>
            <w:pPr>
              <w:pStyle w:val="TableContents"/>
              <w:bidi w:val="0"/>
              <w:spacing w:before="0" w:after="0"/>
              <w:ind w:left="0" w:right="0" w:hanging="0"/>
              <w:jc w:val="left"/>
              <w:rPr>
                <w:sz w:val="20"/>
              </w:rPr>
            </w:pPr>
            <w:r>
              <w:rPr>
                <w:sz w:val="20"/>
              </w:rPr>
              <w:t>$</w:t>
            </w:r>
          </w:p>
        </w:tc>
        <w:tc>
          <w:tcPr>
            <w:tcW w:w="950" w:type="dxa"/>
            <w:tcBorders/>
            <w:shd w:fill="CCEEFF" w:val="clear"/>
            <w:vAlign w:val="center"/>
          </w:tcPr>
          <w:p>
            <w:pPr>
              <w:pStyle w:val="TableContents"/>
              <w:bidi w:val="0"/>
              <w:spacing w:before="0" w:after="0"/>
              <w:ind w:left="0" w:right="0" w:hanging="0"/>
              <w:jc w:val="right"/>
              <w:rPr>
                <w:sz w:val="20"/>
              </w:rPr>
            </w:pPr>
            <w:r>
              <w:rPr>
                <w:sz w:val="20"/>
              </w:rPr>
              <w:t>2.05</w:t>
            </w:r>
          </w:p>
        </w:tc>
        <w:tc>
          <w:tcPr>
            <w:tcW w:w="110" w:type="dxa"/>
            <w:tcBorders/>
            <w:shd w:fill="CCEEFF" w:val="clear"/>
            <w:vAlign w:val="center"/>
          </w:tcPr>
          <w:p>
            <w:pPr>
              <w:pStyle w:val="TableContents"/>
              <w:bidi w:val="0"/>
              <w:spacing w:before="0" w:after="0"/>
              <w:ind w:left="0" w:right="0" w:hanging="0"/>
              <w:jc w:val="left"/>
              <w:rPr>
                <w:sz w:val="20"/>
              </w:rPr>
            </w:pPr>
            <w:r>
              <w:rPr>
                <w:sz w:val="20"/>
              </w:rPr>
            </w:r>
          </w:p>
        </w:tc>
      </w:tr>
      <w:tr>
        <w:trPr/>
        <w:tc>
          <w:tcPr>
            <w:tcW w:w="5441" w:type="dxa"/>
            <w:tcBorders/>
            <w:vAlign w:val="center"/>
          </w:tcPr>
          <w:p>
            <w:pPr>
              <w:pStyle w:val="TableContents"/>
              <w:bidi w:val="0"/>
              <w:spacing w:before="0" w:after="283"/>
              <w:ind w:left="0" w:right="0" w:hanging="0"/>
              <w:jc w:val="left"/>
              <w:rPr>
                <w:sz w:val="4"/>
                <w:szCs w:val="4"/>
              </w:rPr>
            </w:pPr>
            <w:r>
              <w:rPr>
                <w:sz w:val="4"/>
                <w:szCs w:val="4"/>
              </w:rPr>
            </w:r>
          </w:p>
        </w:tc>
        <w:tc>
          <w:tcPr>
            <w:tcW w:w="125" w:type="dxa"/>
            <w:tcBorders/>
            <w:vAlign w:val="center"/>
          </w:tcPr>
          <w:p>
            <w:pPr>
              <w:pStyle w:val="TableContents"/>
              <w:bidi w:val="0"/>
              <w:spacing w:before="0" w:after="283"/>
              <w:ind w:left="0" w:right="0" w:hanging="0"/>
              <w:jc w:val="left"/>
              <w:rPr>
                <w:sz w:val="4"/>
                <w:szCs w:val="4"/>
              </w:rPr>
            </w:pPr>
            <w:r>
              <w:rPr>
                <w:sz w:val="4"/>
                <w:szCs w:val="4"/>
              </w:rPr>
            </w:r>
          </w:p>
        </w:tc>
        <w:tc>
          <w:tcPr>
            <w:tcW w:w="950" w:type="dxa"/>
            <w:tcBorders/>
            <w:vAlign w:val="center"/>
          </w:tcPr>
          <w:p>
            <w:pPr>
              <w:pStyle w:val="TableContents"/>
              <w:bidi w:val="0"/>
              <w:spacing w:before="0" w:after="283"/>
              <w:ind w:left="0" w:right="0" w:hanging="0"/>
              <w:jc w:val="left"/>
              <w:rPr>
                <w:sz w:val="4"/>
                <w:szCs w:val="4"/>
              </w:rPr>
            </w:pPr>
            <w:r>
              <w:rPr>
                <w:sz w:val="4"/>
                <w:szCs w:val="4"/>
              </w:rPr>
            </w:r>
          </w:p>
        </w:tc>
        <w:tc>
          <w:tcPr>
            <w:tcW w:w="95"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25" w:type="dxa"/>
            <w:tcBorders/>
            <w:vAlign w:val="center"/>
          </w:tcPr>
          <w:p>
            <w:pPr>
              <w:pStyle w:val="TableContents"/>
              <w:bidi w:val="0"/>
              <w:spacing w:before="0" w:after="283"/>
              <w:ind w:left="0" w:right="0" w:hanging="0"/>
              <w:jc w:val="left"/>
              <w:rPr>
                <w:sz w:val="4"/>
                <w:szCs w:val="4"/>
              </w:rPr>
            </w:pPr>
            <w:r>
              <w:rPr>
                <w:sz w:val="4"/>
                <w:szCs w:val="4"/>
              </w:rPr>
            </w:r>
          </w:p>
        </w:tc>
        <w:tc>
          <w:tcPr>
            <w:tcW w:w="950" w:type="dxa"/>
            <w:tcBorders/>
            <w:vAlign w:val="center"/>
          </w:tcPr>
          <w:p>
            <w:pPr>
              <w:pStyle w:val="TableContents"/>
              <w:bidi w:val="0"/>
              <w:spacing w:before="0" w:after="283"/>
              <w:ind w:left="0" w:right="0" w:hanging="0"/>
              <w:jc w:val="left"/>
              <w:rPr>
                <w:sz w:val="4"/>
                <w:szCs w:val="4"/>
              </w:rPr>
            </w:pPr>
            <w:r>
              <w:rPr>
                <w:sz w:val="4"/>
                <w:szCs w:val="4"/>
              </w:rPr>
            </w:r>
          </w:p>
        </w:tc>
        <w:tc>
          <w:tcPr>
            <w:tcW w:w="95"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ind w:left="0" w:right="0" w:hanging="0"/>
              <w:jc w:val="left"/>
              <w:rPr/>
            </w:pPr>
            <w:r>
              <w:rPr/>
            </w:r>
          </w:p>
        </w:tc>
        <w:tc>
          <w:tcPr>
            <w:tcW w:w="125" w:type="dxa"/>
            <w:tcBorders/>
            <w:vAlign w:val="center"/>
          </w:tcPr>
          <w:p>
            <w:pPr>
              <w:pStyle w:val="TableContents"/>
              <w:bidi w:val="0"/>
              <w:spacing w:before="0" w:after="283"/>
              <w:ind w:left="0" w:right="0" w:hanging="0"/>
              <w:jc w:val="left"/>
              <w:rPr/>
            </w:pPr>
            <w:r>
              <w:rPr/>
            </w:r>
          </w:p>
        </w:tc>
        <w:tc>
          <w:tcPr>
            <w:tcW w:w="950" w:type="dxa"/>
            <w:tcBorders/>
            <w:vAlign w:val="center"/>
          </w:tcPr>
          <w:p>
            <w:pPr>
              <w:pStyle w:val="TableContents"/>
              <w:bidi w:val="0"/>
              <w:spacing w:before="0" w:after="283"/>
              <w:ind w:left="0" w:right="0" w:hanging="0"/>
              <w:jc w:val="left"/>
              <w:rPr/>
            </w:pPr>
            <w:r>
              <w:rPr/>
            </w:r>
          </w:p>
        </w:tc>
        <w:tc>
          <w:tcPr>
            <w:tcW w:w="95" w:type="dxa"/>
            <w:tcBorders/>
            <w:vAlign w:val="center"/>
          </w:tcPr>
          <w:p>
            <w:pPr>
              <w:pStyle w:val="TableContents"/>
              <w:bidi w:val="0"/>
              <w:spacing w:before="0" w:after="283"/>
              <w:ind w:left="0" w:right="0" w:hanging="0"/>
              <w:jc w:val="left"/>
              <w:rPr/>
            </w:pPr>
            <w:r>
              <w:rPr/>
            </w:r>
          </w:p>
        </w:tc>
        <w:tc>
          <w:tcPr>
            <w:tcW w:w="23" w:type="dxa"/>
            <w:tcBorders/>
            <w:vAlign w:val="center"/>
          </w:tcPr>
          <w:p>
            <w:pPr>
              <w:pStyle w:val="TableContents"/>
              <w:bidi w:val="0"/>
              <w:spacing w:before="0" w:after="283"/>
              <w:ind w:left="0" w:right="0" w:hanging="0"/>
              <w:jc w:val="left"/>
              <w:rPr/>
            </w:pPr>
            <w:r>
              <w:rPr/>
            </w:r>
          </w:p>
        </w:tc>
        <w:tc>
          <w:tcPr>
            <w:tcW w:w="125" w:type="dxa"/>
            <w:tcBorders/>
            <w:vAlign w:val="center"/>
          </w:tcPr>
          <w:p>
            <w:pPr>
              <w:pStyle w:val="TableContents"/>
              <w:bidi w:val="0"/>
              <w:spacing w:before="0" w:after="283"/>
              <w:ind w:left="0" w:right="0" w:hanging="0"/>
              <w:jc w:val="left"/>
              <w:rPr/>
            </w:pPr>
            <w:r>
              <w:rPr/>
            </w:r>
          </w:p>
        </w:tc>
        <w:tc>
          <w:tcPr>
            <w:tcW w:w="950" w:type="dxa"/>
            <w:tcBorders/>
            <w:vAlign w:val="center"/>
          </w:tcPr>
          <w:p>
            <w:pPr>
              <w:pStyle w:val="TableContents"/>
              <w:bidi w:val="0"/>
              <w:spacing w:before="0" w:after="283"/>
              <w:ind w:left="0" w:right="0" w:hanging="0"/>
              <w:jc w:val="left"/>
              <w:rPr/>
            </w:pPr>
            <w:r>
              <w:rPr/>
            </w:r>
          </w:p>
        </w:tc>
        <w:tc>
          <w:tcPr>
            <w:tcW w:w="110" w:type="dxa"/>
            <w:tcBorders/>
            <w:vAlign w:val="center"/>
          </w:tcPr>
          <w:p>
            <w:pPr>
              <w:pStyle w:val="TableContents"/>
              <w:bidi w:val="0"/>
              <w:spacing w:before="0" w:after="283"/>
              <w:jc w:val="left"/>
              <w:rPr/>
            </w:pPr>
            <w:r>
              <w:rPr/>
            </w:r>
          </w:p>
        </w:tc>
      </w:tr>
      <w:tr>
        <w:trPr/>
        <w:tc>
          <w:tcPr>
            <w:tcW w:w="5441"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Weighted average shares outstanding:</w:t>
            </w:r>
          </w:p>
        </w:tc>
        <w:tc>
          <w:tcPr>
            <w:tcW w:w="125" w:type="dxa"/>
            <w:tcBorders/>
            <w:shd w:fill="CCEEFF" w:val="clear"/>
            <w:vAlign w:val="center"/>
          </w:tcPr>
          <w:p>
            <w:pPr>
              <w:pStyle w:val="TableContents"/>
              <w:bidi w:val="0"/>
              <w:spacing w:before="0" w:after="0"/>
              <w:ind w:left="0" w:right="0" w:hanging="0"/>
              <w:jc w:val="left"/>
              <w:rPr>
                <w:sz w:val="20"/>
              </w:rPr>
            </w:pPr>
            <w:r>
              <w:rPr>
                <w:sz w:val="20"/>
              </w:rPr>
            </w:r>
          </w:p>
        </w:tc>
        <w:tc>
          <w:tcPr>
            <w:tcW w:w="950" w:type="dxa"/>
            <w:tcBorders/>
            <w:shd w:fill="CCEEFF" w:val="clear"/>
            <w:vAlign w:val="center"/>
          </w:tcPr>
          <w:p>
            <w:pPr>
              <w:pStyle w:val="TableContents"/>
              <w:bidi w:val="0"/>
              <w:spacing w:before="0" w:after="0"/>
              <w:ind w:left="0" w:right="0" w:hanging="0"/>
              <w:jc w:val="left"/>
              <w:rPr>
                <w:sz w:val="20"/>
              </w:rPr>
            </w:pPr>
            <w:r>
              <w:rPr>
                <w:sz w:val="20"/>
              </w:rPr>
            </w:r>
          </w:p>
        </w:tc>
        <w:tc>
          <w:tcPr>
            <w:tcW w:w="95" w:type="dxa"/>
            <w:tcBorders/>
            <w:shd w:fill="CCEEFF" w:val="clear"/>
            <w:vAlign w:val="center"/>
          </w:tcPr>
          <w:p>
            <w:pPr>
              <w:pStyle w:val="TableContents"/>
              <w:bidi w:val="0"/>
              <w:spacing w:before="0" w:after="0"/>
              <w:ind w:left="0" w:right="0" w:hanging="0"/>
              <w:jc w:val="left"/>
              <w:rPr>
                <w:sz w:val="20"/>
              </w:rPr>
            </w:pPr>
            <w:r>
              <w:rPr>
                <w:sz w:val="20"/>
              </w:rPr>
            </w:r>
          </w:p>
        </w:tc>
        <w:tc>
          <w:tcPr>
            <w:tcW w:w="23" w:type="dxa"/>
            <w:tcBorders/>
            <w:shd w:fill="CCEEFF" w:val="clear"/>
            <w:vAlign w:val="center"/>
          </w:tcPr>
          <w:p>
            <w:pPr>
              <w:pStyle w:val="TableContents"/>
              <w:bidi w:val="0"/>
              <w:spacing w:before="0" w:after="0"/>
              <w:ind w:left="0" w:right="0" w:hanging="0"/>
              <w:jc w:val="left"/>
              <w:rPr>
                <w:sz w:val="20"/>
              </w:rPr>
            </w:pPr>
            <w:r>
              <w:rPr>
                <w:sz w:val="20"/>
              </w:rPr>
            </w:r>
          </w:p>
        </w:tc>
        <w:tc>
          <w:tcPr>
            <w:tcW w:w="125" w:type="dxa"/>
            <w:tcBorders/>
            <w:shd w:fill="CCEEFF" w:val="clear"/>
            <w:vAlign w:val="center"/>
          </w:tcPr>
          <w:p>
            <w:pPr>
              <w:pStyle w:val="TableContents"/>
              <w:bidi w:val="0"/>
              <w:spacing w:before="0" w:after="0"/>
              <w:ind w:left="0" w:right="0" w:hanging="0"/>
              <w:jc w:val="left"/>
              <w:rPr>
                <w:sz w:val="20"/>
              </w:rPr>
            </w:pPr>
            <w:r>
              <w:rPr>
                <w:sz w:val="20"/>
              </w:rPr>
            </w:r>
          </w:p>
        </w:tc>
        <w:tc>
          <w:tcPr>
            <w:tcW w:w="950" w:type="dxa"/>
            <w:tcBorders/>
            <w:shd w:fill="CCEEFF" w:val="clear"/>
            <w:vAlign w:val="center"/>
          </w:tcPr>
          <w:p>
            <w:pPr>
              <w:pStyle w:val="TableContents"/>
              <w:bidi w:val="0"/>
              <w:spacing w:before="0" w:after="0"/>
              <w:ind w:left="0" w:right="0" w:hanging="0"/>
              <w:jc w:val="left"/>
              <w:rPr>
                <w:sz w:val="20"/>
              </w:rPr>
            </w:pPr>
            <w:r>
              <w:rPr>
                <w:sz w:val="20"/>
              </w:rPr>
            </w:r>
          </w:p>
        </w:tc>
        <w:tc>
          <w:tcPr>
            <w:tcW w:w="95" w:type="dxa"/>
            <w:tcBorders/>
            <w:shd w:fill="CCEEFF" w:val="clear"/>
            <w:vAlign w:val="center"/>
          </w:tcPr>
          <w:p>
            <w:pPr>
              <w:pStyle w:val="TableContents"/>
              <w:bidi w:val="0"/>
              <w:spacing w:before="0" w:after="0"/>
              <w:ind w:left="0" w:right="0" w:hanging="0"/>
              <w:jc w:val="left"/>
              <w:rPr>
                <w:sz w:val="20"/>
              </w:rPr>
            </w:pPr>
            <w:r>
              <w:rPr>
                <w:sz w:val="20"/>
              </w:rPr>
            </w:r>
          </w:p>
        </w:tc>
        <w:tc>
          <w:tcPr>
            <w:tcW w:w="23" w:type="dxa"/>
            <w:tcBorders/>
            <w:shd w:fill="CCEEFF" w:val="clear"/>
            <w:vAlign w:val="center"/>
          </w:tcPr>
          <w:p>
            <w:pPr>
              <w:pStyle w:val="TableContents"/>
              <w:bidi w:val="0"/>
              <w:spacing w:before="0" w:after="0"/>
              <w:ind w:left="0" w:right="0" w:hanging="0"/>
              <w:jc w:val="left"/>
              <w:rPr>
                <w:sz w:val="20"/>
              </w:rPr>
            </w:pPr>
            <w:r>
              <w:rPr>
                <w:sz w:val="20"/>
              </w:rPr>
            </w:r>
          </w:p>
        </w:tc>
        <w:tc>
          <w:tcPr>
            <w:tcW w:w="125" w:type="dxa"/>
            <w:tcBorders/>
            <w:shd w:fill="CCEEFF" w:val="clear"/>
            <w:vAlign w:val="center"/>
          </w:tcPr>
          <w:p>
            <w:pPr>
              <w:pStyle w:val="TableContents"/>
              <w:bidi w:val="0"/>
              <w:spacing w:before="0" w:after="0"/>
              <w:ind w:left="0" w:right="0" w:hanging="0"/>
              <w:jc w:val="left"/>
              <w:rPr>
                <w:sz w:val="20"/>
              </w:rPr>
            </w:pPr>
            <w:r>
              <w:rPr>
                <w:sz w:val="20"/>
              </w:rPr>
            </w:r>
          </w:p>
        </w:tc>
        <w:tc>
          <w:tcPr>
            <w:tcW w:w="950" w:type="dxa"/>
            <w:tcBorders/>
            <w:shd w:fill="CCEEFF" w:val="clear"/>
            <w:vAlign w:val="center"/>
          </w:tcPr>
          <w:p>
            <w:pPr>
              <w:pStyle w:val="TableContents"/>
              <w:bidi w:val="0"/>
              <w:spacing w:before="0" w:after="0"/>
              <w:ind w:left="0" w:right="0" w:hanging="0"/>
              <w:jc w:val="left"/>
              <w:rPr>
                <w:sz w:val="20"/>
              </w:rPr>
            </w:pPr>
            <w:r>
              <w:rPr>
                <w:sz w:val="20"/>
              </w:rPr>
            </w:r>
          </w:p>
        </w:tc>
        <w:tc>
          <w:tcPr>
            <w:tcW w:w="95" w:type="dxa"/>
            <w:tcBorders/>
            <w:shd w:fill="CCEEFF" w:val="clear"/>
            <w:vAlign w:val="center"/>
          </w:tcPr>
          <w:p>
            <w:pPr>
              <w:pStyle w:val="TableContents"/>
              <w:bidi w:val="0"/>
              <w:spacing w:before="0" w:after="0"/>
              <w:ind w:left="0" w:right="0" w:hanging="0"/>
              <w:jc w:val="left"/>
              <w:rPr>
                <w:sz w:val="20"/>
              </w:rPr>
            </w:pPr>
            <w:r>
              <w:rPr>
                <w:sz w:val="20"/>
              </w:rPr>
            </w:r>
          </w:p>
        </w:tc>
        <w:tc>
          <w:tcPr>
            <w:tcW w:w="23" w:type="dxa"/>
            <w:tcBorders/>
            <w:shd w:fill="CCEEFF" w:val="clear"/>
            <w:vAlign w:val="center"/>
          </w:tcPr>
          <w:p>
            <w:pPr>
              <w:pStyle w:val="TableContents"/>
              <w:bidi w:val="0"/>
              <w:spacing w:before="0" w:after="0"/>
              <w:ind w:left="0" w:right="0" w:hanging="0"/>
              <w:jc w:val="left"/>
              <w:rPr>
                <w:sz w:val="20"/>
              </w:rPr>
            </w:pPr>
            <w:r>
              <w:rPr>
                <w:sz w:val="20"/>
              </w:rPr>
            </w:r>
          </w:p>
        </w:tc>
        <w:tc>
          <w:tcPr>
            <w:tcW w:w="125" w:type="dxa"/>
            <w:tcBorders/>
            <w:shd w:fill="CCEEFF" w:val="clear"/>
            <w:vAlign w:val="center"/>
          </w:tcPr>
          <w:p>
            <w:pPr>
              <w:pStyle w:val="TableContents"/>
              <w:bidi w:val="0"/>
              <w:spacing w:before="0" w:after="0"/>
              <w:ind w:left="0" w:right="0" w:hanging="0"/>
              <w:jc w:val="left"/>
              <w:rPr>
                <w:sz w:val="20"/>
              </w:rPr>
            </w:pPr>
            <w:r>
              <w:rPr>
                <w:sz w:val="20"/>
              </w:rPr>
            </w:r>
          </w:p>
        </w:tc>
        <w:tc>
          <w:tcPr>
            <w:tcW w:w="950" w:type="dxa"/>
            <w:tcBorders/>
            <w:shd w:fill="CCEEFF" w:val="clear"/>
            <w:vAlign w:val="center"/>
          </w:tcPr>
          <w:p>
            <w:pPr>
              <w:pStyle w:val="TableContents"/>
              <w:bidi w:val="0"/>
              <w:spacing w:before="0" w:after="0"/>
              <w:ind w:left="0" w:right="0" w:hanging="0"/>
              <w:jc w:val="left"/>
              <w:rPr>
                <w:sz w:val="20"/>
              </w:rPr>
            </w:pPr>
            <w:r>
              <w:rPr>
                <w:sz w:val="20"/>
              </w:rPr>
            </w:r>
          </w:p>
        </w:tc>
        <w:tc>
          <w:tcPr>
            <w:tcW w:w="110" w:type="dxa"/>
            <w:tcBorders/>
            <w:shd w:fill="CCEEFF" w:val="clear"/>
            <w:vAlign w:val="center"/>
          </w:tcPr>
          <w:p>
            <w:pPr>
              <w:pStyle w:val="TableContents"/>
              <w:bidi w:val="0"/>
              <w:spacing w:before="0" w:after="0"/>
              <w:ind w:left="0" w:right="0" w:hanging="0"/>
              <w:jc w:val="left"/>
              <w:rPr>
                <w:sz w:val="20"/>
              </w:rPr>
            </w:pPr>
            <w:r>
              <w:rPr>
                <w:sz w:val="20"/>
              </w:rPr>
            </w:r>
          </w:p>
        </w:tc>
      </w:tr>
      <w:tr>
        <w:trPr/>
        <w:tc>
          <w:tcPr>
            <w:tcW w:w="5441"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Basic</w:t>
            </w:r>
          </w:p>
        </w:tc>
        <w:tc>
          <w:tcPr>
            <w:tcW w:w="125" w:type="dxa"/>
            <w:tcBorders/>
            <w:vAlign w:val="center"/>
          </w:tcPr>
          <w:p>
            <w:pPr>
              <w:pStyle w:val="TableContents"/>
              <w:bidi w:val="0"/>
              <w:spacing w:before="0" w:after="0"/>
              <w:ind w:left="0" w:right="0" w:hanging="0"/>
              <w:jc w:val="right"/>
              <w:rPr>
                <w:sz w:val="20"/>
              </w:rPr>
            </w:pPr>
            <w:r>
              <w:rPr>
                <w:sz w:val="20"/>
              </w:rPr>
            </w:r>
          </w:p>
        </w:tc>
        <w:tc>
          <w:tcPr>
            <w:tcW w:w="950" w:type="dxa"/>
            <w:tcBorders/>
            <w:vAlign w:val="center"/>
          </w:tcPr>
          <w:p>
            <w:pPr>
              <w:pStyle w:val="TableContents"/>
              <w:bidi w:val="0"/>
              <w:spacing w:before="0" w:after="0"/>
              <w:ind w:left="0" w:right="0" w:hanging="0"/>
              <w:jc w:val="right"/>
              <w:rPr>
                <w:sz w:val="20"/>
              </w:rPr>
            </w:pPr>
            <w:r>
              <w:rPr>
                <w:sz w:val="20"/>
              </w:rPr>
              <w:t>45,429,998</w:t>
            </w:r>
          </w:p>
        </w:tc>
        <w:tc>
          <w:tcPr>
            <w:tcW w:w="95" w:type="dxa"/>
            <w:tcBorders/>
            <w:vAlign w:val="center"/>
          </w:tcPr>
          <w:p>
            <w:pPr>
              <w:pStyle w:val="TableContents"/>
              <w:bidi w:val="0"/>
              <w:spacing w:before="0" w:after="0"/>
              <w:ind w:left="0" w:right="0" w:hanging="0"/>
              <w:jc w:val="right"/>
              <w:rPr>
                <w:sz w:val="20"/>
              </w:rPr>
            </w:pPr>
            <w:r>
              <w:rPr>
                <w:sz w:val="20"/>
              </w:rPr>
            </w:r>
          </w:p>
        </w:tc>
        <w:tc>
          <w:tcPr>
            <w:tcW w:w="23" w:type="dxa"/>
            <w:tcBorders/>
            <w:vAlign w:val="center"/>
          </w:tcPr>
          <w:p>
            <w:pPr>
              <w:pStyle w:val="TableContents"/>
              <w:bidi w:val="0"/>
              <w:spacing w:before="0" w:after="0"/>
              <w:ind w:left="0" w:right="0" w:hanging="0"/>
              <w:jc w:val="right"/>
              <w:rPr>
                <w:sz w:val="20"/>
              </w:rPr>
            </w:pPr>
            <w:r>
              <w:rPr>
                <w:sz w:val="20"/>
              </w:rPr>
            </w:r>
          </w:p>
        </w:tc>
        <w:tc>
          <w:tcPr>
            <w:tcW w:w="125" w:type="dxa"/>
            <w:tcBorders/>
            <w:vAlign w:val="center"/>
          </w:tcPr>
          <w:p>
            <w:pPr>
              <w:pStyle w:val="TableContents"/>
              <w:bidi w:val="0"/>
              <w:spacing w:before="0" w:after="0"/>
              <w:ind w:left="0" w:right="0" w:hanging="0"/>
              <w:jc w:val="right"/>
              <w:rPr>
                <w:sz w:val="20"/>
              </w:rPr>
            </w:pPr>
            <w:r>
              <w:rPr>
                <w:sz w:val="20"/>
              </w:rPr>
            </w:r>
          </w:p>
        </w:tc>
        <w:tc>
          <w:tcPr>
            <w:tcW w:w="950" w:type="dxa"/>
            <w:tcBorders/>
            <w:vAlign w:val="center"/>
          </w:tcPr>
          <w:p>
            <w:pPr>
              <w:pStyle w:val="TableContents"/>
              <w:bidi w:val="0"/>
              <w:spacing w:before="0" w:after="0"/>
              <w:ind w:left="0" w:right="0" w:hanging="0"/>
              <w:jc w:val="right"/>
              <w:rPr>
                <w:sz w:val="20"/>
              </w:rPr>
            </w:pPr>
            <w:r>
              <w:rPr>
                <w:sz w:val="20"/>
              </w:rPr>
              <w:t>49,637,589</w:t>
            </w:r>
          </w:p>
        </w:tc>
        <w:tc>
          <w:tcPr>
            <w:tcW w:w="95" w:type="dxa"/>
            <w:tcBorders/>
            <w:vAlign w:val="center"/>
          </w:tcPr>
          <w:p>
            <w:pPr>
              <w:pStyle w:val="TableContents"/>
              <w:bidi w:val="0"/>
              <w:spacing w:before="0" w:after="0"/>
              <w:ind w:left="0" w:right="0" w:hanging="0"/>
              <w:jc w:val="right"/>
              <w:rPr>
                <w:sz w:val="20"/>
              </w:rPr>
            </w:pPr>
            <w:r>
              <w:rPr>
                <w:sz w:val="20"/>
              </w:rPr>
            </w:r>
          </w:p>
        </w:tc>
        <w:tc>
          <w:tcPr>
            <w:tcW w:w="23" w:type="dxa"/>
            <w:tcBorders/>
            <w:vAlign w:val="center"/>
          </w:tcPr>
          <w:p>
            <w:pPr>
              <w:pStyle w:val="TableContents"/>
              <w:bidi w:val="0"/>
              <w:spacing w:before="0" w:after="0"/>
              <w:ind w:left="0" w:right="0" w:hanging="0"/>
              <w:jc w:val="right"/>
              <w:rPr>
                <w:sz w:val="20"/>
              </w:rPr>
            </w:pPr>
            <w:r>
              <w:rPr>
                <w:sz w:val="20"/>
              </w:rPr>
            </w:r>
          </w:p>
        </w:tc>
        <w:tc>
          <w:tcPr>
            <w:tcW w:w="125" w:type="dxa"/>
            <w:tcBorders/>
            <w:vAlign w:val="center"/>
          </w:tcPr>
          <w:p>
            <w:pPr>
              <w:pStyle w:val="TableContents"/>
              <w:bidi w:val="0"/>
              <w:spacing w:before="0" w:after="0"/>
              <w:ind w:left="0" w:right="0" w:hanging="0"/>
              <w:jc w:val="right"/>
              <w:rPr>
                <w:sz w:val="20"/>
              </w:rPr>
            </w:pPr>
            <w:r>
              <w:rPr>
                <w:sz w:val="20"/>
              </w:rPr>
            </w:r>
          </w:p>
        </w:tc>
        <w:tc>
          <w:tcPr>
            <w:tcW w:w="950" w:type="dxa"/>
            <w:tcBorders/>
            <w:vAlign w:val="center"/>
          </w:tcPr>
          <w:p>
            <w:pPr>
              <w:pStyle w:val="TableContents"/>
              <w:bidi w:val="0"/>
              <w:spacing w:before="0" w:after="0"/>
              <w:ind w:left="0" w:right="0" w:hanging="0"/>
              <w:jc w:val="right"/>
              <w:rPr>
                <w:sz w:val="20"/>
              </w:rPr>
            </w:pPr>
            <w:r>
              <w:rPr>
                <w:sz w:val="20"/>
              </w:rPr>
              <w:t>45,623,470</w:t>
            </w:r>
          </w:p>
        </w:tc>
        <w:tc>
          <w:tcPr>
            <w:tcW w:w="95" w:type="dxa"/>
            <w:tcBorders/>
            <w:vAlign w:val="center"/>
          </w:tcPr>
          <w:p>
            <w:pPr>
              <w:pStyle w:val="TableContents"/>
              <w:bidi w:val="0"/>
              <w:spacing w:before="0" w:after="0"/>
              <w:ind w:left="0" w:right="0" w:hanging="0"/>
              <w:jc w:val="right"/>
              <w:rPr>
                <w:sz w:val="20"/>
              </w:rPr>
            </w:pPr>
            <w:r>
              <w:rPr>
                <w:sz w:val="20"/>
              </w:rPr>
            </w:r>
          </w:p>
        </w:tc>
        <w:tc>
          <w:tcPr>
            <w:tcW w:w="23" w:type="dxa"/>
            <w:tcBorders/>
            <w:vAlign w:val="center"/>
          </w:tcPr>
          <w:p>
            <w:pPr>
              <w:pStyle w:val="TableContents"/>
              <w:bidi w:val="0"/>
              <w:spacing w:before="0" w:after="0"/>
              <w:ind w:left="0" w:right="0" w:hanging="0"/>
              <w:jc w:val="right"/>
              <w:rPr>
                <w:sz w:val="20"/>
              </w:rPr>
            </w:pPr>
            <w:r>
              <w:rPr>
                <w:sz w:val="20"/>
              </w:rPr>
            </w:r>
          </w:p>
        </w:tc>
        <w:tc>
          <w:tcPr>
            <w:tcW w:w="125" w:type="dxa"/>
            <w:tcBorders/>
            <w:vAlign w:val="center"/>
          </w:tcPr>
          <w:p>
            <w:pPr>
              <w:pStyle w:val="TableContents"/>
              <w:bidi w:val="0"/>
              <w:spacing w:before="0" w:after="0"/>
              <w:ind w:left="0" w:right="0" w:hanging="0"/>
              <w:jc w:val="right"/>
              <w:rPr>
                <w:sz w:val="20"/>
              </w:rPr>
            </w:pPr>
            <w:r>
              <w:rPr>
                <w:sz w:val="20"/>
              </w:rPr>
            </w:r>
          </w:p>
        </w:tc>
        <w:tc>
          <w:tcPr>
            <w:tcW w:w="950" w:type="dxa"/>
            <w:tcBorders/>
            <w:vAlign w:val="center"/>
          </w:tcPr>
          <w:p>
            <w:pPr>
              <w:pStyle w:val="TableContents"/>
              <w:bidi w:val="0"/>
              <w:spacing w:before="0" w:after="0"/>
              <w:ind w:left="0" w:right="0" w:hanging="0"/>
              <w:jc w:val="right"/>
              <w:rPr>
                <w:sz w:val="20"/>
              </w:rPr>
            </w:pPr>
            <w:r>
              <w:rPr>
                <w:sz w:val="20"/>
              </w:rPr>
              <w:t>49,724,478</w:t>
            </w:r>
          </w:p>
        </w:tc>
        <w:tc>
          <w:tcPr>
            <w:tcW w:w="110" w:type="dxa"/>
            <w:tcBorders/>
            <w:vAlign w:val="center"/>
          </w:tcPr>
          <w:p>
            <w:pPr>
              <w:pStyle w:val="TableContents"/>
              <w:bidi w:val="0"/>
              <w:spacing w:before="0" w:after="0"/>
              <w:ind w:left="0" w:right="0" w:hanging="0"/>
              <w:jc w:val="right"/>
              <w:rPr>
                <w:sz w:val="20"/>
              </w:rPr>
            </w:pPr>
            <w:r>
              <w:rPr>
                <w:sz w:val="20"/>
              </w:rPr>
            </w:r>
          </w:p>
        </w:tc>
      </w:tr>
      <w:tr>
        <w:trPr/>
        <w:tc>
          <w:tcPr>
            <w:tcW w:w="5441"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Diluted</w:t>
            </w:r>
          </w:p>
        </w:tc>
        <w:tc>
          <w:tcPr>
            <w:tcW w:w="125" w:type="dxa"/>
            <w:tcBorders/>
            <w:shd w:fill="CCEEFF" w:val="clear"/>
            <w:vAlign w:val="center"/>
          </w:tcPr>
          <w:p>
            <w:pPr>
              <w:pStyle w:val="TableContents"/>
              <w:bidi w:val="0"/>
              <w:spacing w:before="0" w:after="0"/>
              <w:ind w:left="0" w:right="0" w:hanging="0"/>
              <w:jc w:val="right"/>
              <w:rPr>
                <w:sz w:val="20"/>
              </w:rPr>
            </w:pPr>
            <w:r>
              <w:rPr>
                <w:sz w:val="20"/>
              </w:rPr>
            </w:r>
          </w:p>
        </w:tc>
        <w:tc>
          <w:tcPr>
            <w:tcW w:w="950" w:type="dxa"/>
            <w:tcBorders/>
            <w:shd w:fill="CCEEFF" w:val="clear"/>
            <w:vAlign w:val="center"/>
          </w:tcPr>
          <w:p>
            <w:pPr>
              <w:pStyle w:val="TableContents"/>
              <w:bidi w:val="0"/>
              <w:spacing w:before="0" w:after="0"/>
              <w:ind w:left="0" w:right="0" w:hanging="0"/>
              <w:jc w:val="right"/>
              <w:rPr>
                <w:sz w:val="20"/>
              </w:rPr>
            </w:pPr>
            <w:r>
              <w:rPr>
                <w:sz w:val="20"/>
              </w:rPr>
              <w:t>48,700,270</w:t>
            </w:r>
          </w:p>
        </w:tc>
        <w:tc>
          <w:tcPr>
            <w:tcW w:w="95" w:type="dxa"/>
            <w:tcBorders/>
            <w:shd w:fill="CCEEFF" w:val="clear"/>
            <w:vAlign w:val="center"/>
          </w:tcPr>
          <w:p>
            <w:pPr>
              <w:pStyle w:val="TableContents"/>
              <w:bidi w:val="0"/>
              <w:spacing w:before="0" w:after="0"/>
              <w:ind w:left="0" w:right="0" w:hanging="0"/>
              <w:jc w:val="right"/>
              <w:rPr>
                <w:sz w:val="20"/>
              </w:rPr>
            </w:pPr>
            <w:r>
              <w:rPr>
                <w:sz w:val="20"/>
              </w:rPr>
            </w:r>
          </w:p>
        </w:tc>
        <w:tc>
          <w:tcPr>
            <w:tcW w:w="23" w:type="dxa"/>
            <w:tcBorders/>
            <w:shd w:fill="CCEEFF" w:val="clear"/>
            <w:vAlign w:val="center"/>
          </w:tcPr>
          <w:p>
            <w:pPr>
              <w:pStyle w:val="TableContents"/>
              <w:bidi w:val="0"/>
              <w:spacing w:before="0" w:after="0"/>
              <w:ind w:left="0" w:right="0" w:hanging="0"/>
              <w:jc w:val="right"/>
              <w:rPr>
                <w:sz w:val="20"/>
              </w:rPr>
            </w:pPr>
            <w:r>
              <w:rPr>
                <w:sz w:val="20"/>
              </w:rPr>
            </w:r>
          </w:p>
        </w:tc>
        <w:tc>
          <w:tcPr>
            <w:tcW w:w="125" w:type="dxa"/>
            <w:tcBorders/>
            <w:shd w:fill="CCEEFF" w:val="clear"/>
            <w:vAlign w:val="center"/>
          </w:tcPr>
          <w:p>
            <w:pPr>
              <w:pStyle w:val="TableContents"/>
              <w:bidi w:val="0"/>
              <w:spacing w:before="0" w:after="0"/>
              <w:ind w:left="0" w:right="0" w:hanging="0"/>
              <w:jc w:val="right"/>
              <w:rPr>
                <w:sz w:val="20"/>
              </w:rPr>
            </w:pPr>
            <w:r>
              <w:rPr>
                <w:sz w:val="20"/>
              </w:rPr>
            </w:r>
          </w:p>
        </w:tc>
        <w:tc>
          <w:tcPr>
            <w:tcW w:w="950" w:type="dxa"/>
            <w:tcBorders/>
            <w:shd w:fill="CCEEFF" w:val="clear"/>
            <w:vAlign w:val="center"/>
          </w:tcPr>
          <w:p>
            <w:pPr>
              <w:pStyle w:val="TableContents"/>
              <w:bidi w:val="0"/>
              <w:spacing w:before="0" w:after="0"/>
              <w:ind w:left="0" w:right="0" w:hanging="0"/>
              <w:jc w:val="right"/>
              <w:rPr>
                <w:sz w:val="20"/>
              </w:rPr>
            </w:pPr>
            <w:r>
              <w:rPr>
                <w:sz w:val="20"/>
              </w:rPr>
              <w:t>52,871,415</w:t>
            </w:r>
          </w:p>
        </w:tc>
        <w:tc>
          <w:tcPr>
            <w:tcW w:w="95" w:type="dxa"/>
            <w:tcBorders/>
            <w:shd w:fill="CCEEFF" w:val="clear"/>
            <w:vAlign w:val="center"/>
          </w:tcPr>
          <w:p>
            <w:pPr>
              <w:pStyle w:val="TableContents"/>
              <w:bidi w:val="0"/>
              <w:spacing w:before="0" w:after="0"/>
              <w:ind w:left="0" w:right="0" w:hanging="0"/>
              <w:jc w:val="right"/>
              <w:rPr>
                <w:sz w:val="20"/>
              </w:rPr>
            </w:pPr>
            <w:r>
              <w:rPr>
                <w:sz w:val="20"/>
              </w:rPr>
            </w:r>
          </w:p>
        </w:tc>
        <w:tc>
          <w:tcPr>
            <w:tcW w:w="23" w:type="dxa"/>
            <w:tcBorders/>
            <w:shd w:fill="CCEEFF" w:val="clear"/>
            <w:vAlign w:val="center"/>
          </w:tcPr>
          <w:p>
            <w:pPr>
              <w:pStyle w:val="TableContents"/>
              <w:bidi w:val="0"/>
              <w:spacing w:before="0" w:after="0"/>
              <w:ind w:left="0" w:right="0" w:hanging="0"/>
              <w:jc w:val="right"/>
              <w:rPr>
                <w:sz w:val="20"/>
              </w:rPr>
            </w:pPr>
            <w:r>
              <w:rPr>
                <w:sz w:val="20"/>
              </w:rPr>
            </w:r>
          </w:p>
        </w:tc>
        <w:tc>
          <w:tcPr>
            <w:tcW w:w="125" w:type="dxa"/>
            <w:tcBorders/>
            <w:shd w:fill="CCEEFF" w:val="clear"/>
            <w:vAlign w:val="center"/>
          </w:tcPr>
          <w:p>
            <w:pPr>
              <w:pStyle w:val="TableContents"/>
              <w:bidi w:val="0"/>
              <w:spacing w:before="0" w:after="0"/>
              <w:ind w:left="0" w:right="0" w:hanging="0"/>
              <w:jc w:val="right"/>
              <w:rPr>
                <w:sz w:val="20"/>
              </w:rPr>
            </w:pPr>
            <w:r>
              <w:rPr>
                <w:sz w:val="20"/>
              </w:rPr>
            </w:r>
          </w:p>
        </w:tc>
        <w:tc>
          <w:tcPr>
            <w:tcW w:w="950" w:type="dxa"/>
            <w:tcBorders/>
            <w:shd w:fill="CCEEFF" w:val="clear"/>
            <w:vAlign w:val="center"/>
          </w:tcPr>
          <w:p>
            <w:pPr>
              <w:pStyle w:val="TableContents"/>
              <w:bidi w:val="0"/>
              <w:spacing w:before="0" w:after="0"/>
              <w:ind w:left="0" w:right="0" w:hanging="0"/>
              <w:jc w:val="right"/>
              <w:rPr>
                <w:sz w:val="20"/>
              </w:rPr>
            </w:pPr>
            <w:r>
              <w:rPr>
                <w:sz w:val="20"/>
              </w:rPr>
              <w:t>48,828,642</w:t>
            </w:r>
          </w:p>
        </w:tc>
        <w:tc>
          <w:tcPr>
            <w:tcW w:w="95" w:type="dxa"/>
            <w:tcBorders/>
            <w:shd w:fill="CCEEFF" w:val="clear"/>
            <w:vAlign w:val="center"/>
          </w:tcPr>
          <w:p>
            <w:pPr>
              <w:pStyle w:val="TableContents"/>
              <w:bidi w:val="0"/>
              <w:spacing w:before="0" w:after="0"/>
              <w:ind w:left="0" w:right="0" w:hanging="0"/>
              <w:jc w:val="right"/>
              <w:rPr>
                <w:sz w:val="20"/>
              </w:rPr>
            </w:pPr>
            <w:r>
              <w:rPr>
                <w:sz w:val="20"/>
              </w:rPr>
            </w:r>
          </w:p>
        </w:tc>
        <w:tc>
          <w:tcPr>
            <w:tcW w:w="23" w:type="dxa"/>
            <w:tcBorders/>
            <w:shd w:fill="CCEEFF" w:val="clear"/>
            <w:vAlign w:val="center"/>
          </w:tcPr>
          <w:p>
            <w:pPr>
              <w:pStyle w:val="TableContents"/>
              <w:bidi w:val="0"/>
              <w:spacing w:before="0" w:after="0"/>
              <w:ind w:left="0" w:right="0" w:hanging="0"/>
              <w:jc w:val="right"/>
              <w:rPr>
                <w:sz w:val="20"/>
              </w:rPr>
            </w:pPr>
            <w:r>
              <w:rPr>
                <w:sz w:val="20"/>
              </w:rPr>
            </w:r>
          </w:p>
        </w:tc>
        <w:tc>
          <w:tcPr>
            <w:tcW w:w="125" w:type="dxa"/>
            <w:tcBorders/>
            <w:shd w:fill="CCEEFF" w:val="clear"/>
            <w:vAlign w:val="center"/>
          </w:tcPr>
          <w:p>
            <w:pPr>
              <w:pStyle w:val="TableContents"/>
              <w:bidi w:val="0"/>
              <w:spacing w:before="0" w:after="0"/>
              <w:ind w:left="0" w:right="0" w:hanging="0"/>
              <w:jc w:val="right"/>
              <w:rPr>
                <w:sz w:val="20"/>
              </w:rPr>
            </w:pPr>
            <w:r>
              <w:rPr>
                <w:sz w:val="20"/>
              </w:rPr>
            </w:r>
          </w:p>
        </w:tc>
        <w:tc>
          <w:tcPr>
            <w:tcW w:w="950" w:type="dxa"/>
            <w:tcBorders/>
            <w:shd w:fill="CCEEFF" w:val="clear"/>
            <w:vAlign w:val="center"/>
          </w:tcPr>
          <w:p>
            <w:pPr>
              <w:pStyle w:val="TableContents"/>
              <w:bidi w:val="0"/>
              <w:spacing w:before="0" w:after="0"/>
              <w:ind w:left="0" w:right="0" w:hanging="0"/>
              <w:jc w:val="right"/>
              <w:rPr>
                <w:sz w:val="20"/>
              </w:rPr>
            </w:pPr>
            <w:r>
              <w:rPr>
                <w:sz w:val="20"/>
              </w:rPr>
              <w:t>52,918,519</w:t>
            </w:r>
          </w:p>
        </w:tc>
        <w:tc>
          <w:tcPr>
            <w:tcW w:w="110" w:type="dxa"/>
            <w:tcBorders/>
            <w:shd w:fill="CCEEFF" w:val="clear"/>
            <w:vAlign w:val="center"/>
          </w:tcPr>
          <w:p>
            <w:pPr>
              <w:pStyle w:val="TableContents"/>
              <w:bidi w:val="0"/>
              <w:spacing w:before="0" w:after="0"/>
              <w:ind w:left="0" w:right="0" w:hanging="0"/>
              <w:jc w:val="right"/>
              <w:rPr>
                <w:sz w:val="20"/>
              </w:rPr>
            </w:pPr>
            <w:r>
              <w:rPr>
                <w:sz w:val="20"/>
              </w:rPr>
            </w:r>
          </w:p>
        </w:tc>
      </w:tr>
    </w:tbl>
    <w:p>
      <w:pPr>
        <w:pStyle w:val="TextBody"/>
        <w:widowControl/>
        <w:bidi w:val="0"/>
        <w:jc w:val="left"/>
        <w:rPr>
          <w:rFonts w:ascii="Times New Roman" w:hAnsi="Times New Roman" w:eastAsia="Times New Roman" w:cs="Times New Roman"/>
          <w:b w:val="false"/>
          <w:b w:val="false"/>
          <w:bCs w:val="false"/>
          <w:i w:val="false"/>
          <w:i w:val="false"/>
          <w:iCs w:val="false"/>
          <w:caps w:val="false"/>
          <w:smallCaps w:val="false"/>
          <w:color w:val="000000"/>
          <w:spacing w:val="0"/>
          <w:sz w:val="20"/>
          <w:szCs w:val="20"/>
        </w:rPr>
      </w:pPr>
      <w:r>
        <w:rPr>
          <w:rFonts w:eastAsia="Times New Roman" w:cs="Times New Roman" w:ascii="Times New Roman" w:hAnsi="Times New Roman"/>
          <w:b w:val="false"/>
          <w:bCs w:val="false"/>
          <w:i w:val="false"/>
          <w:iCs w:val="false"/>
          <w:caps w:val="false"/>
          <w:smallCaps w:val="false"/>
          <w:color w:val="000000"/>
          <w:spacing w:val="0"/>
          <w:sz w:val="20"/>
          <w:szCs w:val="20"/>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See accompanying notes to the unaudited consolidated financial statements.</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211" w:type="dxa"/>
        <w:jc w:val="left"/>
        <w:tblInd w:w="0" w:type="dxa"/>
        <w:tblLayout w:type="fixed"/>
        <w:tblCellMar>
          <w:top w:w="0" w:type="dxa"/>
          <w:left w:w="0" w:type="dxa"/>
          <w:bottom w:w="0" w:type="dxa"/>
          <w:right w:w="0" w:type="dxa"/>
        </w:tblCellMar>
      </w:tblPr>
      <w:tblGrid>
        <w:gridCol w:w="211"/>
      </w:tblGrid>
      <w:tr>
        <w:trPr/>
        <w:tc>
          <w:tcPr>
            <w:tcW w:w="211" w:type="dxa"/>
            <w:tcBorders/>
            <w:vAlign w:val="center"/>
          </w:tcPr>
          <w:p>
            <w:pPr>
              <w:pStyle w:val="TableContents"/>
              <w:bidi w:val="0"/>
              <w:spacing w:before="0" w:after="283"/>
              <w:jc w:val="center"/>
              <w:rPr>
                <w:sz w:val="20"/>
              </w:rPr>
            </w:pPr>
            <w:r>
              <w:rPr>
                <w:sz w:val="20"/>
              </w:rPr>
              <w:t>2</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spacing w:before="0" w:after="0"/>
        <w:jc w:val="left"/>
        <w:rPr>
          <w:sz w:val="20"/>
        </w:rPr>
      </w:pPr>
      <w:r>
        <w:rPr>
          <w:sz w:val="20"/>
        </w:rPr>
      </w:r>
    </w:p>
    <w:p>
      <w:pPr>
        <w:pStyle w:val="TextBody"/>
        <w:widowControl/>
        <w:bidi w:val="0"/>
        <w:spacing w:before="0" w:after="0"/>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EURONET WORLDWIDE, INC. AND SUBSIDIARIES</w:t>
      </w:r>
    </w:p>
    <w:p>
      <w:pPr>
        <w:pStyle w:val="TextBody"/>
        <w:widowControl/>
        <w:bidi w:val="0"/>
        <w:spacing w:before="0" w:after="0"/>
        <w:ind w:left="0" w:right="0" w:hanging="0"/>
        <w:jc w:val="left"/>
        <w:rPr/>
      </w:pPr>
      <w:hyperlink r:id="rId3">
        <w:bookmarkStart w:id="41" w:name="BE_SYSJ1C623K00000000000000000000"/>
        <w:bookmarkEnd w:id="41"/>
        <w:r>
          <w:rPr>
            <w:rStyle w:val="InternetLink"/>
            <w:rFonts w:ascii="Times New Roman" w:hAnsi="Times New Roman"/>
            <w:b/>
            <w:i w:val="false"/>
            <w:caps w:val="false"/>
            <w:smallCaps w:val="false"/>
            <w:strike w:val="false"/>
            <w:dstrike w:val="false"/>
            <w:color w:val="000000"/>
            <w:spacing w:val="0"/>
            <w:sz w:val="20"/>
            <w:u w:val="none"/>
            <w:effect w:val="none"/>
          </w:rPr>
          <w:t>CONSOLIDATED STATEMENTS OF COMPREHENSIVE INCOME</w:t>
        </w:r>
      </w:hyperlink>
    </w:p>
    <w:p>
      <w:pPr>
        <w:pStyle w:val="TextBody"/>
        <w:widowControl/>
        <w:bidi w:val="0"/>
        <w:spacing w:before="0" w:after="0"/>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(Unaudited, in millions)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10205" w:type="dxa"/>
        <w:jc w:val="left"/>
        <w:tblInd w:w="0" w:type="dxa"/>
        <w:tblLayout w:type="fixed"/>
        <w:tblCellMar>
          <w:top w:w="0" w:type="dxa"/>
          <w:left w:w="0" w:type="dxa"/>
          <w:bottom w:w="0" w:type="dxa"/>
          <w:right w:w="0" w:type="dxa"/>
        </w:tblCellMar>
      </w:tblPr>
      <w:tblGrid>
        <w:gridCol w:w="5596"/>
        <w:gridCol w:w="125"/>
        <w:gridCol w:w="846"/>
        <w:gridCol w:w="182"/>
        <w:gridCol w:w="43"/>
        <w:gridCol w:w="239"/>
        <w:gridCol w:w="846"/>
        <w:gridCol w:w="95"/>
        <w:gridCol w:w="23"/>
        <w:gridCol w:w="125"/>
        <w:gridCol w:w="810"/>
        <w:gridCol w:w="137"/>
        <w:gridCol w:w="32"/>
        <w:gridCol w:w="180"/>
        <w:gridCol w:w="810"/>
        <w:gridCol w:w="116"/>
      </w:tblGrid>
      <w:tr>
        <w:trPr/>
        <w:tc>
          <w:tcPr>
            <w:tcW w:w="559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156" w:type="dxa"/>
            <w:gridSpan w:val="5"/>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969" w:type="dxa"/>
            <w:gridSpan w:val="5"/>
            <w:tcBorders/>
            <w:vAlign w:val="center"/>
          </w:tcPr>
          <w:p>
            <w:pPr>
              <w:pStyle w:val="TableContents"/>
              <w:bidi w:val="0"/>
              <w:spacing w:before="0" w:after="283"/>
              <w:jc w:val="left"/>
              <w:rPr/>
            </w:pPr>
            <w:r>
              <w:rPr/>
            </w:r>
          </w:p>
        </w:tc>
        <w:tc>
          <w:tcPr>
            <w:tcW w:w="116" w:type="dxa"/>
            <w:tcBorders/>
            <w:vAlign w:val="center"/>
          </w:tcPr>
          <w:p>
            <w:pPr>
              <w:pStyle w:val="TableContents"/>
              <w:bidi w:val="0"/>
              <w:spacing w:before="0" w:after="283"/>
              <w:jc w:val="left"/>
              <w:rPr/>
            </w:pPr>
            <w:r>
              <w:rPr/>
            </w:r>
          </w:p>
        </w:tc>
      </w:tr>
      <w:tr>
        <w:trPr/>
        <w:tc>
          <w:tcPr>
            <w:tcW w:w="5596"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ind w:left="0" w:right="0" w:hanging="0"/>
              <w:jc w:val="center"/>
              <w:rPr>
                <w:sz w:val="16"/>
              </w:rPr>
            </w:pPr>
            <w:r>
              <w:rPr>
                <w:sz w:val="16"/>
              </w:rPr>
            </w:r>
          </w:p>
        </w:tc>
        <w:tc>
          <w:tcPr>
            <w:tcW w:w="2156" w:type="dxa"/>
            <w:gridSpan w:val="5"/>
            <w:tcBorders/>
            <w:vAlign w:val="center"/>
          </w:tcPr>
          <w:p>
            <w:pPr>
              <w:pStyle w:val="TableContents"/>
              <w:bidi w:val="0"/>
              <w:spacing w:lineRule="auto" w:line="240" w:before="0" w:after="0"/>
              <w:ind w:left="0" w:right="0" w:hanging="0"/>
              <w:jc w:val="center"/>
              <w:rPr>
                <w:b/>
                <w:sz w:val="16"/>
              </w:rPr>
            </w:pPr>
            <w:r>
              <w:rPr>
                <w:b/>
                <w:sz w:val="16"/>
              </w:rPr>
              <w:t>Three Months Ended June 30,</w:t>
            </w:r>
          </w:p>
        </w:tc>
        <w:tc>
          <w:tcPr>
            <w:tcW w:w="95"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969" w:type="dxa"/>
            <w:gridSpan w:val="5"/>
            <w:tcBorders/>
            <w:vAlign w:val="center"/>
          </w:tcPr>
          <w:p>
            <w:pPr>
              <w:pStyle w:val="TableContents"/>
              <w:bidi w:val="0"/>
              <w:spacing w:before="0" w:after="283"/>
              <w:jc w:val="center"/>
              <w:rPr>
                <w:b/>
                <w:sz w:val="16"/>
              </w:rPr>
            </w:pPr>
            <w:r>
              <w:rPr>
                <w:b/>
                <w:sz w:val="16"/>
              </w:rPr>
              <w:t>Six Months Ended June 30,</w:t>
            </w:r>
          </w:p>
        </w:tc>
        <w:tc>
          <w:tcPr>
            <w:tcW w:w="116" w:type="dxa"/>
            <w:tcBorders/>
            <w:vAlign w:val="center"/>
          </w:tcPr>
          <w:p>
            <w:pPr>
              <w:pStyle w:val="TableContents"/>
              <w:bidi w:val="0"/>
              <w:spacing w:before="0" w:after="283"/>
              <w:jc w:val="left"/>
              <w:rPr/>
            </w:pPr>
            <w:r>
              <w:rPr/>
            </w:r>
          </w:p>
        </w:tc>
      </w:tr>
      <w:tr>
        <w:trPr/>
        <w:tc>
          <w:tcPr>
            <w:tcW w:w="5596"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ind w:left="0" w:right="0" w:hanging="0"/>
              <w:jc w:val="center"/>
              <w:rPr>
                <w:sz w:val="16"/>
              </w:rPr>
            </w:pPr>
            <w:r>
              <w:rPr>
                <w:sz w:val="16"/>
              </w:rPr>
            </w:r>
          </w:p>
        </w:tc>
        <w:tc>
          <w:tcPr>
            <w:tcW w:w="846" w:type="dxa"/>
            <w:tcBorders/>
            <w:vAlign w:val="center"/>
          </w:tcPr>
          <w:p>
            <w:pPr>
              <w:pStyle w:val="TableContents"/>
              <w:bidi w:val="0"/>
              <w:spacing w:before="0" w:after="0"/>
              <w:jc w:val="center"/>
              <w:rPr>
                <w:b/>
                <w:sz w:val="16"/>
              </w:rPr>
            </w:pPr>
            <w:r>
              <w:rPr>
                <w:b/>
                <w:sz w:val="16"/>
              </w:rPr>
              <w:t>2024</w:t>
            </w:r>
          </w:p>
        </w:tc>
        <w:tc>
          <w:tcPr>
            <w:tcW w:w="182" w:type="dxa"/>
            <w:tcBorders/>
            <w:vAlign w:val="center"/>
          </w:tcPr>
          <w:p>
            <w:pPr>
              <w:pStyle w:val="TableContents"/>
              <w:bidi w:val="0"/>
              <w:spacing w:before="0" w:after="0"/>
              <w:ind w:left="0" w:right="0" w:hanging="0"/>
              <w:jc w:val="center"/>
              <w:rPr>
                <w:sz w:val="16"/>
              </w:rPr>
            </w:pPr>
            <w:r>
              <w:rPr>
                <w:sz w:val="16"/>
              </w:rPr>
            </w:r>
          </w:p>
        </w:tc>
        <w:tc>
          <w:tcPr>
            <w:tcW w:w="43" w:type="dxa"/>
            <w:tcBorders/>
            <w:vAlign w:val="center"/>
          </w:tcPr>
          <w:p>
            <w:pPr>
              <w:pStyle w:val="TableContents"/>
              <w:bidi w:val="0"/>
              <w:spacing w:before="0" w:after="0"/>
              <w:ind w:left="0" w:right="0" w:hanging="0"/>
              <w:jc w:val="center"/>
              <w:rPr>
                <w:sz w:val="16"/>
              </w:rPr>
            </w:pPr>
            <w:r>
              <w:rPr>
                <w:sz w:val="16"/>
              </w:rPr>
            </w:r>
          </w:p>
        </w:tc>
        <w:tc>
          <w:tcPr>
            <w:tcW w:w="239" w:type="dxa"/>
            <w:tcBorders/>
            <w:vAlign w:val="center"/>
          </w:tcPr>
          <w:p>
            <w:pPr>
              <w:pStyle w:val="TableContents"/>
              <w:bidi w:val="0"/>
              <w:spacing w:before="0" w:after="0"/>
              <w:ind w:left="0" w:right="0" w:hanging="0"/>
              <w:jc w:val="center"/>
              <w:rPr>
                <w:sz w:val="16"/>
              </w:rPr>
            </w:pPr>
            <w:r>
              <w:rPr>
                <w:sz w:val="16"/>
              </w:rPr>
            </w:r>
          </w:p>
        </w:tc>
        <w:tc>
          <w:tcPr>
            <w:tcW w:w="846" w:type="dxa"/>
            <w:tcBorders/>
            <w:vAlign w:val="center"/>
          </w:tcPr>
          <w:p>
            <w:pPr>
              <w:pStyle w:val="TableContents"/>
              <w:bidi w:val="0"/>
              <w:spacing w:before="0" w:after="0"/>
              <w:jc w:val="center"/>
              <w:rPr>
                <w:b/>
                <w:sz w:val="16"/>
              </w:rPr>
            </w:pPr>
            <w:r>
              <w:rPr>
                <w:b/>
                <w:sz w:val="16"/>
              </w:rPr>
              <w:t>2023</w:t>
            </w:r>
          </w:p>
        </w:tc>
        <w:tc>
          <w:tcPr>
            <w:tcW w:w="95"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810" w:type="dxa"/>
            <w:tcBorders/>
            <w:vAlign w:val="center"/>
          </w:tcPr>
          <w:p>
            <w:pPr>
              <w:pStyle w:val="TableContents"/>
              <w:bidi w:val="0"/>
              <w:spacing w:before="0" w:after="283"/>
              <w:jc w:val="center"/>
              <w:rPr>
                <w:b/>
                <w:sz w:val="16"/>
              </w:rPr>
            </w:pPr>
            <w:r>
              <w:rPr>
                <w:b/>
                <w:sz w:val="16"/>
              </w:rPr>
              <w:t>2024</w:t>
            </w:r>
          </w:p>
        </w:tc>
        <w:tc>
          <w:tcPr>
            <w:tcW w:w="137"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center"/>
              <w:rPr>
                <w:b/>
                <w:sz w:val="16"/>
              </w:rPr>
            </w:pPr>
            <w:r>
              <w:rPr>
                <w:b/>
                <w:sz w:val="16"/>
              </w:rPr>
              <w:t>2023</w:t>
            </w:r>
          </w:p>
        </w:tc>
        <w:tc>
          <w:tcPr>
            <w:tcW w:w="116" w:type="dxa"/>
            <w:tcBorders/>
            <w:vAlign w:val="center"/>
          </w:tcPr>
          <w:p>
            <w:pPr>
              <w:pStyle w:val="TableContents"/>
              <w:bidi w:val="0"/>
              <w:spacing w:before="0" w:after="283"/>
              <w:jc w:val="left"/>
              <w:rPr/>
            </w:pPr>
            <w:r>
              <w:rPr/>
            </w:r>
          </w:p>
        </w:tc>
      </w:tr>
      <w:tr>
        <w:trPr/>
        <w:tc>
          <w:tcPr>
            <w:tcW w:w="5596"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Net income</w:t>
            </w:r>
          </w:p>
        </w:tc>
        <w:tc>
          <w:tcPr>
            <w:tcW w:w="125" w:type="dxa"/>
            <w:tcBorders/>
            <w:shd w:fill="CCEEFF" w:val="clear"/>
            <w:vAlign w:val="center"/>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846" w:type="dxa"/>
            <w:tcBorders/>
            <w:shd w:fill="CCEEFF" w:val="clear"/>
            <w:vAlign w:val="center"/>
          </w:tcPr>
          <w:p>
            <w:pPr>
              <w:pStyle w:val="TableContents"/>
              <w:bidi w:val="0"/>
              <w:spacing w:before="0" w:after="0"/>
              <w:ind w:left="0" w:right="0" w:hanging="0"/>
              <w:jc w:val="right"/>
              <w:rPr>
                <w:sz w:val="20"/>
              </w:rPr>
            </w:pPr>
            <w:r>
              <w:rPr>
                <w:sz w:val="20"/>
              </w:rPr>
              <w:t>83.2</w:t>
            </w:r>
          </w:p>
        </w:tc>
        <w:tc>
          <w:tcPr>
            <w:tcW w:w="182" w:type="dxa"/>
            <w:tcBorders/>
            <w:shd w:fill="CCEEFF" w:val="clear"/>
            <w:vAlign w:val="center"/>
          </w:tcPr>
          <w:p>
            <w:pPr>
              <w:pStyle w:val="TableContents"/>
              <w:bidi w:val="0"/>
              <w:spacing w:before="0" w:after="0"/>
              <w:ind w:left="0" w:right="0" w:hanging="0"/>
              <w:jc w:val="left"/>
              <w:rPr>
                <w:sz w:val="20"/>
              </w:rPr>
            </w:pPr>
            <w:r>
              <w:rPr>
                <w:sz w:val="20"/>
              </w:rPr>
            </w:r>
          </w:p>
        </w:tc>
        <w:tc>
          <w:tcPr>
            <w:tcW w:w="43" w:type="dxa"/>
            <w:tcBorders/>
            <w:shd w:fill="CCEEFF" w:val="clear"/>
            <w:vAlign w:val="center"/>
          </w:tcPr>
          <w:p>
            <w:pPr>
              <w:pStyle w:val="TableContents"/>
              <w:bidi w:val="0"/>
              <w:spacing w:before="0" w:after="0"/>
              <w:ind w:left="0" w:right="0" w:hanging="0"/>
              <w:jc w:val="left"/>
              <w:rPr>
                <w:sz w:val="20"/>
              </w:rPr>
            </w:pPr>
            <w:r>
              <w:rPr>
                <w:sz w:val="20"/>
              </w:rPr>
            </w:r>
          </w:p>
        </w:tc>
        <w:tc>
          <w:tcPr>
            <w:tcW w:w="239" w:type="dxa"/>
            <w:tcBorders/>
            <w:shd w:fill="CCEEFF" w:val="clear"/>
            <w:vAlign w:val="center"/>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846" w:type="dxa"/>
            <w:tcBorders/>
            <w:shd w:fill="CCEEFF" w:val="clear"/>
            <w:vAlign w:val="center"/>
          </w:tcPr>
          <w:p>
            <w:pPr>
              <w:pStyle w:val="TableContents"/>
              <w:bidi w:val="0"/>
              <w:spacing w:before="0" w:after="0"/>
              <w:jc w:val="right"/>
              <w:rPr>
                <w:sz w:val="20"/>
              </w:rPr>
            </w:pPr>
            <w:r>
              <w:rPr>
                <w:sz w:val="20"/>
              </w:rPr>
              <w:t>86.0</w:t>
            </w:r>
          </w:p>
        </w:tc>
        <w:tc>
          <w:tcPr>
            <w:tcW w:w="95"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125" w:type="dxa"/>
            <w:tcBorders/>
            <w:shd w:fill="CCEEFF" w:val="clear"/>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810" w:type="dxa"/>
            <w:tcBorders/>
            <w:shd w:fill="CCEEFF" w:val="clear"/>
            <w:vAlign w:val="center"/>
          </w:tcPr>
          <w:p>
            <w:pPr>
              <w:pStyle w:val="TableContents"/>
              <w:bidi w:val="0"/>
              <w:spacing w:before="0" w:after="283"/>
              <w:jc w:val="right"/>
              <w:rPr/>
            </w:pPr>
            <w:r>
              <w:rPr/>
              <w:t>109.4</w:t>
            </w:r>
          </w:p>
        </w:tc>
        <w:tc>
          <w:tcPr>
            <w:tcW w:w="137" w:type="dxa"/>
            <w:tcBorders/>
            <w:shd w:fill="CCEEFF" w:val="clear"/>
            <w:vAlign w:val="center"/>
          </w:tcPr>
          <w:p>
            <w:pPr>
              <w:pStyle w:val="TableContents"/>
              <w:bidi w:val="0"/>
              <w:spacing w:before="0" w:after="283"/>
              <w:jc w:val="left"/>
              <w:rPr/>
            </w:pPr>
            <w:r>
              <w:rPr/>
            </w:r>
          </w:p>
        </w:tc>
        <w:tc>
          <w:tcPr>
            <w:tcW w:w="32" w:type="dxa"/>
            <w:tcBorders/>
            <w:shd w:fill="CCEEFF" w:val="clear"/>
            <w:vAlign w:val="center"/>
          </w:tcPr>
          <w:p>
            <w:pPr>
              <w:pStyle w:val="TableContents"/>
              <w:bidi w:val="0"/>
              <w:spacing w:before="0" w:after="283"/>
              <w:jc w:val="left"/>
              <w:rPr/>
            </w:pPr>
            <w:r>
              <w:rPr/>
            </w:r>
          </w:p>
        </w:tc>
        <w:tc>
          <w:tcPr>
            <w:tcW w:w="180" w:type="dxa"/>
            <w:tcBorders/>
            <w:shd w:fill="CCEEFF" w:val="clear"/>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810" w:type="dxa"/>
            <w:tcBorders/>
            <w:shd w:fill="CCEEFF" w:val="clear"/>
            <w:vAlign w:val="center"/>
          </w:tcPr>
          <w:p>
            <w:pPr>
              <w:pStyle w:val="TableContents"/>
              <w:bidi w:val="0"/>
              <w:spacing w:before="0" w:after="283"/>
              <w:jc w:val="right"/>
              <w:rPr/>
            </w:pPr>
            <w:r>
              <w:rPr/>
              <w:t>105.8</w:t>
            </w:r>
          </w:p>
        </w:tc>
        <w:tc>
          <w:tcPr>
            <w:tcW w:w="116" w:type="dxa"/>
            <w:tcBorders/>
            <w:shd w:fill="CCEEFF" w:val="clear"/>
            <w:vAlign w:val="center"/>
          </w:tcPr>
          <w:p>
            <w:pPr>
              <w:pStyle w:val="TableContents"/>
              <w:bidi w:val="0"/>
              <w:spacing w:before="0" w:after="283"/>
              <w:jc w:val="left"/>
              <w:rPr/>
            </w:pPr>
            <w:r>
              <w:rPr/>
            </w:r>
          </w:p>
        </w:tc>
      </w:tr>
      <w:tr>
        <w:trPr/>
        <w:tc>
          <w:tcPr>
            <w:tcW w:w="5596"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Translation adjustment</w:t>
            </w:r>
          </w:p>
        </w:tc>
        <w:tc>
          <w:tcPr>
            <w:tcW w:w="125" w:type="dxa"/>
            <w:tcBorders/>
            <w:vAlign w:val="center"/>
          </w:tcPr>
          <w:p>
            <w:pPr>
              <w:pStyle w:val="TableContents"/>
              <w:bidi w:val="0"/>
              <w:spacing w:before="0" w:after="0"/>
              <w:ind w:left="0" w:right="0" w:hanging="0"/>
              <w:jc w:val="right"/>
              <w:rPr>
                <w:sz w:val="20"/>
              </w:rPr>
            </w:pPr>
            <w:r>
              <w:rPr>
                <w:sz w:val="20"/>
              </w:rPr>
            </w:r>
          </w:p>
        </w:tc>
        <w:tc>
          <w:tcPr>
            <w:tcW w:w="846" w:type="dxa"/>
            <w:tcBorders/>
            <w:vAlign w:val="center"/>
          </w:tcPr>
          <w:p>
            <w:pPr>
              <w:pStyle w:val="TableContents"/>
              <w:bidi w:val="0"/>
              <w:spacing w:before="0" w:after="0"/>
              <w:ind w:left="0" w:right="0" w:hanging="0"/>
              <w:jc w:val="right"/>
              <w:rPr>
                <w:sz w:val="20"/>
              </w:rPr>
            </w:pPr>
            <w:r>
              <w:rPr>
                <w:sz w:val="20"/>
              </w:rPr>
              <w:t>(10.0</w:t>
            </w:r>
          </w:p>
        </w:tc>
        <w:tc>
          <w:tcPr>
            <w:tcW w:w="182" w:type="dxa"/>
            <w:tcBorders/>
            <w:vAlign w:val="bottom"/>
          </w:tcPr>
          <w:p>
            <w:pPr>
              <w:pStyle w:val="TableContents"/>
              <w:bidi w:val="0"/>
              <w:spacing w:before="0" w:after="0"/>
              <w:ind w:left="0" w:right="0" w:hanging="0"/>
              <w:jc w:val="left"/>
              <w:rPr/>
            </w:pPr>
            <w:r>
              <w:rPr/>
              <w:t>)</w:t>
            </w:r>
          </w:p>
        </w:tc>
        <w:tc>
          <w:tcPr>
            <w:tcW w:w="43" w:type="dxa"/>
            <w:tcBorders/>
            <w:vAlign w:val="center"/>
          </w:tcPr>
          <w:p>
            <w:pPr>
              <w:pStyle w:val="TableContents"/>
              <w:bidi w:val="0"/>
              <w:spacing w:before="0" w:after="0"/>
              <w:ind w:left="0" w:right="0" w:hanging="0"/>
              <w:jc w:val="right"/>
              <w:rPr>
                <w:sz w:val="20"/>
              </w:rPr>
            </w:pPr>
            <w:r>
              <w:rPr>
                <w:sz w:val="20"/>
              </w:rPr>
            </w:r>
          </w:p>
        </w:tc>
        <w:tc>
          <w:tcPr>
            <w:tcW w:w="239" w:type="dxa"/>
            <w:tcBorders/>
            <w:vAlign w:val="center"/>
          </w:tcPr>
          <w:p>
            <w:pPr>
              <w:pStyle w:val="TableContents"/>
              <w:bidi w:val="0"/>
              <w:spacing w:before="0" w:after="0"/>
              <w:ind w:left="0" w:right="0" w:hanging="0"/>
              <w:jc w:val="right"/>
              <w:rPr>
                <w:sz w:val="20"/>
              </w:rPr>
            </w:pPr>
            <w:r>
              <w:rPr>
                <w:sz w:val="20"/>
              </w:rPr>
            </w:r>
          </w:p>
        </w:tc>
        <w:tc>
          <w:tcPr>
            <w:tcW w:w="846" w:type="dxa"/>
            <w:tcBorders/>
            <w:vAlign w:val="center"/>
          </w:tcPr>
          <w:p>
            <w:pPr>
              <w:pStyle w:val="TableContents"/>
              <w:bidi w:val="0"/>
              <w:spacing w:before="0" w:after="0"/>
              <w:ind w:left="0" w:right="0" w:hanging="0"/>
              <w:jc w:val="right"/>
              <w:rPr>
                <w:sz w:val="20"/>
              </w:rPr>
            </w:pPr>
            <w:r>
              <w:rPr>
                <w:sz w:val="20"/>
              </w:rPr>
              <w:t>10.0</w:t>
            </w:r>
          </w:p>
        </w:tc>
        <w:tc>
          <w:tcPr>
            <w:tcW w:w="95"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ind w:left="0" w:right="0" w:hanging="0"/>
              <w:jc w:val="left"/>
              <w:rPr/>
            </w:pPr>
            <w:r>
              <w:rPr/>
            </w:r>
          </w:p>
        </w:tc>
        <w:tc>
          <w:tcPr>
            <w:tcW w:w="125" w:type="dxa"/>
            <w:tcBorders/>
            <w:vAlign w:val="center"/>
          </w:tcPr>
          <w:p>
            <w:pPr>
              <w:pStyle w:val="TableContents"/>
              <w:bidi w:val="0"/>
              <w:spacing w:before="0" w:after="283"/>
              <w:ind w:left="0" w:right="0" w:hanging="0"/>
              <w:jc w:val="left"/>
              <w:rPr/>
            </w:pPr>
            <w:r>
              <w:rPr/>
            </w:r>
          </w:p>
        </w:tc>
        <w:tc>
          <w:tcPr>
            <w:tcW w:w="810" w:type="dxa"/>
            <w:tcBorders/>
            <w:vAlign w:val="center"/>
          </w:tcPr>
          <w:p>
            <w:pPr>
              <w:pStyle w:val="TableContents"/>
              <w:bidi w:val="0"/>
              <w:spacing w:before="0" w:after="0"/>
              <w:ind w:left="0" w:right="0" w:hanging="0"/>
              <w:jc w:val="right"/>
              <w:rPr/>
            </w:pPr>
            <w:r>
              <w:rPr/>
              <w:t>(55.0</w:t>
            </w:r>
          </w:p>
        </w:tc>
        <w:tc>
          <w:tcPr>
            <w:tcW w:w="137" w:type="dxa"/>
            <w:tcBorders/>
            <w:vAlign w:val="center"/>
          </w:tcPr>
          <w:p>
            <w:pPr>
              <w:pStyle w:val="TableContents"/>
              <w:bidi w:val="0"/>
              <w:spacing w:before="0" w:after="0"/>
              <w:ind w:left="0" w:right="0" w:hanging="0"/>
              <w:jc w:val="left"/>
              <w:rPr/>
            </w:pPr>
            <w:r>
              <w:rPr/>
              <w:t>)</w:t>
            </w:r>
          </w:p>
        </w:tc>
        <w:tc>
          <w:tcPr>
            <w:tcW w:w="32" w:type="dxa"/>
            <w:tcBorders/>
            <w:vAlign w:val="center"/>
          </w:tcPr>
          <w:p>
            <w:pPr>
              <w:pStyle w:val="TableContents"/>
              <w:bidi w:val="0"/>
              <w:spacing w:before="0" w:after="283"/>
              <w:ind w:left="0" w:right="0" w:hanging="0"/>
              <w:jc w:val="left"/>
              <w:rPr/>
            </w:pPr>
            <w:r>
              <w:rPr/>
            </w:r>
          </w:p>
        </w:tc>
        <w:tc>
          <w:tcPr>
            <w:tcW w:w="180" w:type="dxa"/>
            <w:tcBorders/>
            <w:vAlign w:val="center"/>
          </w:tcPr>
          <w:p>
            <w:pPr>
              <w:pStyle w:val="TableContents"/>
              <w:bidi w:val="0"/>
              <w:spacing w:before="0" w:after="283"/>
              <w:ind w:left="0" w:right="0" w:hanging="0"/>
              <w:jc w:val="left"/>
              <w:rPr/>
            </w:pPr>
            <w:r>
              <w:rPr/>
            </w:r>
          </w:p>
        </w:tc>
        <w:tc>
          <w:tcPr>
            <w:tcW w:w="810" w:type="dxa"/>
            <w:tcBorders/>
            <w:vAlign w:val="center"/>
          </w:tcPr>
          <w:p>
            <w:pPr>
              <w:pStyle w:val="TableContents"/>
              <w:bidi w:val="0"/>
              <w:spacing w:before="0" w:after="0"/>
              <w:ind w:left="0" w:right="0" w:hanging="0"/>
              <w:jc w:val="right"/>
              <w:rPr/>
            </w:pPr>
            <w:r>
              <w:rPr/>
              <w:t>30.8</w:t>
            </w:r>
          </w:p>
        </w:tc>
        <w:tc>
          <w:tcPr>
            <w:tcW w:w="116" w:type="dxa"/>
            <w:tcBorders/>
            <w:vAlign w:val="center"/>
          </w:tcPr>
          <w:p>
            <w:pPr>
              <w:pStyle w:val="TableContents"/>
              <w:bidi w:val="0"/>
              <w:spacing w:before="0" w:after="283"/>
              <w:jc w:val="left"/>
              <w:rPr/>
            </w:pPr>
            <w:r>
              <w:rPr/>
            </w:r>
          </w:p>
        </w:tc>
      </w:tr>
      <w:tr>
        <w:trPr/>
        <w:tc>
          <w:tcPr>
            <w:tcW w:w="5596"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Comprehensive income</w:t>
            </w:r>
          </w:p>
        </w:tc>
        <w:tc>
          <w:tcPr>
            <w:tcW w:w="125" w:type="dxa"/>
            <w:tcBorders/>
            <w:shd w:fill="CCEEFF" w:val="clear"/>
            <w:vAlign w:val="center"/>
          </w:tcPr>
          <w:p>
            <w:pPr>
              <w:pStyle w:val="TableContents"/>
              <w:bidi w:val="0"/>
              <w:spacing w:before="0" w:after="0"/>
              <w:ind w:left="0" w:right="0" w:hanging="0"/>
              <w:jc w:val="right"/>
              <w:rPr>
                <w:sz w:val="20"/>
              </w:rPr>
            </w:pPr>
            <w:r>
              <w:rPr>
                <w:sz w:val="20"/>
              </w:rPr>
            </w:r>
          </w:p>
        </w:tc>
        <w:tc>
          <w:tcPr>
            <w:tcW w:w="846" w:type="dxa"/>
            <w:tcBorders/>
            <w:shd w:fill="CCEEFF" w:val="clear"/>
            <w:vAlign w:val="center"/>
          </w:tcPr>
          <w:p>
            <w:pPr>
              <w:pStyle w:val="TableContents"/>
              <w:bidi w:val="0"/>
              <w:spacing w:before="0" w:after="0"/>
              <w:ind w:left="0" w:right="0" w:hanging="0"/>
              <w:jc w:val="right"/>
              <w:rPr>
                <w:sz w:val="20"/>
              </w:rPr>
            </w:pPr>
            <w:r>
              <w:rPr>
                <w:sz w:val="20"/>
              </w:rPr>
              <w:t>73.2</w:t>
            </w:r>
          </w:p>
        </w:tc>
        <w:tc>
          <w:tcPr>
            <w:tcW w:w="182"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43" w:type="dxa"/>
            <w:tcBorders/>
            <w:shd w:fill="CCEEFF" w:val="clear"/>
            <w:vAlign w:val="center"/>
          </w:tcPr>
          <w:p>
            <w:pPr>
              <w:pStyle w:val="TableContents"/>
              <w:bidi w:val="0"/>
              <w:spacing w:before="0" w:after="0"/>
              <w:ind w:left="0" w:right="0" w:hanging="0"/>
              <w:jc w:val="right"/>
              <w:rPr>
                <w:sz w:val="20"/>
              </w:rPr>
            </w:pPr>
            <w:r>
              <w:rPr>
                <w:sz w:val="20"/>
              </w:rPr>
            </w:r>
          </w:p>
        </w:tc>
        <w:tc>
          <w:tcPr>
            <w:tcW w:w="239" w:type="dxa"/>
            <w:tcBorders/>
            <w:shd w:fill="CCEEFF" w:val="clear"/>
            <w:vAlign w:val="center"/>
          </w:tcPr>
          <w:p>
            <w:pPr>
              <w:pStyle w:val="TableContents"/>
              <w:bidi w:val="0"/>
              <w:spacing w:before="0" w:after="0"/>
              <w:ind w:left="0" w:right="0" w:hanging="0"/>
              <w:jc w:val="right"/>
              <w:rPr>
                <w:sz w:val="20"/>
              </w:rPr>
            </w:pPr>
            <w:r>
              <w:rPr>
                <w:sz w:val="20"/>
              </w:rPr>
            </w:r>
          </w:p>
        </w:tc>
        <w:tc>
          <w:tcPr>
            <w:tcW w:w="846" w:type="dxa"/>
            <w:tcBorders/>
            <w:shd w:fill="CCEEFF" w:val="clear"/>
            <w:vAlign w:val="center"/>
          </w:tcPr>
          <w:p>
            <w:pPr>
              <w:pStyle w:val="TableContents"/>
              <w:bidi w:val="0"/>
              <w:spacing w:before="0" w:after="0"/>
              <w:ind w:left="0" w:right="0" w:hanging="0"/>
              <w:jc w:val="right"/>
              <w:rPr/>
            </w:pPr>
            <w:r>
              <w:rPr/>
              <w:t>96.0</w:t>
            </w:r>
          </w:p>
        </w:tc>
        <w:tc>
          <w:tcPr>
            <w:tcW w:w="95"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23" w:type="dxa"/>
            <w:tcBorders/>
            <w:shd w:fill="CCEEFF" w:val="clear"/>
            <w:vAlign w:val="center"/>
          </w:tcPr>
          <w:p>
            <w:pPr>
              <w:pStyle w:val="TableContents"/>
              <w:bidi w:val="0"/>
              <w:spacing w:before="0" w:after="283"/>
              <w:ind w:left="0" w:right="0" w:hanging="0"/>
              <w:jc w:val="left"/>
              <w:rPr/>
            </w:pPr>
            <w:r>
              <w:rPr/>
            </w:r>
          </w:p>
        </w:tc>
        <w:tc>
          <w:tcPr>
            <w:tcW w:w="125" w:type="dxa"/>
            <w:tcBorders/>
            <w:shd w:fill="CCEEFF" w:val="clear"/>
            <w:vAlign w:val="center"/>
          </w:tcPr>
          <w:p>
            <w:pPr>
              <w:pStyle w:val="TableContents"/>
              <w:bidi w:val="0"/>
              <w:spacing w:before="0" w:after="283"/>
              <w:ind w:left="0" w:right="0" w:hanging="0"/>
              <w:jc w:val="left"/>
              <w:rPr/>
            </w:pPr>
            <w:r>
              <w:rPr/>
            </w:r>
          </w:p>
        </w:tc>
        <w:tc>
          <w:tcPr>
            <w:tcW w:w="810" w:type="dxa"/>
            <w:tcBorders/>
            <w:shd w:fill="CCEEFF" w:val="clear"/>
            <w:vAlign w:val="center"/>
          </w:tcPr>
          <w:p>
            <w:pPr>
              <w:pStyle w:val="TableContents"/>
              <w:bidi w:val="0"/>
              <w:spacing w:before="0" w:after="0"/>
              <w:ind w:left="0" w:right="0" w:hanging="0"/>
              <w:jc w:val="right"/>
              <w:rPr/>
            </w:pPr>
            <w:r>
              <w:rPr/>
              <w:t>54.4</w:t>
            </w:r>
          </w:p>
        </w:tc>
        <w:tc>
          <w:tcPr>
            <w:tcW w:w="137" w:type="dxa"/>
            <w:tcBorders/>
            <w:shd w:fill="CCEEFF" w:val="clear"/>
            <w:vAlign w:val="center"/>
          </w:tcPr>
          <w:p>
            <w:pPr>
              <w:pStyle w:val="TableContents"/>
              <w:bidi w:val="0"/>
              <w:spacing w:before="0" w:after="283"/>
              <w:ind w:left="0" w:right="0" w:hanging="0"/>
              <w:jc w:val="left"/>
              <w:rPr/>
            </w:pPr>
            <w:r>
              <w:rPr/>
            </w:r>
          </w:p>
        </w:tc>
        <w:tc>
          <w:tcPr>
            <w:tcW w:w="32" w:type="dxa"/>
            <w:tcBorders/>
            <w:shd w:fill="CCEEFF" w:val="clear"/>
            <w:vAlign w:val="center"/>
          </w:tcPr>
          <w:p>
            <w:pPr>
              <w:pStyle w:val="TableContents"/>
              <w:bidi w:val="0"/>
              <w:spacing w:before="0" w:after="283"/>
              <w:ind w:left="0" w:right="0" w:hanging="0"/>
              <w:jc w:val="left"/>
              <w:rPr/>
            </w:pPr>
            <w:r>
              <w:rPr/>
            </w:r>
          </w:p>
        </w:tc>
        <w:tc>
          <w:tcPr>
            <w:tcW w:w="180" w:type="dxa"/>
            <w:tcBorders/>
            <w:shd w:fill="CCEEFF" w:val="clear"/>
            <w:vAlign w:val="center"/>
          </w:tcPr>
          <w:p>
            <w:pPr>
              <w:pStyle w:val="TableContents"/>
              <w:bidi w:val="0"/>
              <w:spacing w:before="0" w:after="283"/>
              <w:ind w:left="0" w:right="0" w:hanging="0"/>
              <w:jc w:val="left"/>
              <w:rPr/>
            </w:pPr>
            <w:r>
              <w:rPr/>
            </w:r>
          </w:p>
        </w:tc>
        <w:tc>
          <w:tcPr>
            <w:tcW w:w="810" w:type="dxa"/>
            <w:tcBorders/>
            <w:shd w:fill="CCEEFF" w:val="clear"/>
            <w:vAlign w:val="center"/>
          </w:tcPr>
          <w:p>
            <w:pPr>
              <w:pStyle w:val="TableContents"/>
              <w:bidi w:val="0"/>
              <w:spacing w:before="0" w:after="0"/>
              <w:ind w:left="0" w:right="0" w:hanging="0"/>
              <w:jc w:val="right"/>
              <w:rPr/>
            </w:pPr>
            <w:r>
              <w:rPr/>
              <w:t>136.6</w:t>
            </w:r>
          </w:p>
        </w:tc>
        <w:tc>
          <w:tcPr>
            <w:tcW w:w="116" w:type="dxa"/>
            <w:tcBorders/>
            <w:shd w:fill="CCEEFF" w:val="clear"/>
            <w:vAlign w:val="center"/>
          </w:tcPr>
          <w:p>
            <w:pPr>
              <w:pStyle w:val="TableContents"/>
              <w:bidi w:val="0"/>
              <w:spacing w:before="0" w:after="283"/>
              <w:jc w:val="left"/>
              <w:rPr/>
            </w:pPr>
            <w:r>
              <w:rPr/>
            </w:r>
          </w:p>
        </w:tc>
      </w:tr>
      <w:tr>
        <w:trPr/>
        <w:tc>
          <w:tcPr>
            <w:tcW w:w="5596"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Comprehensive (income) loss attributable to noncontrolling interests </w:t>
            </w:r>
          </w:p>
        </w:tc>
        <w:tc>
          <w:tcPr>
            <w:tcW w:w="125" w:type="dxa"/>
            <w:tcBorders/>
            <w:vAlign w:val="center"/>
          </w:tcPr>
          <w:p>
            <w:pPr>
              <w:pStyle w:val="TableContents"/>
              <w:bidi w:val="0"/>
              <w:spacing w:before="0" w:after="0"/>
              <w:ind w:left="0" w:right="0" w:hanging="0"/>
              <w:jc w:val="right"/>
              <w:rPr>
                <w:sz w:val="20"/>
              </w:rPr>
            </w:pPr>
            <w:r>
              <w:rPr>
                <w:sz w:val="20"/>
              </w:rPr>
            </w:r>
          </w:p>
        </w:tc>
        <w:tc>
          <w:tcPr>
            <w:tcW w:w="846" w:type="dxa"/>
            <w:tcBorders/>
            <w:vAlign w:val="center"/>
          </w:tcPr>
          <w:p>
            <w:pPr>
              <w:pStyle w:val="TableContents"/>
              <w:bidi w:val="0"/>
              <w:spacing w:before="0" w:after="0"/>
              <w:ind w:left="0" w:right="0" w:hanging="0"/>
              <w:jc w:val="right"/>
              <w:rPr>
                <w:sz w:val="20"/>
              </w:rPr>
            </w:pPr>
            <w:r>
              <w:rPr>
                <w:sz w:val="20"/>
              </w:rPr>
              <w:t>0.1</w:t>
            </w:r>
          </w:p>
        </w:tc>
        <w:tc>
          <w:tcPr>
            <w:tcW w:w="182" w:type="dxa"/>
            <w:tcBorders/>
            <w:vAlign w:val="bottom"/>
          </w:tcPr>
          <w:p>
            <w:pPr>
              <w:pStyle w:val="TableContents"/>
              <w:bidi w:val="0"/>
              <w:spacing w:before="0" w:after="283"/>
              <w:ind w:left="0" w:right="0" w:hanging="0"/>
              <w:jc w:val="left"/>
              <w:rPr>
                <w:sz w:val="4"/>
                <w:szCs w:val="4"/>
              </w:rPr>
            </w:pPr>
            <w:r>
              <w:rPr>
                <w:sz w:val="4"/>
                <w:szCs w:val="4"/>
              </w:rPr>
            </w:r>
          </w:p>
        </w:tc>
        <w:tc>
          <w:tcPr>
            <w:tcW w:w="43" w:type="dxa"/>
            <w:tcBorders/>
            <w:vAlign w:val="center"/>
          </w:tcPr>
          <w:p>
            <w:pPr>
              <w:pStyle w:val="TableContents"/>
              <w:bidi w:val="0"/>
              <w:spacing w:before="0" w:after="0"/>
              <w:ind w:left="0" w:right="0" w:hanging="0"/>
              <w:jc w:val="right"/>
              <w:rPr>
                <w:sz w:val="20"/>
              </w:rPr>
            </w:pPr>
            <w:r>
              <w:rPr>
                <w:sz w:val="20"/>
              </w:rPr>
            </w:r>
          </w:p>
        </w:tc>
        <w:tc>
          <w:tcPr>
            <w:tcW w:w="239" w:type="dxa"/>
            <w:tcBorders/>
            <w:vAlign w:val="center"/>
          </w:tcPr>
          <w:p>
            <w:pPr>
              <w:pStyle w:val="TableContents"/>
              <w:bidi w:val="0"/>
              <w:spacing w:before="0" w:after="0"/>
              <w:ind w:left="0" w:right="0" w:hanging="0"/>
              <w:jc w:val="right"/>
              <w:rPr>
                <w:sz w:val="20"/>
              </w:rPr>
            </w:pPr>
            <w:r>
              <w:rPr>
                <w:sz w:val="20"/>
              </w:rPr>
            </w:r>
          </w:p>
        </w:tc>
        <w:tc>
          <w:tcPr>
            <w:tcW w:w="846" w:type="dxa"/>
            <w:tcBorders/>
            <w:vAlign w:val="center"/>
          </w:tcPr>
          <w:p>
            <w:pPr>
              <w:pStyle w:val="TableContents"/>
              <w:bidi w:val="0"/>
              <w:spacing w:before="0" w:after="0"/>
              <w:ind w:left="0" w:right="0" w:hanging="0"/>
              <w:jc w:val="right"/>
              <w:rPr>
                <w:sz w:val="20"/>
              </w:rPr>
            </w:pPr>
            <w:r>
              <w:rPr>
                <w:sz w:val="20"/>
              </w:rPr>
              <w:t>(0.1</w:t>
            </w:r>
          </w:p>
        </w:tc>
        <w:tc>
          <w:tcPr>
            <w:tcW w:w="9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283"/>
              <w:ind w:left="0" w:right="0" w:hanging="0"/>
              <w:jc w:val="left"/>
              <w:rPr/>
            </w:pPr>
            <w:r>
              <w:rPr/>
            </w:r>
          </w:p>
        </w:tc>
        <w:tc>
          <w:tcPr>
            <w:tcW w:w="125" w:type="dxa"/>
            <w:tcBorders/>
            <w:vAlign w:val="center"/>
          </w:tcPr>
          <w:p>
            <w:pPr>
              <w:pStyle w:val="TableContents"/>
              <w:bidi w:val="0"/>
              <w:spacing w:before="0" w:after="283"/>
              <w:ind w:left="0" w:right="0" w:hanging="0"/>
              <w:jc w:val="left"/>
              <w:rPr/>
            </w:pPr>
            <w:r>
              <w:rPr/>
            </w:r>
          </w:p>
        </w:tc>
        <w:tc>
          <w:tcPr>
            <w:tcW w:w="810" w:type="dxa"/>
            <w:tcBorders/>
            <w:vAlign w:val="center"/>
          </w:tcPr>
          <w:p>
            <w:pPr>
              <w:pStyle w:val="TableContents"/>
              <w:bidi w:val="0"/>
              <w:spacing w:before="0" w:after="0"/>
              <w:ind w:left="0" w:right="0" w:hanging="0"/>
              <w:jc w:val="right"/>
              <w:rPr/>
            </w:pPr>
            <w:r>
              <w:rPr/>
              <w:t>0.1</w:t>
            </w:r>
          </w:p>
        </w:tc>
        <w:tc>
          <w:tcPr>
            <w:tcW w:w="137" w:type="dxa"/>
            <w:tcBorders/>
            <w:vAlign w:val="center"/>
          </w:tcPr>
          <w:p>
            <w:pPr>
              <w:pStyle w:val="TableContents"/>
              <w:bidi w:val="0"/>
              <w:spacing w:before="0" w:after="283"/>
              <w:ind w:left="0" w:right="0" w:hanging="0"/>
              <w:jc w:val="left"/>
              <w:rPr/>
            </w:pPr>
            <w:r>
              <w:rPr/>
            </w:r>
          </w:p>
        </w:tc>
        <w:tc>
          <w:tcPr>
            <w:tcW w:w="32" w:type="dxa"/>
            <w:tcBorders/>
            <w:vAlign w:val="center"/>
          </w:tcPr>
          <w:p>
            <w:pPr>
              <w:pStyle w:val="TableContents"/>
              <w:bidi w:val="0"/>
              <w:spacing w:before="0" w:after="283"/>
              <w:ind w:left="0" w:right="0" w:hanging="0"/>
              <w:jc w:val="left"/>
              <w:rPr/>
            </w:pPr>
            <w:r>
              <w:rPr/>
            </w:r>
          </w:p>
        </w:tc>
        <w:tc>
          <w:tcPr>
            <w:tcW w:w="180" w:type="dxa"/>
            <w:tcBorders/>
            <w:vAlign w:val="center"/>
          </w:tcPr>
          <w:p>
            <w:pPr>
              <w:pStyle w:val="TableContents"/>
              <w:bidi w:val="0"/>
              <w:spacing w:before="0" w:after="283"/>
              <w:ind w:left="0" w:right="0" w:hanging="0"/>
              <w:jc w:val="left"/>
              <w:rPr/>
            </w:pPr>
            <w:r>
              <w:rPr/>
            </w:r>
          </w:p>
        </w:tc>
        <w:tc>
          <w:tcPr>
            <w:tcW w:w="810" w:type="dxa"/>
            <w:tcBorders/>
            <w:vAlign w:val="center"/>
          </w:tcPr>
          <w:p>
            <w:pPr>
              <w:pStyle w:val="TableContents"/>
              <w:bidi w:val="0"/>
              <w:spacing w:before="0" w:after="0"/>
              <w:ind w:left="0" w:right="0" w:hanging="0"/>
              <w:jc w:val="right"/>
              <w:rPr/>
            </w:pPr>
            <w:r>
              <w:rPr/>
              <w:t>(0.3</w:t>
            </w:r>
          </w:p>
        </w:tc>
        <w:tc>
          <w:tcPr>
            <w:tcW w:w="116" w:type="dxa"/>
            <w:tcBorders/>
            <w:vAlign w:val="center"/>
          </w:tcPr>
          <w:p>
            <w:pPr>
              <w:pStyle w:val="TableContents"/>
              <w:bidi w:val="0"/>
              <w:spacing w:before="0" w:after="0"/>
              <w:jc w:val="left"/>
              <w:rPr/>
            </w:pPr>
            <w:r>
              <w:rPr/>
              <w:t>)</w:t>
            </w:r>
          </w:p>
        </w:tc>
      </w:tr>
      <w:tr>
        <w:trPr/>
        <w:tc>
          <w:tcPr>
            <w:tcW w:w="5596"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Comprehensive income attributable to Euronet Worldwide, Inc.</w:t>
            </w:r>
          </w:p>
        </w:tc>
        <w:tc>
          <w:tcPr>
            <w:tcW w:w="125" w:type="dxa"/>
            <w:tcBorders/>
            <w:shd w:fill="CCEEFF" w:val="clear"/>
            <w:vAlign w:val="center"/>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846" w:type="dxa"/>
            <w:tcBorders/>
            <w:shd w:fill="CCEEFF" w:val="clear"/>
            <w:vAlign w:val="center"/>
          </w:tcPr>
          <w:p>
            <w:pPr>
              <w:pStyle w:val="TableContents"/>
              <w:bidi w:val="0"/>
              <w:spacing w:before="0" w:after="0"/>
              <w:ind w:left="0" w:right="0" w:hanging="0"/>
              <w:jc w:val="right"/>
              <w:rPr>
                <w:sz w:val="20"/>
              </w:rPr>
            </w:pPr>
            <w:r>
              <w:rPr>
                <w:sz w:val="20"/>
              </w:rPr>
              <w:t>73.3</w:t>
            </w:r>
          </w:p>
        </w:tc>
        <w:tc>
          <w:tcPr>
            <w:tcW w:w="182"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43" w:type="dxa"/>
            <w:tcBorders/>
            <w:shd w:fill="CCEEFF" w:val="clear"/>
            <w:vAlign w:val="center"/>
          </w:tcPr>
          <w:p>
            <w:pPr>
              <w:pStyle w:val="TableContents"/>
              <w:bidi w:val="0"/>
              <w:spacing w:before="0" w:after="0"/>
              <w:ind w:left="0" w:right="0" w:hanging="0"/>
              <w:jc w:val="left"/>
              <w:rPr>
                <w:sz w:val="20"/>
              </w:rPr>
            </w:pPr>
            <w:r>
              <w:rPr>
                <w:sz w:val="20"/>
              </w:rPr>
            </w:r>
          </w:p>
        </w:tc>
        <w:tc>
          <w:tcPr>
            <w:tcW w:w="239" w:type="dxa"/>
            <w:tcBorders/>
            <w:shd w:fill="CCEEFF" w:val="clear"/>
            <w:vAlign w:val="center"/>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846" w:type="dxa"/>
            <w:tcBorders/>
            <w:shd w:fill="CCEEFF" w:val="clear"/>
            <w:vAlign w:val="center"/>
          </w:tcPr>
          <w:p>
            <w:pPr>
              <w:pStyle w:val="TableContents"/>
              <w:bidi w:val="0"/>
              <w:spacing w:before="0" w:after="0"/>
              <w:ind w:left="0" w:right="0" w:hanging="0"/>
              <w:jc w:val="right"/>
              <w:rPr>
                <w:sz w:val="20"/>
              </w:rPr>
            </w:pPr>
            <w:r>
              <w:rPr>
                <w:sz w:val="20"/>
              </w:rPr>
              <w:t>95.9</w:t>
            </w:r>
          </w:p>
        </w:tc>
        <w:tc>
          <w:tcPr>
            <w:tcW w:w="95"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23" w:type="dxa"/>
            <w:tcBorders/>
            <w:shd w:fill="CCEEFF" w:val="clear"/>
            <w:vAlign w:val="center"/>
          </w:tcPr>
          <w:p>
            <w:pPr>
              <w:pStyle w:val="TableContents"/>
              <w:bidi w:val="0"/>
              <w:spacing w:before="0" w:after="283"/>
              <w:ind w:left="0" w:right="0" w:hanging="0"/>
              <w:jc w:val="left"/>
              <w:rPr/>
            </w:pPr>
            <w:r>
              <w:rPr/>
            </w:r>
          </w:p>
        </w:tc>
        <w:tc>
          <w:tcPr>
            <w:tcW w:w="125" w:type="dxa"/>
            <w:tcBorders/>
            <w:shd w:fill="CCEEFF" w:val="clear"/>
            <w:vAlign w:val="center"/>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810" w:type="dxa"/>
            <w:tcBorders/>
            <w:shd w:fill="CCEEFF" w:val="clear"/>
            <w:vAlign w:val="center"/>
          </w:tcPr>
          <w:p>
            <w:pPr>
              <w:pStyle w:val="TableContents"/>
              <w:bidi w:val="0"/>
              <w:spacing w:before="0" w:after="0"/>
              <w:ind w:left="0" w:right="0" w:hanging="0"/>
              <w:jc w:val="right"/>
              <w:rPr/>
            </w:pPr>
            <w:r>
              <w:rPr/>
              <w:t>54.5</w:t>
            </w:r>
          </w:p>
        </w:tc>
        <w:tc>
          <w:tcPr>
            <w:tcW w:w="137" w:type="dxa"/>
            <w:tcBorders/>
            <w:shd w:fill="CCEEFF" w:val="clear"/>
            <w:vAlign w:val="center"/>
          </w:tcPr>
          <w:p>
            <w:pPr>
              <w:pStyle w:val="TableContents"/>
              <w:bidi w:val="0"/>
              <w:spacing w:before="0" w:after="283"/>
              <w:ind w:left="0" w:right="0" w:hanging="0"/>
              <w:jc w:val="left"/>
              <w:rPr/>
            </w:pPr>
            <w:r>
              <w:rPr/>
            </w:r>
          </w:p>
        </w:tc>
        <w:tc>
          <w:tcPr>
            <w:tcW w:w="32" w:type="dxa"/>
            <w:tcBorders/>
            <w:shd w:fill="CCEEFF" w:val="clear"/>
            <w:vAlign w:val="center"/>
          </w:tcPr>
          <w:p>
            <w:pPr>
              <w:pStyle w:val="TableContents"/>
              <w:bidi w:val="0"/>
              <w:spacing w:before="0" w:after="283"/>
              <w:ind w:left="0" w:right="0" w:hanging="0"/>
              <w:jc w:val="left"/>
              <w:rPr/>
            </w:pPr>
            <w:r>
              <w:rPr/>
            </w:r>
          </w:p>
        </w:tc>
        <w:tc>
          <w:tcPr>
            <w:tcW w:w="180" w:type="dxa"/>
            <w:tcBorders/>
            <w:shd w:fill="CCEEFF" w:val="clear"/>
            <w:vAlign w:val="center"/>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810" w:type="dxa"/>
            <w:tcBorders/>
            <w:shd w:fill="CCEEFF" w:val="clear"/>
            <w:vAlign w:val="center"/>
          </w:tcPr>
          <w:p>
            <w:pPr>
              <w:pStyle w:val="TableContents"/>
              <w:bidi w:val="0"/>
              <w:spacing w:before="0" w:after="0"/>
              <w:ind w:left="0" w:right="0" w:hanging="0"/>
              <w:jc w:val="right"/>
              <w:rPr/>
            </w:pPr>
            <w:r>
              <w:rPr/>
              <w:t>136.3</w:t>
            </w:r>
          </w:p>
        </w:tc>
        <w:tc>
          <w:tcPr>
            <w:tcW w:w="116" w:type="dxa"/>
            <w:tcBorders/>
            <w:shd w:fill="CCEEFF" w:val="clear"/>
            <w:vAlign w:val="center"/>
          </w:tcPr>
          <w:p>
            <w:pPr>
              <w:pStyle w:val="TableContents"/>
              <w:bidi w:val="0"/>
              <w:spacing w:before="0" w:after="283"/>
              <w:jc w:val="left"/>
              <w:rPr/>
            </w:pPr>
            <w:r>
              <w:rPr/>
            </w:r>
          </w:p>
        </w:tc>
      </w:tr>
    </w:tbl>
    <w:p>
      <w:pPr>
        <w:pStyle w:val="TextBody"/>
        <w:widowControl/>
        <w:bidi w:val="0"/>
        <w:jc w:val="left"/>
        <w:rPr>
          <w:rFonts w:ascii="Times New Roman" w:hAnsi="Times New Roman" w:eastAsia="Times New Roman" w:cs="Times New Roman"/>
          <w:b w:val="false"/>
          <w:b w:val="false"/>
          <w:bCs w:val="false"/>
          <w:i w:val="false"/>
          <w:i w:val="false"/>
          <w:iCs w:val="false"/>
          <w:caps w:val="false"/>
          <w:smallCaps w:val="false"/>
          <w:color w:val="000000"/>
          <w:spacing w:val="0"/>
          <w:sz w:val="20"/>
          <w:szCs w:val="20"/>
        </w:rPr>
      </w:pPr>
      <w:r>
        <w:rPr>
          <w:rFonts w:eastAsia="Times New Roman" w:cs="Times New Roman" w:ascii="Times New Roman" w:hAnsi="Times New Roman"/>
          <w:b w:val="false"/>
          <w:bCs w:val="false"/>
          <w:i w:val="false"/>
          <w:iCs w:val="false"/>
          <w:caps w:val="false"/>
          <w:smallCaps w:val="false"/>
          <w:color w:val="000000"/>
          <w:spacing w:val="0"/>
          <w:sz w:val="20"/>
          <w:szCs w:val="20"/>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See accompanying notes to the unaudited consolidated financial statements.</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211" w:type="dxa"/>
        <w:jc w:val="left"/>
        <w:tblInd w:w="0" w:type="dxa"/>
        <w:tblLayout w:type="fixed"/>
        <w:tblCellMar>
          <w:top w:w="0" w:type="dxa"/>
          <w:left w:w="0" w:type="dxa"/>
          <w:bottom w:w="0" w:type="dxa"/>
          <w:right w:w="0" w:type="dxa"/>
        </w:tblCellMar>
      </w:tblPr>
      <w:tblGrid>
        <w:gridCol w:w="211"/>
      </w:tblGrid>
      <w:tr>
        <w:trPr/>
        <w:tc>
          <w:tcPr>
            <w:tcW w:w="211" w:type="dxa"/>
            <w:tcBorders/>
            <w:vAlign w:val="center"/>
          </w:tcPr>
          <w:p>
            <w:pPr>
              <w:pStyle w:val="TableContents"/>
              <w:bidi w:val="0"/>
              <w:spacing w:before="0" w:after="283"/>
              <w:jc w:val="center"/>
              <w:rPr>
                <w:sz w:val="20"/>
              </w:rPr>
            </w:pPr>
            <w:r>
              <w:rPr>
                <w:sz w:val="20"/>
              </w:rPr>
              <w:t>3</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r>
        <w:rPr>
          <w:rFonts w:ascii="times new roman;times" w:hAnsi="times new roman;times"/>
          <w:b/>
          <w:i w:val="false"/>
          <w:caps w:val="false"/>
          <w:smallCaps w:val="false"/>
          <w:color w:val="000000"/>
          <w:spacing w:val="0"/>
          <w:sz w:val="20"/>
        </w:rPr>
        <w:t>EURONET WORLDWIDE, INC. AND SUBSIDIARIES</w:t>
      </w:r>
    </w:p>
    <w:p>
      <w:pPr>
        <w:pStyle w:val="TextBody"/>
        <w:widowControl/>
        <w:bidi w:val="0"/>
        <w:spacing w:before="0" w:after="0"/>
        <w:ind w:left="0" w:right="0" w:hanging="0"/>
        <w:jc w:val="left"/>
        <w:rPr/>
      </w:pPr>
      <w:hyperlink r:id="rId4">
        <w:bookmarkStart w:id="42" w:name="BF_RPZMQB42ZK00000000000000000000"/>
        <w:bookmarkEnd w:id="42"/>
        <w:r>
          <w:rPr>
            <w:rStyle w:val="InternetLink"/>
            <w:rFonts w:ascii="times new roman;times" w:hAnsi="times new roman;times"/>
            <w:b/>
            <w:i w:val="false"/>
            <w:caps w:val="false"/>
            <w:smallCaps w:val="false"/>
            <w:strike w:val="false"/>
            <w:dstrike w:val="false"/>
            <w:color w:val="000000"/>
            <w:spacing w:val="0"/>
            <w:sz w:val="20"/>
            <w:u w:val="none"/>
            <w:effect w:val="none"/>
          </w:rPr>
          <w:t>CONSOLIDATED STATEMENTS OF CHANGES IN EQUITY</w:t>
        </w:r>
      </w:hyperlink>
    </w:p>
    <w:p>
      <w:pPr>
        <w:pStyle w:val="TextBody"/>
        <w:widowControl/>
        <w:bidi w:val="0"/>
        <w:spacing w:before="0" w:after="0"/>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(Unaudited, in millions, except share data)</w:t>
      </w:r>
    </w:p>
    <w:p>
      <w:pPr>
        <w:pStyle w:val="TextBody"/>
        <w:widowControl/>
        <w:bidi w:val="0"/>
        <w:spacing w:lineRule="auto" w:line="288" w:before="0" w:after="0"/>
        <w:ind w:left="0" w:right="0" w:hanging="0"/>
        <w:jc w:val="left"/>
        <w:rPr>
          <w:caps w:val="false"/>
          <w:smallCaps w:val="false"/>
          <w:color w:val="000000"/>
          <w:spacing w:val="0"/>
        </w:rPr>
      </w:pPr>
      <w:r>
        <w:rPr>
          <w:caps w:val="false"/>
          <w:smallCaps w:val="false"/>
          <w:color w:val="000000"/>
          <w:spacing w:val="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7931" w:type="dxa"/>
        <w:jc w:val="left"/>
        <w:tblInd w:w="0" w:type="dxa"/>
        <w:tblLayout w:type="fixed"/>
        <w:tblCellMar>
          <w:top w:w="0" w:type="dxa"/>
          <w:left w:w="0" w:type="dxa"/>
          <w:bottom w:w="0" w:type="dxa"/>
          <w:right w:w="0" w:type="dxa"/>
        </w:tblCellMar>
      </w:tblPr>
      <w:tblGrid>
        <w:gridCol w:w="3365"/>
        <w:gridCol w:w="60"/>
        <w:gridCol w:w="1445"/>
        <w:gridCol w:w="95"/>
        <w:gridCol w:w="60"/>
        <w:gridCol w:w="212"/>
        <w:gridCol w:w="468"/>
        <w:gridCol w:w="23"/>
        <w:gridCol w:w="60"/>
        <w:gridCol w:w="185"/>
        <w:gridCol w:w="945"/>
        <w:gridCol w:w="23"/>
        <w:gridCol w:w="60"/>
        <w:gridCol w:w="125"/>
        <w:gridCol w:w="695"/>
        <w:gridCol w:w="110"/>
      </w:tblGrid>
      <w:tr>
        <w:trPr/>
        <w:tc>
          <w:tcPr>
            <w:tcW w:w="336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0"/>
              <w:jc w:val="left"/>
              <w:rPr/>
            </w:pPr>
            <w:r>
              <w:rPr/>
              <w:t> </w:t>
            </w:r>
          </w:p>
        </w:tc>
        <w:tc>
          <w:tcPr>
            <w:tcW w:w="1445" w:type="dxa"/>
            <w:tcBorders/>
            <w:vAlign w:val="bottom"/>
          </w:tcPr>
          <w:p>
            <w:pPr>
              <w:pStyle w:val="TableContents"/>
              <w:bidi w:val="0"/>
              <w:spacing w:before="0" w:after="0"/>
              <w:jc w:val="center"/>
              <w:rPr>
                <w:rFonts w:ascii="times new roman;times" w:hAnsi="times new roman;times"/>
                <w:b/>
                <w:sz w:val="16"/>
              </w:rPr>
            </w:pPr>
            <w:r>
              <w:rPr>
                <w:rFonts w:ascii="times new roman;times" w:hAnsi="times new roman;times"/>
                <w:b/>
                <w:sz w:val="16"/>
              </w:rPr>
              <w:t>Number of</w:t>
            </w:r>
          </w:p>
          <w:p>
            <w:pPr>
              <w:pStyle w:val="TableContents"/>
              <w:bidi w:val="0"/>
              <w:spacing w:before="0" w:after="0"/>
              <w:jc w:val="center"/>
              <w:rPr>
                <w:rFonts w:ascii="times new roman;times" w:hAnsi="times new roman;times"/>
                <w:b/>
                <w:sz w:val="16"/>
              </w:rPr>
            </w:pPr>
            <w:r>
              <w:rPr>
                <w:rFonts w:ascii="times new roman;times" w:hAnsi="times new roman;times"/>
                <w:b/>
                <w:sz w:val="16"/>
              </w:rPr>
              <w:t>Shares Outstanding</w:t>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0"/>
              <w:jc w:val="left"/>
              <w:rPr/>
            </w:pPr>
            <w:r>
              <w:rPr/>
              <w:t> </w:t>
            </w:r>
          </w:p>
        </w:tc>
        <w:tc>
          <w:tcPr>
            <w:tcW w:w="680" w:type="dxa"/>
            <w:gridSpan w:val="2"/>
            <w:tcBorders/>
            <w:vAlign w:val="bottom"/>
          </w:tcPr>
          <w:p>
            <w:pPr>
              <w:pStyle w:val="TableContents"/>
              <w:bidi w:val="0"/>
              <w:spacing w:before="0" w:after="0"/>
              <w:jc w:val="center"/>
              <w:rPr>
                <w:rFonts w:ascii="times new roman;times" w:hAnsi="times new roman;times"/>
                <w:b/>
                <w:sz w:val="16"/>
              </w:rPr>
            </w:pPr>
            <w:r>
              <w:rPr>
                <w:rFonts w:ascii="times new roman;times" w:hAnsi="times new roman;times"/>
                <w:b/>
                <w:sz w:val="16"/>
              </w:rPr>
              <w:t>Common</w:t>
            </w:r>
          </w:p>
          <w:p>
            <w:pPr>
              <w:pStyle w:val="TableContents"/>
              <w:bidi w:val="0"/>
              <w:spacing w:before="0" w:after="0"/>
              <w:jc w:val="center"/>
              <w:rPr>
                <w:rFonts w:ascii="times new roman;times" w:hAnsi="times new roman;times"/>
                <w:b/>
                <w:sz w:val="16"/>
              </w:rPr>
            </w:pPr>
            <w:r>
              <w:rPr>
                <w:rFonts w:ascii="times new roman;times" w:hAnsi="times new roman;times"/>
                <w:b/>
                <w:sz w:val="16"/>
              </w:rPr>
              <w:t>Stock</w:t>
            </w:r>
          </w:p>
        </w:tc>
        <w:tc>
          <w:tcPr>
            <w:tcW w:w="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0"/>
              <w:jc w:val="left"/>
              <w:rPr/>
            </w:pPr>
            <w:r>
              <w:rPr/>
              <w:t> </w:t>
            </w:r>
          </w:p>
        </w:tc>
        <w:tc>
          <w:tcPr>
            <w:tcW w:w="1130" w:type="dxa"/>
            <w:gridSpan w:val="2"/>
            <w:tcBorders/>
            <w:vAlign w:val="bottom"/>
          </w:tcPr>
          <w:p>
            <w:pPr>
              <w:pStyle w:val="TableContents"/>
              <w:bidi w:val="0"/>
              <w:spacing w:before="0" w:after="0"/>
              <w:jc w:val="center"/>
              <w:rPr>
                <w:rFonts w:ascii="times new roman;times" w:hAnsi="times new roman;times"/>
                <w:b/>
                <w:sz w:val="16"/>
              </w:rPr>
            </w:pPr>
            <w:r>
              <w:rPr>
                <w:rFonts w:ascii="times new roman;times" w:hAnsi="times new roman;times"/>
                <w:b/>
                <w:sz w:val="16"/>
              </w:rPr>
              <w:t>Additional</w:t>
            </w:r>
          </w:p>
          <w:p>
            <w:pPr>
              <w:pStyle w:val="TableContents"/>
              <w:bidi w:val="0"/>
              <w:spacing w:before="0" w:after="0"/>
              <w:jc w:val="center"/>
              <w:rPr>
                <w:rFonts w:ascii="times new roman;times" w:hAnsi="times new roman;times"/>
                <w:b/>
                <w:sz w:val="16"/>
              </w:rPr>
            </w:pPr>
            <w:r>
              <w:rPr>
                <w:rFonts w:ascii="times new roman;times" w:hAnsi="times new roman;times"/>
                <w:b/>
                <w:sz w:val="16"/>
              </w:rPr>
              <w:t>Paid-in Capital</w:t>
            </w:r>
          </w:p>
        </w:tc>
        <w:tc>
          <w:tcPr>
            <w:tcW w:w="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0"/>
              <w:jc w:val="left"/>
              <w:rPr/>
            </w:pPr>
            <w:r>
              <w:rPr/>
              <w:t> </w:t>
            </w:r>
          </w:p>
        </w:tc>
        <w:tc>
          <w:tcPr>
            <w:tcW w:w="820" w:type="dxa"/>
            <w:gridSpan w:val="2"/>
            <w:tcBorders/>
            <w:vAlign w:val="bottom"/>
          </w:tcPr>
          <w:p>
            <w:pPr>
              <w:pStyle w:val="TableContents"/>
              <w:bidi w:val="0"/>
              <w:spacing w:before="0" w:after="0"/>
              <w:jc w:val="center"/>
              <w:rPr>
                <w:rFonts w:ascii="times new roman;times" w:hAnsi="times new roman;times"/>
                <w:b/>
                <w:sz w:val="16"/>
              </w:rPr>
            </w:pPr>
            <w:r>
              <w:rPr>
                <w:rFonts w:ascii="times new roman;times" w:hAnsi="times new roman;times"/>
                <w:b/>
                <w:sz w:val="16"/>
              </w:rPr>
              <w:t>Treasury</w:t>
            </w:r>
          </w:p>
          <w:p>
            <w:pPr>
              <w:pStyle w:val="TableContents"/>
              <w:bidi w:val="0"/>
              <w:spacing w:before="0" w:after="0"/>
              <w:jc w:val="center"/>
              <w:rPr>
                <w:rFonts w:ascii="times new roman;times" w:hAnsi="times new roman;times"/>
                <w:b/>
                <w:sz w:val="16"/>
              </w:rPr>
            </w:pPr>
            <w:r>
              <w:rPr>
                <w:rFonts w:ascii="times new roman;times" w:hAnsi="times new roman;times"/>
                <w:b/>
                <w:sz w:val="16"/>
              </w:rPr>
              <w:t>Stock</w:t>
            </w:r>
          </w:p>
        </w:tc>
        <w:tc>
          <w:tcPr>
            <w:tcW w:w="110" w:type="dxa"/>
            <w:tcBorders/>
            <w:vAlign w:val="bottom"/>
          </w:tcPr>
          <w:p>
            <w:pPr>
              <w:pStyle w:val="TableContents"/>
              <w:bidi w:val="0"/>
              <w:spacing w:before="0" w:after="0"/>
              <w:jc w:val="center"/>
              <w:rPr>
                <w:sz w:val="16"/>
              </w:rPr>
            </w:pPr>
            <w:r>
              <w:rPr>
                <w:sz w:val="16"/>
              </w:rPr>
            </w:r>
          </w:p>
        </w:tc>
      </w:tr>
      <w:tr>
        <w:trPr/>
        <w:tc>
          <w:tcPr>
            <w:tcW w:w="3365" w:type="dxa"/>
            <w:tcBorders/>
            <w:shd w:fill="CCEEFF" w:val="clear"/>
            <w:vAlign w:val="bottom"/>
          </w:tcPr>
          <w:p>
            <w:pPr>
              <w:pStyle w:val="TableContents"/>
              <w:bidi w:val="0"/>
              <w:spacing w:before="0" w:after="0"/>
              <w:jc w:val="left"/>
              <w:rPr>
                <w:rFonts w:ascii="times new roman;times" w:hAnsi="times new roman;times"/>
                <w:sz w:val="20"/>
              </w:rPr>
            </w:pPr>
            <w:r>
              <w:rPr>
                <w:rFonts w:ascii="times new roman;times" w:hAnsi="times new roman;times"/>
                <w:sz w:val="20"/>
              </w:rPr>
              <w:t xml:space="preserve">Balance as of </w:t>
            </w:r>
            <w:r>
              <w:rPr>
                <w:rFonts w:ascii="times new roman;times" w:hAnsi="times new roman;times"/>
                <w:sz w:val="20"/>
              </w:rPr>
              <w:t>December 31, 2022</w:t>
            </w:r>
          </w:p>
        </w:tc>
        <w:tc>
          <w:tcPr>
            <w:tcW w:w="60" w:type="dxa"/>
            <w:tcBorders/>
            <w:shd w:fill="CCEEFF" w:val="clear"/>
            <w:vAlign w:val="bottom"/>
          </w:tcPr>
          <w:p>
            <w:pPr>
              <w:pStyle w:val="TableContents"/>
              <w:bidi w:val="0"/>
              <w:spacing w:before="0" w:after="0"/>
              <w:ind w:left="0" w:right="0" w:hanging="0"/>
              <w:jc w:val="left"/>
              <w:rPr/>
            </w:pPr>
            <w:r>
              <w:rPr/>
              <w:t> </w:t>
            </w:r>
          </w:p>
        </w:tc>
        <w:tc>
          <w:tcPr>
            <w:tcW w:w="1445" w:type="dxa"/>
            <w:tcBorders/>
            <w:shd w:fill="CCEEFF" w:val="clear"/>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49,822,707</w:t>
            </w:r>
          </w:p>
        </w:tc>
        <w:tc>
          <w:tcPr>
            <w:tcW w:w="95" w:type="dxa"/>
            <w:tcBorders/>
            <w:shd w:fill="CCEEFF" w:val="clear"/>
            <w:vAlign w:val="bottom"/>
          </w:tcPr>
          <w:p>
            <w:pPr>
              <w:pStyle w:val="TableContents"/>
              <w:bidi w:val="0"/>
              <w:spacing w:before="0" w:after="283"/>
              <w:ind w:left="0" w:right="0" w:hanging="0"/>
              <w:jc w:val="left"/>
              <w:rPr>
                <w:sz w:val="4"/>
                <w:szCs w:val="4"/>
              </w:rPr>
            </w:pPr>
            <w:r>
              <w:rPr>
                <w:sz w:val="4"/>
                <w:szCs w:val="4"/>
              </w:rPr>
            </w:r>
          </w:p>
        </w:tc>
        <w:tc>
          <w:tcPr>
            <w:tcW w:w="60" w:type="dxa"/>
            <w:tcBorders/>
            <w:shd w:fill="CCEEFF" w:val="clear"/>
            <w:vAlign w:val="bottom"/>
          </w:tcPr>
          <w:p>
            <w:pPr>
              <w:pStyle w:val="TableContents"/>
              <w:bidi w:val="0"/>
              <w:spacing w:before="0" w:after="0"/>
              <w:ind w:left="0" w:right="0" w:hanging="0"/>
              <w:jc w:val="left"/>
              <w:rPr/>
            </w:pPr>
            <w:r>
              <w:rPr/>
              <w:t> </w:t>
            </w:r>
          </w:p>
        </w:tc>
        <w:tc>
          <w:tcPr>
            <w:tcW w:w="212" w:type="dxa"/>
            <w:tcBorders/>
            <w:shd w:fill="CCEE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468" w:type="dxa"/>
            <w:tcBorders/>
            <w:shd w:fill="CCEEFF" w:val="clear"/>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1.3</w:t>
            </w:r>
          </w:p>
        </w:tc>
        <w:tc>
          <w:tcPr>
            <w:tcW w:w="23" w:type="dxa"/>
            <w:tcBorders/>
            <w:shd w:fill="CCEEFF" w:val="clear"/>
            <w:vAlign w:val="bottom"/>
          </w:tcPr>
          <w:p>
            <w:pPr>
              <w:pStyle w:val="TableContents"/>
              <w:bidi w:val="0"/>
              <w:spacing w:before="0" w:after="283"/>
              <w:ind w:left="0" w:right="0" w:hanging="0"/>
              <w:jc w:val="left"/>
              <w:rPr>
                <w:sz w:val="4"/>
                <w:szCs w:val="4"/>
              </w:rPr>
            </w:pPr>
            <w:r>
              <w:rPr>
                <w:sz w:val="4"/>
                <w:szCs w:val="4"/>
              </w:rPr>
            </w:r>
          </w:p>
        </w:tc>
        <w:tc>
          <w:tcPr>
            <w:tcW w:w="60" w:type="dxa"/>
            <w:tcBorders/>
            <w:shd w:fill="CCEEFF" w:val="clear"/>
            <w:vAlign w:val="bottom"/>
          </w:tcPr>
          <w:p>
            <w:pPr>
              <w:pStyle w:val="TableContents"/>
              <w:bidi w:val="0"/>
              <w:spacing w:before="0" w:after="0"/>
              <w:ind w:left="0" w:right="0" w:hanging="0"/>
              <w:jc w:val="left"/>
              <w:rPr/>
            </w:pPr>
            <w:r>
              <w:rPr/>
              <w:t> </w:t>
            </w:r>
          </w:p>
        </w:tc>
        <w:tc>
          <w:tcPr>
            <w:tcW w:w="185" w:type="dxa"/>
            <w:tcBorders/>
            <w:shd w:fill="CCEE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945" w:type="dxa"/>
            <w:tcBorders/>
            <w:shd w:fill="CCEEFF" w:val="clear"/>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1,251.8</w:t>
            </w:r>
          </w:p>
        </w:tc>
        <w:tc>
          <w:tcPr>
            <w:tcW w:w="23" w:type="dxa"/>
            <w:tcBorders/>
            <w:shd w:fill="CCEEFF" w:val="clear"/>
            <w:vAlign w:val="bottom"/>
          </w:tcPr>
          <w:p>
            <w:pPr>
              <w:pStyle w:val="TableContents"/>
              <w:bidi w:val="0"/>
              <w:spacing w:before="0" w:after="283"/>
              <w:ind w:left="0" w:right="0" w:hanging="0"/>
              <w:jc w:val="left"/>
              <w:rPr>
                <w:sz w:val="4"/>
                <w:szCs w:val="4"/>
              </w:rPr>
            </w:pPr>
            <w:r>
              <w:rPr>
                <w:sz w:val="4"/>
                <w:szCs w:val="4"/>
              </w:rPr>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695" w:type="dxa"/>
            <w:tcBorders/>
            <w:shd w:fill="CCEEFF" w:val="clear"/>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(1,105.8</w:t>
            </w:r>
          </w:p>
        </w:tc>
        <w:tc>
          <w:tcPr>
            <w:tcW w:w="110" w:type="dxa"/>
            <w:tcBorders/>
            <w:shd w:fill="CCEEFF" w:val="clear"/>
            <w:vAlign w:val="bottom"/>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r>
      <w:tr>
        <w:trPr/>
        <w:tc>
          <w:tcPr>
            <w:tcW w:w="3365" w:type="dxa"/>
            <w:tcBorders/>
            <w:vAlign w:val="bottom"/>
          </w:tcPr>
          <w:p>
            <w:pPr>
              <w:pStyle w:val="TableContents"/>
              <w:bidi w:val="0"/>
              <w:spacing w:before="0" w:after="0"/>
              <w:jc w:val="left"/>
              <w:rPr>
                <w:rFonts w:ascii="times new roman;times" w:hAnsi="times new roman;times"/>
                <w:sz w:val="20"/>
              </w:rPr>
            </w:pPr>
            <w:r>
              <w:rPr>
                <w:rFonts w:ascii="times new roman;times" w:hAnsi="times new roman;times"/>
                <w:sz w:val="20"/>
              </w:rPr>
              <w:t>Net income (loss)</w:t>
            </w:r>
          </w:p>
        </w:tc>
        <w:tc>
          <w:tcPr>
            <w:tcW w:w="60" w:type="dxa"/>
            <w:tcBorders/>
            <w:vAlign w:val="bottom"/>
          </w:tcPr>
          <w:p>
            <w:pPr>
              <w:pStyle w:val="TableContents"/>
              <w:bidi w:val="0"/>
              <w:spacing w:before="0" w:after="0"/>
              <w:ind w:left="0" w:right="0" w:hanging="0"/>
              <w:jc w:val="left"/>
              <w:rPr/>
            </w:pPr>
            <w:r>
              <w:rPr/>
              <w:t> </w:t>
            </w:r>
          </w:p>
        </w:tc>
        <w:tc>
          <w:tcPr>
            <w:tcW w:w="1445" w:type="dxa"/>
            <w:tcBorders/>
            <w:vAlign w:val="bottom"/>
          </w:tcPr>
          <w:p>
            <w:pPr>
              <w:pStyle w:val="TableContents"/>
              <w:bidi w:val="0"/>
              <w:spacing w:before="0" w:after="0"/>
              <w:ind w:left="0" w:right="0" w:hanging="0"/>
              <w:jc w:val="right"/>
              <w:rPr/>
            </w:pPr>
            <w:r>
              <w:rPr/>
              <w:t>—</w:t>
            </w:r>
          </w:p>
        </w:tc>
        <w:tc>
          <w:tcPr>
            <w:tcW w:w="95" w:type="dxa"/>
            <w:tcBorders/>
            <w:vAlign w:val="bottom"/>
          </w:tcPr>
          <w:p>
            <w:pPr>
              <w:pStyle w:val="TableContents"/>
              <w:bidi w:val="0"/>
              <w:spacing w:before="0" w:after="283"/>
              <w:ind w:left="0" w:right="0" w:hanging="0"/>
              <w:jc w:val="left"/>
              <w:rPr>
                <w:sz w:val="4"/>
                <w:szCs w:val="4"/>
              </w:rPr>
            </w:pPr>
            <w:r>
              <w:rPr>
                <w:sz w:val="4"/>
                <w:szCs w:val="4"/>
              </w:rPr>
            </w:r>
          </w:p>
        </w:tc>
        <w:tc>
          <w:tcPr>
            <w:tcW w:w="60" w:type="dxa"/>
            <w:tcBorders/>
            <w:vAlign w:val="bottom"/>
          </w:tcPr>
          <w:p>
            <w:pPr>
              <w:pStyle w:val="TableContents"/>
              <w:bidi w:val="0"/>
              <w:spacing w:before="0" w:after="0"/>
              <w:ind w:left="0" w:right="0" w:hanging="0"/>
              <w:jc w:val="left"/>
              <w:rPr/>
            </w:pPr>
            <w:r>
              <w:rPr/>
              <w:t> </w:t>
            </w:r>
          </w:p>
        </w:tc>
        <w:tc>
          <w:tcPr>
            <w:tcW w:w="212" w:type="dxa"/>
            <w:tcBorders/>
            <w:vAlign w:val="bottom"/>
          </w:tcPr>
          <w:p>
            <w:pPr>
              <w:pStyle w:val="TableContents"/>
              <w:bidi w:val="0"/>
              <w:spacing w:before="0" w:after="0"/>
              <w:ind w:left="0" w:right="0" w:hanging="0"/>
              <w:jc w:val="left"/>
              <w:rPr/>
            </w:pPr>
            <w:r>
              <w:rPr/>
              <w:t> </w:t>
            </w:r>
          </w:p>
        </w:tc>
        <w:tc>
          <w:tcPr>
            <w:tcW w:w="468" w:type="dxa"/>
            <w:tcBorders/>
            <w:vAlign w:val="bottom"/>
          </w:tcPr>
          <w:p>
            <w:pPr>
              <w:pStyle w:val="TableContents"/>
              <w:bidi w:val="0"/>
              <w:spacing w:before="0" w:after="0"/>
              <w:ind w:left="0" w:right="0" w:hanging="0"/>
              <w:jc w:val="right"/>
              <w:rPr/>
            </w:pPr>
            <w:r>
              <w:rPr/>
              <w:t>—</w:t>
            </w:r>
          </w:p>
        </w:tc>
        <w:tc>
          <w:tcPr>
            <w:tcW w:w="23" w:type="dxa"/>
            <w:tcBorders/>
            <w:vAlign w:val="bottom"/>
          </w:tcPr>
          <w:p>
            <w:pPr>
              <w:pStyle w:val="TableContents"/>
              <w:bidi w:val="0"/>
              <w:spacing w:before="0" w:after="283"/>
              <w:ind w:left="0" w:right="0" w:hanging="0"/>
              <w:jc w:val="left"/>
              <w:rPr>
                <w:sz w:val="4"/>
                <w:szCs w:val="4"/>
              </w:rPr>
            </w:pPr>
            <w:r>
              <w:rPr>
                <w:sz w:val="4"/>
                <w:szCs w:val="4"/>
              </w:rPr>
            </w:r>
          </w:p>
        </w:tc>
        <w:tc>
          <w:tcPr>
            <w:tcW w:w="60" w:type="dxa"/>
            <w:tcBorders/>
            <w:vAlign w:val="bottom"/>
          </w:tcPr>
          <w:p>
            <w:pPr>
              <w:pStyle w:val="TableContents"/>
              <w:bidi w:val="0"/>
              <w:spacing w:before="0" w:after="0"/>
              <w:ind w:left="0" w:right="0" w:hanging="0"/>
              <w:jc w:val="left"/>
              <w:rPr/>
            </w:pPr>
            <w:r>
              <w:rPr/>
              <w:t> </w:t>
            </w:r>
          </w:p>
        </w:tc>
        <w:tc>
          <w:tcPr>
            <w:tcW w:w="185" w:type="dxa"/>
            <w:tcBorders/>
            <w:vAlign w:val="bottom"/>
          </w:tcPr>
          <w:p>
            <w:pPr>
              <w:pStyle w:val="TableContents"/>
              <w:bidi w:val="0"/>
              <w:spacing w:before="0" w:after="0"/>
              <w:ind w:left="0" w:right="0" w:hanging="0"/>
              <w:jc w:val="left"/>
              <w:rPr/>
            </w:pPr>
            <w:r>
              <w:rPr/>
              <w:t> </w:t>
            </w:r>
          </w:p>
        </w:tc>
        <w:tc>
          <w:tcPr>
            <w:tcW w:w="945" w:type="dxa"/>
            <w:tcBorders/>
            <w:vAlign w:val="bottom"/>
          </w:tcPr>
          <w:p>
            <w:pPr>
              <w:pStyle w:val="TableContents"/>
              <w:bidi w:val="0"/>
              <w:spacing w:before="0" w:after="0"/>
              <w:ind w:left="0" w:right="0" w:hanging="0"/>
              <w:jc w:val="right"/>
              <w:rPr/>
            </w:pPr>
            <w:r>
              <w:rPr/>
              <w:t>—</w:t>
            </w:r>
          </w:p>
        </w:tc>
        <w:tc>
          <w:tcPr>
            <w:tcW w:w="23" w:type="dxa"/>
            <w:tcBorders/>
            <w:vAlign w:val="bottom"/>
          </w:tcPr>
          <w:p>
            <w:pPr>
              <w:pStyle w:val="TableContents"/>
              <w:bidi w:val="0"/>
              <w:spacing w:before="0" w:after="283"/>
              <w:ind w:left="0" w:right="0" w:hanging="0"/>
              <w:jc w:val="left"/>
              <w:rPr/>
            </w:pPr>
            <w:r>
              <w:rPr/>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695" w:type="dxa"/>
            <w:tcBorders/>
            <w:vAlign w:val="bottom"/>
          </w:tcPr>
          <w:p>
            <w:pPr>
              <w:pStyle w:val="TableContents"/>
              <w:bidi w:val="0"/>
              <w:spacing w:before="0" w:after="0"/>
              <w:ind w:left="0" w:right="0" w:hanging="0"/>
              <w:jc w:val="right"/>
              <w:rPr/>
            </w:pPr>
            <w:r>
              <w:rPr/>
              <w:t>—</w:t>
            </w:r>
          </w:p>
        </w:tc>
        <w:tc>
          <w:tcPr>
            <w:tcW w:w="110" w:type="dxa"/>
            <w:tcBorders/>
            <w:vAlign w:val="bottom"/>
          </w:tcPr>
          <w:p>
            <w:pPr>
              <w:pStyle w:val="TableContents"/>
              <w:bidi w:val="0"/>
              <w:spacing w:before="0" w:after="283"/>
              <w:jc w:val="left"/>
              <w:rPr>
                <w:sz w:val="4"/>
                <w:szCs w:val="4"/>
              </w:rPr>
            </w:pPr>
            <w:r>
              <w:rPr>
                <w:sz w:val="4"/>
                <w:szCs w:val="4"/>
              </w:rPr>
            </w:r>
          </w:p>
        </w:tc>
      </w:tr>
      <w:tr>
        <w:trPr/>
        <w:tc>
          <w:tcPr>
            <w:tcW w:w="3365" w:type="dxa"/>
            <w:tcBorders/>
            <w:shd w:fill="CCEEFF" w:val="clear"/>
            <w:vAlign w:val="bottom"/>
          </w:tcPr>
          <w:p>
            <w:pPr>
              <w:pStyle w:val="TableContents"/>
              <w:bidi w:val="0"/>
              <w:spacing w:before="0" w:after="0"/>
              <w:jc w:val="left"/>
              <w:rPr>
                <w:rFonts w:ascii="times new roman;times" w:hAnsi="times new roman;times"/>
                <w:sz w:val="20"/>
              </w:rPr>
            </w:pPr>
            <w:r>
              <w:rPr>
                <w:rFonts w:ascii="times new roman;times" w:hAnsi="times new roman;times"/>
                <w:sz w:val="20"/>
              </w:rPr>
              <w:t>Other comprehensive income</w:t>
            </w:r>
          </w:p>
        </w:tc>
        <w:tc>
          <w:tcPr>
            <w:tcW w:w="60" w:type="dxa"/>
            <w:tcBorders/>
            <w:shd w:fill="CCEEFF" w:val="clear"/>
            <w:vAlign w:val="bottom"/>
          </w:tcPr>
          <w:p>
            <w:pPr>
              <w:pStyle w:val="TableContents"/>
              <w:bidi w:val="0"/>
              <w:spacing w:before="0" w:after="0"/>
              <w:ind w:left="0" w:right="0" w:hanging="0"/>
              <w:jc w:val="left"/>
              <w:rPr/>
            </w:pPr>
            <w:r>
              <w:rPr/>
              <w:t> </w:t>
            </w:r>
          </w:p>
        </w:tc>
        <w:tc>
          <w:tcPr>
            <w:tcW w:w="1445" w:type="dxa"/>
            <w:tcBorders/>
            <w:shd w:fill="CCEEFF" w:val="clear"/>
            <w:vAlign w:val="bottom"/>
          </w:tcPr>
          <w:p>
            <w:pPr>
              <w:pStyle w:val="TableContents"/>
              <w:bidi w:val="0"/>
              <w:spacing w:before="0" w:after="0"/>
              <w:ind w:left="0" w:right="0" w:hanging="0"/>
              <w:jc w:val="right"/>
              <w:rPr/>
            </w:pPr>
            <w:r>
              <w:rPr/>
              <w:t>—</w:t>
            </w:r>
          </w:p>
        </w:tc>
        <w:tc>
          <w:tcPr>
            <w:tcW w:w="95" w:type="dxa"/>
            <w:tcBorders/>
            <w:shd w:fill="CCEEFF" w:val="clear"/>
            <w:vAlign w:val="bottom"/>
          </w:tcPr>
          <w:p>
            <w:pPr>
              <w:pStyle w:val="TableContents"/>
              <w:bidi w:val="0"/>
              <w:spacing w:before="0" w:after="283"/>
              <w:ind w:left="0" w:right="0" w:hanging="0"/>
              <w:jc w:val="left"/>
              <w:rPr>
                <w:sz w:val="4"/>
                <w:szCs w:val="4"/>
              </w:rPr>
            </w:pPr>
            <w:r>
              <w:rPr>
                <w:sz w:val="4"/>
                <w:szCs w:val="4"/>
              </w:rPr>
            </w:r>
          </w:p>
        </w:tc>
        <w:tc>
          <w:tcPr>
            <w:tcW w:w="60" w:type="dxa"/>
            <w:tcBorders/>
            <w:shd w:fill="CCEEFF" w:val="clear"/>
            <w:vAlign w:val="bottom"/>
          </w:tcPr>
          <w:p>
            <w:pPr>
              <w:pStyle w:val="TableContents"/>
              <w:bidi w:val="0"/>
              <w:spacing w:before="0" w:after="0"/>
              <w:ind w:left="0" w:right="0" w:hanging="0"/>
              <w:jc w:val="left"/>
              <w:rPr/>
            </w:pPr>
            <w:r>
              <w:rPr/>
              <w:t> </w:t>
            </w:r>
          </w:p>
        </w:tc>
        <w:tc>
          <w:tcPr>
            <w:tcW w:w="212" w:type="dxa"/>
            <w:tcBorders/>
            <w:shd w:fill="CCEEFF" w:val="clear"/>
            <w:vAlign w:val="bottom"/>
          </w:tcPr>
          <w:p>
            <w:pPr>
              <w:pStyle w:val="TableContents"/>
              <w:bidi w:val="0"/>
              <w:spacing w:before="0" w:after="0"/>
              <w:ind w:left="0" w:right="0" w:hanging="0"/>
              <w:jc w:val="left"/>
              <w:rPr/>
            </w:pPr>
            <w:r>
              <w:rPr/>
              <w:t> </w:t>
            </w:r>
          </w:p>
        </w:tc>
        <w:tc>
          <w:tcPr>
            <w:tcW w:w="468" w:type="dxa"/>
            <w:tcBorders/>
            <w:shd w:fill="CCEEFF" w:val="clear"/>
            <w:vAlign w:val="bottom"/>
          </w:tcPr>
          <w:p>
            <w:pPr>
              <w:pStyle w:val="TableContents"/>
              <w:bidi w:val="0"/>
              <w:spacing w:before="0" w:after="0"/>
              <w:ind w:left="0" w:right="0" w:hanging="0"/>
              <w:jc w:val="right"/>
              <w:rPr/>
            </w:pPr>
            <w:r>
              <w:rPr/>
              <w:t>—</w:t>
            </w:r>
          </w:p>
        </w:tc>
        <w:tc>
          <w:tcPr>
            <w:tcW w:w="23" w:type="dxa"/>
            <w:tcBorders/>
            <w:shd w:fill="CCEEFF" w:val="clear"/>
            <w:vAlign w:val="bottom"/>
          </w:tcPr>
          <w:p>
            <w:pPr>
              <w:pStyle w:val="TableContents"/>
              <w:bidi w:val="0"/>
              <w:spacing w:before="0" w:after="283"/>
              <w:ind w:left="0" w:right="0" w:hanging="0"/>
              <w:jc w:val="left"/>
              <w:rPr>
                <w:sz w:val="4"/>
                <w:szCs w:val="4"/>
              </w:rPr>
            </w:pPr>
            <w:r>
              <w:rPr>
                <w:sz w:val="4"/>
                <w:szCs w:val="4"/>
              </w:rPr>
            </w:r>
          </w:p>
        </w:tc>
        <w:tc>
          <w:tcPr>
            <w:tcW w:w="60" w:type="dxa"/>
            <w:tcBorders/>
            <w:shd w:fill="CCEEFF" w:val="clear"/>
            <w:vAlign w:val="bottom"/>
          </w:tcPr>
          <w:p>
            <w:pPr>
              <w:pStyle w:val="TableContents"/>
              <w:bidi w:val="0"/>
              <w:spacing w:before="0" w:after="0"/>
              <w:ind w:left="0" w:right="0" w:hanging="0"/>
              <w:jc w:val="left"/>
              <w:rPr/>
            </w:pPr>
            <w:r>
              <w:rPr/>
              <w:t> </w:t>
            </w:r>
          </w:p>
        </w:tc>
        <w:tc>
          <w:tcPr>
            <w:tcW w:w="185" w:type="dxa"/>
            <w:tcBorders/>
            <w:shd w:fill="CCEEFF" w:val="clear"/>
            <w:vAlign w:val="bottom"/>
          </w:tcPr>
          <w:p>
            <w:pPr>
              <w:pStyle w:val="TableContents"/>
              <w:bidi w:val="0"/>
              <w:spacing w:before="0" w:after="0"/>
              <w:ind w:left="0" w:right="0" w:hanging="0"/>
              <w:jc w:val="left"/>
              <w:rPr/>
            </w:pPr>
            <w:r>
              <w:rPr/>
              <w:t> </w:t>
            </w:r>
          </w:p>
        </w:tc>
        <w:tc>
          <w:tcPr>
            <w:tcW w:w="945" w:type="dxa"/>
            <w:tcBorders/>
            <w:shd w:fill="CCEEFF" w:val="clear"/>
            <w:vAlign w:val="bottom"/>
          </w:tcPr>
          <w:p>
            <w:pPr>
              <w:pStyle w:val="TableContents"/>
              <w:bidi w:val="0"/>
              <w:spacing w:before="0" w:after="0"/>
              <w:ind w:left="0" w:right="0" w:hanging="0"/>
              <w:jc w:val="right"/>
              <w:rPr/>
            </w:pPr>
            <w:r>
              <w:rPr/>
              <w:t>—</w:t>
            </w:r>
          </w:p>
        </w:tc>
        <w:tc>
          <w:tcPr>
            <w:tcW w:w="23" w:type="dxa"/>
            <w:tcBorders/>
            <w:shd w:fill="CCEEFF" w:val="clear"/>
            <w:vAlign w:val="bottom"/>
          </w:tcPr>
          <w:p>
            <w:pPr>
              <w:pStyle w:val="TableContents"/>
              <w:bidi w:val="0"/>
              <w:spacing w:before="0" w:after="283"/>
              <w:ind w:left="0" w:right="0" w:hanging="0"/>
              <w:jc w:val="left"/>
              <w:rPr>
                <w:sz w:val="4"/>
                <w:szCs w:val="4"/>
              </w:rPr>
            </w:pPr>
            <w:r>
              <w:rPr>
                <w:sz w:val="4"/>
                <w:szCs w:val="4"/>
              </w:rPr>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695" w:type="dxa"/>
            <w:tcBorders/>
            <w:shd w:fill="CCEEFF" w:val="clear"/>
            <w:vAlign w:val="bottom"/>
          </w:tcPr>
          <w:p>
            <w:pPr>
              <w:pStyle w:val="TableContents"/>
              <w:bidi w:val="0"/>
              <w:spacing w:before="0" w:after="0"/>
              <w:ind w:left="0" w:right="0" w:hanging="0"/>
              <w:jc w:val="right"/>
              <w:rPr/>
            </w:pPr>
            <w:r>
              <w:rPr/>
              <w:t>—</w:t>
            </w:r>
          </w:p>
        </w:tc>
        <w:tc>
          <w:tcPr>
            <w:tcW w:w="110" w:type="dxa"/>
            <w:tcBorders/>
            <w:shd w:fill="CCEEFF" w:val="clear"/>
            <w:vAlign w:val="bottom"/>
          </w:tcPr>
          <w:p>
            <w:pPr>
              <w:pStyle w:val="TableContents"/>
              <w:bidi w:val="0"/>
              <w:spacing w:before="0" w:after="283"/>
              <w:jc w:val="left"/>
              <w:rPr>
                <w:sz w:val="4"/>
                <w:szCs w:val="4"/>
              </w:rPr>
            </w:pPr>
            <w:r>
              <w:rPr>
                <w:sz w:val="4"/>
                <w:szCs w:val="4"/>
              </w:rPr>
            </w:r>
          </w:p>
        </w:tc>
      </w:tr>
      <w:tr>
        <w:trPr/>
        <w:tc>
          <w:tcPr>
            <w:tcW w:w="3365" w:type="dxa"/>
            <w:tcBorders/>
            <w:vAlign w:val="bottom"/>
          </w:tcPr>
          <w:p>
            <w:pPr>
              <w:pStyle w:val="TableContents"/>
              <w:bidi w:val="0"/>
              <w:spacing w:before="0" w:after="0"/>
              <w:jc w:val="left"/>
              <w:rPr>
                <w:rFonts w:ascii="times new roman;times" w:hAnsi="times new roman;times"/>
                <w:sz w:val="20"/>
              </w:rPr>
            </w:pPr>
            <w:r>
              <w:rPr>
                <w:rFonts w:ascii="times new roman;times" w:hAnsi="times new roman;times"/>
                <w:sz w:val="20"/>
              </w:rPr>
              <w:t>Stock issued under employee stock plans</w:t>
            </w:r>
          </w:p>
        </w:tc>
        <w:tc>
          <w:tcPr>
            <w:tcW w:w="60" w:type="dxa"/>
            <w:tcBorders/>
            <w:vAlign w:val="bottom"/>
          </w:tcPr>
          <w:p>
            <w:pPr>
              <w:pStyle w:val="TableContents"/>
              <w:bidi w:val="0"/>
              <w:spacing w:before="0" w:after="0"/>
              <w:ind w:left="0" w:right="0" w:hanging="0"/>
              <w:jc w:val="left"/>
              <w:rPr/>
            </w:pPr>
            <w:r>
              <w:rPr/>
              <w:t> </w:t>
            </w:r>
          </w:p>
        </w:tc>
        <w:tc>
          <w:tcPr>
            <w:tcW w:w="1445" w:type="dxa"/>
            <w:tcBorders/>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79,859</w:t>
            </w:r>
          </w:p>
        </w:tc>
        <w:tc>
          <w:tcPr>
            <w:tcW w:w="95" w:type="dxa"/>
            <w:tcBorders/>
            <w:vAlign w:val="bottom"/>
          </w:tcPr>
          <w:p>
            <w:pPr>
              <w:pStyle w:val="TableContents"/>
              <w:bidi w:val="0"/>
              <w:spacing w:before="0" w:after="283"/>
              <w:ind w:left="0" w:right="0" w:hanging="0"/>
              <w:jc w:val="left"/>
              <w:rPr>
                <w:sz w:val="4"/>
                <w:szCs w:val="4"/>
              </w:rPr>
            </w:pPr>
            <w:r>
              <w:rPr>
                <w:sz w:val="4"/>
                <w:szCs w:val="4"/>
              </w:rPr>
            </w:r>
          </w:p>
        </w:tc>
        <w:tc>
          <w:tcPr>
            <w:tcW w:w="60" w:type="dxa"/>
            <w:tcBorders/>
            <w:vAlign w:val="bottom"/>
          </w:tcPr>
          <w:p>
            <w:pPr>
              <w:pStyle w:val="TableContents"/>
              <w:bidi w:val="0"/>
              <w:spacing w:before="0" w:after="0"/>
              <w:ind w:left="0" w:right="0" w:hanging="0"/>
              <w:jc w:val="left"/>
              <w:rPr/>
            </w:pPr>
            <w:r>
              <w:rPr/>
              <w:t> </w:t>
            </w:r>
          </w:p>
        </w:tc>
        <w:tc>
          <w:tcPr>
            <w:tcW w:w="212" w:type="dxa"/>
            <w:tcBorders/>
            <w:vAlign w:val="bottom"/>
          </w:tcPr>
          <w:p>
            <w:pPr>
              <w:pStyle w:val="TableContents"/>
              <w:bidi w:val="0"/>
              <w:spacing w:before="0" w:after="283"/>
              <w:ind w:left="0" w:right="0" w:hanging="0"/>
              <w:jc w:val="left"/>
              <w:rPr>
                <w:sz w:val="4"/>
                <w:szCs w:val="4"/>
              </w:rPr>
            </w:pPr>
            <w:r>
              <w:rPr>
                <w:sz w:val="4"/>
                <w:szCs w:val="4"/>
              </w:rPr>
            </w:r>
          </w:p>
        </w:tc>
        <w:tc>
          <w:tcPr>
            <w:tcW w:w="468" w:type="dxa"/>
            <w:tcBorders/>
            <w:vAlign w:val="bottom"/>
          </w:tcPr>
          <w:p>
            <w:pPr>
              <w:pStyle w:val="TableContents"/>
              <w:bidi w:val="0"/>
              <w:spacing w:before="0" w:after="0"/>
              <w:ind w:left="0" w:right="0" w:hanging="0"/>
              <w:jc w:val="right"/>
              <w:rPr/>
            </w:pPr>
            <w:r>
              <w:rPr/>
              <w:t>—</w:t>
            </w:r>
          </w:p>
        </w:tc>
        <w:tc>
          <w:tcPr>
            <w:tcW w:w="23" w:type="dxa"/>
            <w:tcBorders/>
            <w:vAlign w:val="bottom"/>
          </w:tcPr>
          <w:p>
            <w:pPr>
              <w:pStyle w:val="TableContents"/>
              <w:bidi w:val="0"/>
              <w:spacing w:before="0" w:after="283"/>
              <w:ind w:left="0" w:right="0" w:hanging="0"/>
              <w:jc w:val="left"/>
              <w:rPr>
                <w:sz w:val="4"/>
                <w:szCs w:val="4"/>
              </w:rPr>
            </w:pPr>
            <w:r>
              <w:rPr>
                <w:sz w:val="4"/>
                <w:szCs w:val="4"/>
              </w:rPr>
            </w:r>
          </w:p>
        </w:tc>
        <w:tc>
          <w:tcPr>
            <w:tcW w:w="60" w:type="dxa"/>
            <w:tcBorders/>
            <w:vAlign w:val="bottom"/>
          </w:tcPr>
          <w:p>
            <w:pPr>
              <w:pStyle w:val="TableContents"/>
              <w:bidi w:val="0"/>
              <w:spacing w:before="0" w:after="0"/>
              <w:ind w:left="0" w:right="0" w:hanging="0"/>
              <w:jc w:val="left"/>
              <w:rPr/>
            </w:pPr>
            <w:r>
              <w:rPr/>
              <w:t> </w:t>
            </w:r>
          </w:p>
        </w:tc>
        <w:tc>
          <w:tcPr>
            <w:tcW w:w="185" w:type="dxa"/>
            <w:tcBorders/>
            <w:vAlign w:val="bottom"/>
          </w:tcPr>
          <w:p>
            <w:pPr>
              <w:pStyle w:val="TableContents"/>
              <w:bidi w:val="0"/>
              <w:spacing w:before="0" w:after="283"/>
              <w:ind w:left="0" w:right="0" w:hanging="0"/>
              <w:jc w:val="left"/>
              <w:rPr>
                <w:sz w:val="4"/>
                <w:szCs w:val="4"/>
              </w:rPr>
            </w:pPr>
            <w:r>
              <w:rPr>
                <w:sz w:val="4"/>
                <w:szCs w:val="4"/>
              </w:rPr>
            </w:r>
          </w:p>
        </w:tc>
        <w:tc>
          <w:tcPr>
            <w:tcW w:w="945" w:type="dxa"/>
            <w:tcBorders/>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0.5</w:t>
            </w:r>
          </w:p>
        </w:tc>
        <w:tc>
          <w:tcPr>
            <w:tcW w:w="23" w:type="dxa"/>
            <w:tcBorders/>
            <w:vAlign w:val="bottom"/>
          </w:tcPr>
          <w:p>
            <w:pPr>
              <w:pStyle w:val="TableContents"/>
              <w:bidi w:val="0"/>
              <w:spacing w:before="0" w:after="283"/>
              <w:ind w:left="0" w:right="0" w:hanging="0"/>
              <w:jc w:val="left"/>
              <w:rPr>
                <w:sz w:val="4"/>
                <w:szCs w:val="4"/>
              </w:rPr>
            </w:pPr>
            <w:r>
              <w:rPr>
                <w:sz w:val="4"/>
                <w:szCs w:val="4"/>
              </w:rPr>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283"/>
              <w:ind w:left="0" w:right="0" w:hanging="0"/>
              <w:jc w:val="left"/>
              <w:rPr>
                <w:sz w:val="4"/>
                <w:szCs w:val="4"/>
              </w:rPr>
            </w:pPr>
            <w:r>
              <w:rPr>
                <w:sz w:val="4"/>
                <w:szCs w:val="4"/>
              </w:rPr>
            </w:r>
          </w:p>
        </w:tc>
        <w:tc>
          <w:tcPr>
            <w:tcW w:w="695" w:type="dxa"/>
            <w:tcBorders/>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0.5</w:t>
            </w:r>
          </w:p>
        </w:tc>
        <w:tc>
          <w:tcPr>
            <w:tcW w:w="110" w:type="dxa"/>
            <w:tcBorders/>
            <w:vAlign w:val="bottom"/>
          </w:tcPr>
          <w:p>
            <w:pPr>
              <w:pStyle w:val="TableContents"/>
              <w:bidi w:val="0"/>
              <w:spacing w:before="0" w:after="283"/>
              <w:jc w:val="left"/>
              <w:rPr>
                <w:sz w:val="4"/>
                <w:szCs w:val="4"/>
              </w:rPr>
            </w:pPr>
            <w:r>
              <w:rPr>
                <w:sz w:val="4"/>
                <w:szCs w:val="4"/>
              </w:rPr>
            </w:r>
          </w:p>
        </w:tc>
      </w:tr>
      <w:tr>
        <w:trPr/>
        <w:tc>
          <w:tcPr>
            <w:tcW w:w="3365" w:type="dxa"/>
            <w:tcBorders/>
            <w:shd w:fill="CCEEFF" w:val="clear"/>
            <w:vAlign w:val="bottom"/>
          </w:tcPr>
          <w:p>
            <w:pPr>
              <w:pStyle w:val="TableContents"/>
              <w:bidi w:val="0"/>
              <w:spacing w:before="0" w:after="0"/>
              <w:jc w:val="left"/>
              <w:rPr>
                <w:rFonts w:ascii="times new roman;times" w:hAnsi="times new roman;times"/>
                <w:sz w:val="20"/>
              </w:rPr>
            </w:pPr>
            <w:r>
              <w:rPr>
                <w:rFonts w:ascii="times new roman;times" w:hAnsi="times new roman;times"/>
                <w:sz w:val="20"/>
              </w:rPr>
              <w:t>Share-based compensation</w:t>
            </w:r>
          </w:p>
        </w:tc>
        <w:tc>
          <w:tcPr>
            <w:tcW w:w="60" w:type="dxa"/>
            <w:tcBorders/>
            <w:shd w:fill="CCEEFF" w:val="clear"/>
            <w:vAlign w:val="bottom"/>
          </w:tcPr>
          <w:p>
            <w:pPr>
              <w:pStyle w:val="TableContents"/>
              <w:bidi w:val="0"/>
              <w:spacing w:before="0" w:after="0"/>
              <w:ind w:left="0" w:right="0" w:hanging="0"/>
              <w:jc w:val="left"/>
              <w:rPr/>
            </w:pPr>
            <w:r>
              <w:rPr/>
              <w:t> </w:t>
            </w:r>
          </w:p>
        </w:tc>
        <w:tc>
          <w:tcPr>
            <w:tcW w:w="1445" w:type="dxa"/>
            <w:tcBorders/>
            <w:shd w:fill="CCEEFF" w:val="clear"/>
            <w:vAlign w:val="bottom"/>
          </w:tcPr>
          <w:p>
            <w:pPr>
              <w:pStyle w:val="TableContents"/>
              <w:bidi w:val="0"/>
              <w:spacing w:before="0" w:after="0"/>
              <w:ind w:left="0" w:right="0" w:hanging="0"/>
              <w:jc w:val="right"/>
              <w:rPr/>
            </w:pPr>
            <w:r>
              <w:rPr/>
              <w:t>—</w:t>
            </w:r>
          </w:p>
        </w:tc>
        <w:tc>
          <w:tcPr>
            <w:tcW w:w="95" w:type="dxa"/>
            <w:tcBorders/>
            <w:shd w:fill="CCEEFF" w:val="clear"/>
            <w:vAlign w:val="bottom"/>
          </w:tcPr>
          <w:p>
            <w:pPr>
              <w:pStyle w:val="TableContents"/>
              <w:bidi w:val="0"/>
              <w:spacing w:before="0" w:after="283"/>
              <w:ind w:left="0" w:right="0" w:hanging="0"/>
              <w:jc w:val="left"/>
              <w:rPr>
                <w:sz w:val="4"/>
                <w:szCs w:val="4"/>
              </w:rPr>
            </w:pPr>
            <w:r>
              <w:rPr>
                <w:sz w:val="4"/>
                <w:szCs w:val="4"/>
              </w:rPr>
            </w:r>
          </w:p>
        </w:tc>
        <w:tc>
          <w:tcPr>
            <w:tcW w:w="60" w:type="dxa"/>
            <w:tcBorders/>
            <w:shd w:fill="CCEEFF" w:val="clear"/>
            <w:vAlign w:val="bottom"/>
          </w:tcPr>
          <w:p>
            <w:pPr>
              <w:pStyle w:val="TableContents"/>
              <w:bidi w:val="0"/>
              <w:spacing w:before="0" w:after="0"/>
              <w:ind w:left="0" w:right="0" w:hanging="0"/>
              <w:jc w:val="left"/>
              <w:rPr/>
            </w:pPr>
            <w:r>
              <w:rPr/>
              <w:t> </w:t>
            </w:r>
          </w:p>
        </w:tc>
        <w:tc>
          <w:tcPr>
            <w:tcW w:w="212" w:type="dxa"/>
            <w:tcBorders/>
            <w:shd w:fill="CCEEFF" w:val="clear"/>
            <w:vAlign w:val="bottom"/>
          </w:tcPr>
          <w:p>
            <w:pPr>
              <w:pStyle w:val="TableContents"/>
              <w:bidi w:val="0"/>
              <w:spacing w:before="0" w:after="0"/>
              <w:ind w:left="0" w:right="0" w:hanging="0"/>
              <w:jc w:val="left"/>
              <w:rPr/>
            </w:pPr>
            <w:r>
              <w:rPr/>
              <w:t> </w:t>
            </w:r>
          </w:p>
        </w:tc>
        <w:tc>
          <w:tcPr>
            <w:tcW w:w="468" w:type="dxa"/>
            <w:tcBorders/>
            <w:shd w:fill="CCEEFF" w:val="clear"/>
            <w:vAlign w:val="bottom"/>
          </w:tcPr>
          <w:p>
            <w:pPr>
              <w:pStyle w:val="TableContents"/>
              <w:bidi w:val="0"/>
              <w:spacing w:before="0" w:after="0"/>
              <w:ind w:left="0" w:right="0" w:hanging="0"/>
              <w:jc w:val="right"/>
              <w:rPr/>
            </w:pPr>
            <w:r>
              <w:rPr/>
              <w:t>—</w:t>
            </w:r>
          </w:p>
        </w:tc>
        <w:tc>
          <w:tcPr>
            <w:tcW w:w="23" w:type="dxa"/>
            <w:tcBorders/>
            <w:shd w:fill="CCEEFF" w:val="clear"/>
            <w:vAlign w:val="bottom"/>
          </w:tcPr>
          <w:p>
            <w:pPr>
              <w:pStyle w:val="TableContents"/>
              <w:bidi w:val="0"/>
              <w:spacing w:before="0" w:after="283"/>
              <w:ind w:left="0" w:right="0" w:hanging="0"/>
              <w:jc w:val="left"/>
              <w:rPr>
                <w:sz w:val="4"/>
                <w:szCs w:val="4"/>
              </w:rPr>
            </w:pPr>
            <w:r>
              <w:rPr>
                <w:sz w:val="4"/>
                <w:szCs w:val="4"/>
              </w:rPr>
            </w:r>
          </w:p>
        </w:tc>
        <w:tc>
          <w:tcPr>
            <w:tcW w:w="60" w:type="dxa"/>
            <w:tcBorders/>
            <w:shd w:fill="CCEEFF" w:val="clear"/>
            <w:vAlign w:val="bottom"/>
          </w:tcPr>
          <w:p>
            <w:pPr>
              <w:pStyle w:val="TableContents"/>
              <w:bidi w:val="0"/>
              <w:spacing w:before="0" w:after="0"/>
              <w:ind w:left="0" w:right="0" w:hanging="0"/>
              <w:jc w:val="left"/>
              <w:rPr/>
            </w:pPr>
            <w:r>
              <w:rPr/>
              <w:t> </w:t>
            </w:r>
          </w:p>
        </w:tc>
        <w:tc>
          <w:tcPr>
            <w:tcW w:w="185" w:type="dxa"/>
            <w:tcBorders/>
            <w:shd w:fill="CCEEFF" w:val="clear"/>
            <w:vAlign w:val="bottom"/>
          </w:tcPr>
          <w:p>
            <w:pPr>
              <w:pStyle w:val="TableContents"/>
              <w:bidi w:val="0"/>
              <w:spacing w:before="0" w:after="283"/>
              <w:ind w:left="0" w:right="0" w:hanging="0"/>
              <w:jc w:val="left"/>
              <w:rPr>
                <w:sz w:val="4"/>
                <w:szCs w:val="4"/>
              </w:rPr>
            </w:pPr>
            <w:r>
              <w:rPr>
                <w:sz w:val="4"/>
                <w:szCs w:val="4"/>
              </w:rPr>
            </w:r>
          </w:p>
        </w:tc>
        <w:tc>
          <w:tcPr>
            <w:tcW w:w="945" w:type="dxa"/>
            <w:tcBorders/>
            <w:shd w:fill="CCEEFF" w:val="clear"/>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14.3</w:t>
            </w:r>
          </w:p>
        </w:tc>
        <w:tc>
          <w:tcPr>
            <w:tcW w:w="23" w:type="dxa"/>
            <w:tcBorders/>
            <w:shd w:fill="CCEEFF" w:val="clear"/>
            <w:vAlign w:val="bottom"/>
          </w:tcPr>
          <w:p>
            <w:pPr>
              <w:pStyle w:val="TableContents"/>
              <w:bidi w:val="0"/>
              <w:spacing w:before="0" w:after="283"/>
              <w:ind w:left="0" w:right="0" w:hanging="0"/>
              <w:jc w:val="left"/>
              <w:rPr>
                <w:sz w:val="4"/>
                <w:szCs w:val="4"/>
              </w:rPr>
            </w:pPr>
            <w:r>
              <w:rPr>
                <w:sz w:val="4"/>
                <w:szCs w:val="4"/>
              </w:rPr>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695" w:type="dxa"/>
            <w:tcBorders/>
            <w:shd w:fill="CCEEFF" w:val="clear"/>
            <w:vAlign w:val="bottom"/>
          </w:tcPr>
          <w:p>
            <w:pPr>
              <w:pStyle w:val="TableContents"/>
              <w:bidi w:val="0"/>
              <w:spacing w:before="0" w:after="0"/>
              <w:ind w:left="0" w:right="0" w:hanging="0"/>
              <w:jc w:val="right"/>
              <w:rPr/>
            </w:pPr>
            <w:r>
              <w:rPr/>
              <w:t>—</w:t>
            </w:r>
          </w:p>
        </w:tc>
        <w:tc>
          <w:tcPr>
            <w:tcW w:w="110" w:type="dxa"/>
            <w:tcBorders/>
            <w:shd w:fill="CCEEFF" w:val="clear"/>
            <w:vAlign w:val="bottom"/>
          </w:tcPr>
          <w:p>
            <w:pPr>
              <w:pStyle w:val="TableContents"/>
              <w:bidi w:val="0"/>
              <w:spacing w:before="0" w:after="283"/>
              <w:jc w:val="left"/>
              <w:rPr>
                <w:sz w:val="4"/>
                <w:szCs w:val="4"/>
              </w:rPr>
            </w:pPr>
            <w:r>
              <w:rPr>
                <w:sz w:val="4"/>
                <w:szCs w:val="4"/>
              </w:rPr>
            </w:r>
          </w:p>
        </w:tc>
      </w:tr>
      <w:tr>
        <w:trPr/>
        <w:tc>
          <w:tcPr>
            <w:tcW w:w="3365" w:type="dxa"/>
            <w:tcBorders/>
            <w:vAlign w:val="bottom"/>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Repurchase of shares</w:t>
            </w:r>
          </w:p>
        </w:tc>
        <w:tc>
          <w:tcPr>
            <w:tcW w:w="60" w:type="dxa"/>
            <w:tcBorders/>
            <w:vAlign w:val="bottom"/>
          </w:tcPr>
          <w:p>
            <w:pPr>
              <w:pStyle w:val="TableContents"/>
              <w:bidi w:val="0"/>
              <w:spacing w:before="0" w:after="283"/>
              <w:ind w:left="0" w:right="0" w:hanging="0"/>
              <w:jc w:val="left"/>
              <w:rPr>
                <w:sz w:val="4"/>
                <w:szCs w:val="4"/>
              </w:rPr>
            </w:pPr>
            <w:r>
              <w:rPr>
                <w:sz w:val="4"/>
                <w:szCs w:val="4"/>
              </w:rPr>
            </w:r>
          </w:p>
        </w:tc>
        <w:tc>
          <w:tcPr>
            <w:tcW w:w="1445" w:type="dxa"/>
            <w:tcBorders/>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(276,400</w:t>
            </w:r>
          </w:p>
        </w:tc>
        <w:tc>
          <w:tcPr>
            <w:tcW w:w="95" w:type="dxa"/>
            <w:tcBorders/>
            <w:vAlign w:val="bottom"/>
          </w:tcPr>
          <w:p>
            <w:pPr>
              <w:pStyle w:val="TableContents"/>
              <w:bidi w:val="0"/>
              <w:spacing w:before="0" w:after="0"/>
              <w:ind w:left="0" w:right="0" w:hanging="0"/>
              <w:jc w:val="left"/>
              <w:rPr/>
            </w:pPr>
            <w:r>
              <w:rPr/>
              <w:t>)</w:t>
            </w:r>
          </w:p>
        </w:tc>
        <w:tc>
          <w:tcPr>
            <w:tcW w:w="60" w:type="dxa"/>
            <w:tcBorders/>
            <w:vAlign w:val="bottom"/>
          </w:tcPr>
          <w:p>
            <w:pPr>
              <w:pStyle w:val="TableContents"/>
              <w:bidi w:val="0"/>
              <w:spacing w:before="0" w:after="283"/>
              <w:ind w:left="0" w:right="0" w:hanging="0"/>
              <w:jc w:val="left"/>
              <w:rPr>
                <w:sz w:val="4"/>
                <w:szCs w:val="4"/>
              </w:rPr>
            </w:pPr>
            <w:r>
              <w:rPr>
                <w:sz w:val="4"/>
                <w:szCs w:val="4"/>
              </w:rPr>
            </w:r>
          </w:p>
        </w:tc>
        <w:tc>
          <w:tcPr>
            <w:tcW w:w="212" w:type="dxa"/>
            <w:tcBorders/>
            <w:vAlign w:val="bottom"/>
          </w:tcPr>
          <w:p>
            <w:pPr>
              <w:pStyle w:val="TableContents"/>
              <w:bidi w:val="0"/>
              <w:spacing w:before="0" w:after="283"/>
              <w:ind w:left="0" w:right="0" w:hanging="0"/>
              <w:jc w:val="left"/>
              <w:rPr>
                <w:sz w:val="4"/>
                <w:szCs w:val="4"/>
              </w:rPr>
            </w:pPr>
            <w:r>
              <w:rPr>
                <w:sz w:val="4"/>
                <w:szCs w:val="4"/>
              </w:rPr>
            </w:r>
          </w:p>
        </w:tc>
        <w:tc>
          <w:tcPr>
            <w:tcW w:w="468" w:type="dxa"/>
            <w:tcBorders/>
            <w:vAlign w:val="bottom"/>
          </w:tcPr>
          <w:p>
            <w:pPr>
              <w:pStyle w:val="TableContents"/>
              <w:bidi w:val="0"/>
              <w:spacing w:before="0" w:after="0"/>
              <w:ind w:left="0" w:right="0" w:hanging="0"/>
              <w:jc w:val="right"/>
              <w:rPr/>
            </w:pPr>
            <w:r>
              <w:rPr/>
              <w:t>—</w:t>
            </w:r>
          </w:p>
        </w:tc>
        <w:tc>
          <w:tcPr>
            <w:tcW w:w="23" w:type="dxa"/>
            <w:tcBorders/>
            <w:vAlign w:val="bottom"/>
          </w:tcPr>
          <w:p>
            <w:pPr>
              <w:pStyle w:val="TableContents"/>
              <w:bidi w:val="0"/>
              <w:spacing w:before="0" w:after="283"/>
              <w:ind w:left="0" w:right="0" w:hanging="0"/>
              <w:jc w:val="left"/>
              <w:rPr>
                <w:sz w:val="4"/>
                <w:szCs w:val="4"/>
              </w:rPr>
            </w:pPr>
            <w:r>
              <w:rPr>
                <w:sz w:val="4"/>
                <w:szCs w:val="4"/>
              </w:rPr>
            </w:r>
          </w:p>
        </w:tc>
        <w:tc>
          <w:tcPr>
            <w:tcW w:w="60" w:type="dxa"/>
            <w:tcBorders/>
            <w:vAlign w:val="bottom"/>
          </w:tcPr>
          <w:p>
            <w:pPr>
              <w:pStyle w:val="TableContents"/>
              <w:bidi w:val="0"/>
              <w:spacing w:before="0" w:after="283"/>
              <w:ind w:left="0" w:right="0" w:hanging="0"/>
              <w:jc w:val="left"/>
              <w:rPr>
                <w:sz w:val="4"/>
                <w:szCs w:val="4"/>
              </w:rPr>
            </w:pPr>
            <w:r>
              <w:rPr>
                <w:sz w:val="4"/>
                <w:szCs w:val="4"/>
              </w:rPr>
            </w:r>
          </w:p>
        </w:tc>
        <w:tc>
          <w:tcPr>
            <w:tcW w:w="185" w:type="dxa"/>
            <w:tcBorders/>
            <w:vAlign w:val="bottom"/>
          </w:tcPr>
          <w:p>
            <w:pPr>
              <w:pStyle w:val="TableContents"/>
              <w:bidi w:val="0"/>
              <w:spacing w:before="0" w:after="283"/>
              <w:ind w:left="0" w:right="0" w:hanging="0"/>
              <w:jc w:val="left"/>
              <w:rPr>
                <w:sz w:val="4"/>
                <w:szCs w:val="4"/>
              </w:rPr>
            </w:pPr>
            <w:r>
              <w:rPr>
                <w:sz w:val="4"/>
                <w:szCs w:val="4"/>
              </w:rPr>
            </w:r>
          </w:p>
        </w:tc>
        <w:tc>
          <w:tcPr>
            <w:tcW w:w="945" w:type="dxa"/>
            <w:tcBorders/>
            <w:vAlign w:val="bottom"/>
          </w:tcPr>
          <w:p>
            <w:pPr>
              <w:pStyle w:val="TableContents"/>
              <w:bidi w:val="0"/>
              <w:spacing w:before="0" w:after="0"/>
              <w:ind w:left="0" w:right="0" w:hanging="0"/>
              <w:jc w:val="right"/>
              <w:rPr/>
            </w:pPr>
            <w:r>
              <w:rPr/>
              <w:t>—</w:t>
            </w:r>
          </w:p>
        </w:tc>
        <w:tc>
          <w:tcPr>
            <w:tcW w:w="23" w:type="dxa"/>
            <w:tcBorders/>
            <w:vAlign w:val="bottom"/>
          </w:tcPr>
          <w:p>
            <w:pPr>
              <w:pStyle w:val="TableContents"/>
              <w:bidi w:val="0"/>
              <w:spacing w:before="0" w:after="283"/>
              <w:ind w:left="0" w:right="0" w:hanging="0"/>
              <w:jc w:val="left"/>
              <w:rPr>
                <w:sz w:val="4"/>
                <w:szCs w:val="4"/>
              </w:rPr>
            </w:pPr>
            <w:r>
              <w:rPr>
                <w:sz w:val="4"/>
                <w:szCs w:val="4"/>
              </w:rPr>
            </w:r>
          </w:p>
        </w:tc>
        <w:tc>
          <w:tcPr>
            <w:tcW w:w="60" w:type="dxa"/>
            <w:tcBorders/>
            <w:vAlign w:val="bottom"/>
          </w:tcPr>
          <w:p>
            <w:pPr>
              <w:pStyle w:val="TableContents"/>
              <w:bidi w:val="0"/>
              <w:spacing w:before="0" w:after="283"/>
              <w:ind w:left="0" w:right="0" w:hanging="0"/>
              <w:jc w:val="left"/>
              <w:rPr>
                <w:sz w:val="4"/>
                <w:szCs w:val="4"/>
              </w:rPr>
            </w:pPr>
            <w:r>
              <w:rPr>
                <w:sz w:val="4"/>
                <w:szCs w:val="4"/>
              </w:rPr>
            </w:r>
          </w:p>
        </w:tc>
        <w:tc>
          <w:tcPr>
            <w:tcW w:w="125" w:type="dxa"/>
            <w:tcBorders/>
            <w:vAlign w:val="bottom"/>
          </w:tcPr>
          <w:p>
            <w:pPr>
              <w:pStyle w:val="TableContents"/>
              <w:bidi w:val="0"/>
              <w:spacing w:before="0" w:after="283"/>
              <w:ind w:left="0" w:right="0" w:hanging="0"/>
              <w:jc w:val="left"/>
              <w:rPr>
                <w:sz w:val="4"/>
                <w:szCs w:val="4"/>
              </w:rPr>
            </w:pPr>
            <w:r>
              <w:rPr>
                <w:sz w:val="4"/>
                <w:szCs w:val="4"/>
              </w:rPr>
            </w:r>
          </w:p>
        </w:tc>
        <w:tc>
          <w:tcPr>
            <w:tcW w:w="695" w:type="dxa"/>
            <w:tcBorders/>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(28.3</w:t>
            </w:r>
          </w:p>
        </w:tc>
        <w:tc>
          <w:tcPr>
            <w:tcW w:w="110" w:type="dxa"/>
            <w:tcBorders/>
            <w:vAlign w:val="bottom"/>
          </w:tcPr>
          <w:p>
            <w:pPr>
              <w:pStyle w:val="TableContents"/>
              <w:bidi w:val="0"/>
              <w:spacing w:before="0" w:after="0"/>
              <w:jc w:val="left"/>
              <w:rPr/>
            </w:pPr>
            <w:r>
              <w:rPr/>
              <w:t>)</w:t>
            </w:r>
          </w:p>
        </w:tc>
      </w:tr>
      <w:tr>
        <w:trPr/>
        <w:tc>
          <w:tcPr>
            <w:tcW w:w="3365" w:type="dxa"/>
            <w:tcBorders/>
            <w:shd w:fill="CCEEFF" w:val="clear"/>
            <w:vAlign w:val="bottom"/>
          </w:tcPr>
          <w:p>
            <w:pPr>
              <w:pStyle w:val="TableContents"/>
              <w:bidi w:val="0"/>
              <w:spacing w:before="0" w:after="0"/>
              <w:jc w:val="left"/>
              <w:rPr>
                <w:rFonts w:ascii="times new roman;times" w:hAnsi="times new roman;times"/>
                <w:sz w:val="20"/>
              </w:rPr>
            </w:pPr>
            <w:r>
              <w:rPr>
                <w:rFonts w:ascii="times new roman;times" w:hAnsi="times new roman;times"/>
                <w:sz w:val="20"/>
              </w:rPr>
              <w:t xml:space="preserve">Balance as of  </w:t>
            </w:r>
            <w:r>
              <w:rPr>
                <w:rFonts w:ascii="times new roman;times" w:hAnsi="times new roman;times"/>
                <w:sz w:val="20"/>
              </w:rPr>
              <w:t>March 31, 2023</w:t>
            </w:r>
          </w:p>
        </w:tc>
        <w:tc>
          <w:tcPr>
            <w:tcW w:w="60" w:type="dxa"/>
            <w:tcBorders/>
            <w:shd w:fill="CCEEFF" w:val="clear"/>
            <w:vAlign w:val="bottom"/>
          </w:tcPr>
          <w:p>
            <w:pPr>
              <w:pStyle w:val="TableContents"/>
              <w:bidi w:val="0"/>
              <w:spacing w:before="0" w:after="0"/>
              <w:ind w:left="0" w:right="0" w:hanging="0"/>
              <w:jc w:val="left"/>
              <w:rPr/>
            </w:pPr>
            <w:r>
              <w:rPr/>
              <w:t> </w:t>
            </w:r>
          </w:p>
        </w:tc>
        <w:tc>
          <w:tcPr>
            <w:tcW w:w="1445" w:type="dxa"/>
            <w:tcBorders/>
            <w:shd w:fill="CCEEFF" w:val="clear"/>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49,626,166</w:t>
            </w:r>
          </w:p>
        </w:tc>
        <w:tc>
          <w:tcPr>
            <w:tcW w:w="95" w:type="dxa"/>
            <w:tcBorders/>
            <w:shd w:fill="CCEEFF" w:val="clear"/>
            <w:vAlign w:val="bottom"/>
          </w:tcPr>
          <w:p>
            <w:pPr>
              <w:pStyle w:val="TableContents"/>
              <w:bidi w:val="0"/>
              <w:spacing w:before="0" w:after="283"/>
              <w:ind w:left="0" w:right="0" w:hanging="0"/>
              <w:jc w:val="left"/>
              <w:rPr>
                <w:sz w:val="4"/>
                <w:szCs w:val="4"/>
              </w:rPr>
            </w:pPr>
            <w:r>
              <w:rPr>
                <w:sz w:val="4"/>
                <w:szCs w:val="4"/>
              </w:rPr>
            </w:r>
          </w:p>
        </w:tc>
        <w:tc>
          <w:tcPr>
            <w:tcW w:w="60" w:type="dxa"/>
            <w:tcBorders/>
            <w:shd w:fill="CCEEFF" w:val="clear"/>
            <w:vAlign w:val="bottom"/>
          </w:tcPr>
          <w:p>
            <w:pPr>
              <w:pStyle w:val="TableContents"/>
              <w:bidi w:val="0"/>
              <w:spacing w:before="0" w:after="0"/>
              <w:ind w:left="0" w:right="0" w:hanging="0"/>
              <w:jc w:val="left"/>
              <w:rPr/>
            </w:pPr>
            <w:r>
              <w:rPr/>
              <w:t> </w:t>
            </w:r>
          </w:p>
        </w:tc>
        <w:tc>
          <w:tcPr>
            <w:tcW w:w="212" w:type="dxa"/>
            <w:tcBorders/>
            <w:shd w:fill="CCEEFF" w:val="clear"/>
            <w:vAlign w:val="bottom"/>
          </w:tcPr>
          <w:p>
            <w:pPr>
              <w:pStyle w:val="TableContents"/>
              <w:bidi w:val="0"/>
              <w:spacing w:before="0" w:after="283"/>
              <w:ind w:left="0" w:right="0" w:hanging="0"/>
              <w:jc w:val="left"/>
              <w:rPr>
                <w:sz w:val="4"/>
                <w:szCs w:val="4"/>
              </w:rPr>
            </w:pPr>
            <w:r>
              <w:rPr>
                <w:sz w:val="4"/>
                <w:szCs w:val="4"/>
              </w:rPr>
            </w:r>
          </w:p>
        </w:tc>
        <w:tc>
          <w:tcPr>
            <w:tcW w:w="468" w:type="dxa"/>
            <w:tcBorders/>
            <w:shd w:fill="CCEEFF" w:val="clear"/>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1.3</w:t>
            </w:r>
          </w:p>
        </w:tc>
        <w:tc>
          <w:tcPr>
            <w:tcW w:w="23" w:type="dxa"/>
            <w:tcBorders/>
            <w:shd w:fill="CCEEFF" w:val="clear"/>
            <w:vAlign w:val="bottom"/>
          </w:tcPr>
          <w:p>
            <w:pPr>
              <w:pStyle w:val="TableContents"/>
              <w:bidi w:val="0"/>
              <w:spacing w:before="0" w:after="283"/>
              <w:ind w:left="0" w:right="0" w:hanging="0"/>
              <w:jc w:val="left"/>
              <w:rPr>
                <w:sz w:val="4"/>
                <w:szCs w:val="4"/>
              </w:rPr>
            </w:pPr>
            <w:r>
              <w:rPr>
                <w:sz w:val="4"/>
                <w:szCs w:val="4"/>
              </w:rPr>
            </w:r>
          </w:p>
        </w:tc>
        <w:tc>
          <w:tcPr>
            <w:tcW w:w="60" w:type="dxa"/>
            <w:tcBorders/>
            <w:shd w:fill="CCEEFF" w:val="clear"/>
            <w:vAlign w:val="bottom"/>
          </w:tcPr>
          <w:p>
            <w:pPr>
              <w:pStyle w:val="TableContents"/>
              <w:bidi w:val="0"/>
              <w:spacing w:before="0" w:after="0"/>
              <w:ind w:left="0" w:right="0" w:hanging="0"/>
              <w:jc w:val="left"/>
              <w:rPr/>
            </w:pPr>
            <w:r>
              <w:rPr/>
              <w:t> </w:t>
            </w:r>
          </w:p>
        </w:tc>
        <w:tc>
          <w:tcPr>
            <w:tcW w:w="185" w:type="dxa"/>
            <w:tcBorders/>
            <w:shd w:fill="CCEEFF" w:val="clear"/>
            <w:vAlign w:val="bottom"/>
          </w:tcPr>
          <w:p>
            <w:pPr>
              <w:pStyle w:val="TableContents"/>
              <w:bidi w:val="0"/>
              <w:spacing w:before="0" w:after="283"/>
              <w:ind w:left="0" w:right="0" w:hanging="0"/>
              <w:jc w:val="left"/>
              <w:rPr>
                <w:sz w:val="4"/>
                <w:szCs w:val="4"/>
              </w:rPr>
            </w:pPr>
            <w:r>
              <w:rPr>
                <w:sz w:val="4"/>
                <w:szCs w:val="4"/>
              </w:rPr>
            </w:r>
          </w:p>
        </w:tc>
        <w:tc>
          <w:tcPr>
            <w:tcW w:w="945" w:type="dxa"/>
            <w:tcBorders/>
            <w:shd w:fill="CCEEFF" w:val="clear"/>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1,266.6</w:t>
            </w:r>
          </w:p>
        </w:tc>
        <w:tc>
          <w:tcPr>
            <w:tcW w:w="23" w:type="dxa"/>
            <w:tcBorders/>
            <w:shd w:fill="CCEEFF" w:val="clear"/>
            <w:vAlign w:val="bottom"/>
          </w:tcPr>
          <w:p>
            <w:pPr>
              <w:pStyle w:val="TableContents"/>
              <w:bidi w:val="0"/>
              <w:spacing w:before="0" w:after="283"/>
              <w:ind w:left="0" w:right="0" w:hanging="0"/>
              <w:jc w:val="left"/>
              <w:rPr>
                <w:sz w:val="4"/>
                <w:szCs w:val="4"/>
              </w:rPr>
            </w:pPr>
            <w:r>
              <w:rPr>
                <w:sz w:val="4"/>
                <w:szCs w:val="4"/>
              </w:rPr>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283"/>
              <w:ind w:left="0" w:right="0" w:hanging="0"/>
              <w:jc w:val="left"/>
              <w:rPr>
                <w:sz w:val="4"/>
                <w:szCs w:val="4"/>
              </w:rPr>
            </w:pPr>
            <w:r>
              <w:rPr>
                <w:sz w:val="4"/>
                <w:szCs w:val="4"/>
              </w:rPr>
            </w:r>
          </w:p>
        </w:tc>
        <w:tc>
          <w:tcPr>
            <w:tcW w:w="695" w:type="dxa"/>
            <w:tcBorders/>
            <w:shd w:fill="CCEEFF" w:val="clear"/>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(1,133.6</w:t>
            </w:r>
          </w:p>
        </w:tc>
        <w:tc>
          <w:tcPr>
            <w:tcW w:w="110" w:type="dxa"/>
            <w:tcBorders/>
            <w:shd w:fill="CCEEFF" w:val="clear"/>
            <w:vAlign w:val="bottom"/>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r>
      <w:tr>
        <w:trPr/>
        <w:tc>
          <w:tcPr>
            <w:tcW w:w="3365" w:type="dxa"/>
            <w:tcBorders/>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Net income (loss)</w:t>
            </w:r>
          </w:p>
        </w:tc>
        <w:tc>
          <w:tcPr>
            <w:tcW w:w="60" w:type="dxa"/>
            <w:tcBorders/>
            <w:vAlign w:val="center"/>
          </w:tcPr>
          <w:p>
            <w:pPr>
              <w:pStyle w:val="TableContents"/>
              <w:bidi w:val="0"/>
              <w:spacing w:before="0" w:after="0"/>
              <w:ind w:left="0" w:right="0" w:hanging="0"/>
              <w:jc w:val="left"/>
              <w:rPr>
                <w:sz w:val="20"/>
              </w:rPr>
            </w:pPr>
            <w:r>
              <w:rPr>
                <w:sz w:val="20"/>
              </w:rPr>
            </w:r>
          </w:p>
        </w:tc>
        <w:tc>
          <w:tcPr>
            <w:tcW w:w="1445" w:type="dxa"/>
            <w:tcBorders/>
            <w:vAlign w:val="center"/>
          </w:tcPr>
          <w:p>
            <w:pPr>
              <w:pStyle w:val="TableContents"/>
              <w:bidi w:val="0"/>
              <w:spacing w:before="0" w:after="0"/>
              <w:ind w:left="0" w:right="0" w:hanging="0"/>
              <w:jc w:val="right"/>
              <w:rPr/>
            </w:pPr>
            <w:r>
              <w:rPr/>
              <w:t>—</w:t>
            </w:r>
          </w:p>
        </w:tc>
        <w:tc>
          <w:tcPr>
            <w:tcW w:w="95" w:type="dxa"/>
            <w:tcBorders/>
            <w:vAlign w:val="center"/>
          </w:tcPr>
          <w:p>
            <w:pPr>
              <w:pStyle w:val="TableContents"/>
              <w:bidi w:val="0"/>
              <w:spacing w:before="0" w:after="283"/>
              <w:ind w:left="0" w:right="0" w:hanging="0"/>
              <w:jc w:val="left"/>
              <w:rPr/>
            </w:pPr>
            <w:r>
              <w:rPr/>
            </w:r>
          </w:p>
        </w:tc>
        <w:tc>
          <w:tcPr>
            <w:tcW w:w="60" w:type="dxa"/>
            <w:tcBorders/>
            <w:vAlign w:val="center"/>
          </w:tcPr>
          <w:p>
            <w:pPr>
              <w:pStyle w:val="TableContents"/>
              <w:bidi w:val="0"/>
              <w:spacing w:before="0" w:after="0"/>
              <w:ind w:left="0" w:right="0" w:hanging="0"/>
              <w:jc w:val="left"/>
              <w:rPr>
                <w:sz w:val="20"/>
              </w:rPr>
            </w:pPr>
            <w:r>
              <w:rPr>
                <w:sz w:val="20"/>
              </w:rPr>
            </w:r>
          </w:p>
        </w:tc>
        <w:tc>
          <w:tcPr>
            <w:tcW w:w="212" w:type="dxa"/>
            <w:tcBorders/>
            <w:vAlign w:val="center"/>
          </w:tcPr>
          <w:p>
            <w:pPr>
              <w:pStyle w:val="TableContents"/>
              <w:bidi w:val="0"/>
              <w:spacing w:before="0" w:after="283"/>
              <w:ind w:left="0" w:right="0" w:hanging="0"/>
              <w:jc w:val="left"/>
              <w:rPr/>
            </w:pPr>
            <w:r>
              <w:rPr/>
            </w:r>
          </w:p>
        </w:tc>
        <w:tc>
          <w:tcPr>
            <w:tcW w:w="468" w:type="dxa"/>
            <w:tcBorders/>
            <w:vAlign w:val="center"/>
          </w:tcPr>
          <w:p>
            <w:pPr>
              <w:pStyle w:val="TableContents"/>
              <w:bidi w:val="0"/>
              <w:spacing w:before="0" w:after="0"/>
              <w:ind w:left="0" w:right="0" w:hanging="0"/>
              <w:jc w:val="right"/>
              <w:rPr/>
            </w:pPr>
            <w:r>
              <w:rPr/>
              <w:t>—</w:t>
            </w:r>
          </w:p>
        </w:tc>
        <w:tc>
          <w:tcPr>
            <w:tcW w:w="23" w:type="dxa"/>
            <w:tcBorders/>
            <w:vAlign w:val="center"/>
          </w:tcPr>
          <w:p>
            <w:pPr>
              <w:pStyle w:val="TableContents"/>
              <w:bidi w:val="0"/>
              <w:spacing w:before="0" w:after="283"/>
              <w:ind w:left="0" w:right="0" w:hanging="0"/>
              <w:jc w:val="left"/>
              <w:rPr/>
            </w:pPr>
            <w:r>
              <w:rPr/>
            </w:r>
          </w:p>
        </w:tc>
        <w:tc>
          <w:tcPr>
            <w:tcW w:w="60" w:type="dxa"/>
            <w:tcBorders/>
            <w:vAlign w:val="center"/>
          </w:tcPr>
          <w:p>
            <w:pPr>
              <w:pStyle w:val="TableContents"/>
              <w:bidi w:val="0"/>
              <w:spacing w:before="0" w:after="0"/>
              <w:ind w:left="0" w:right="0" w:hanging="0"/>
              <w:jc w:val="left"/>
              <w:rPr>
                <w:sz w:val="20"/>
              </w:rPr>
            </w:pPr>
            <w:r>
              <w:rPr>
                <w:sz w:val="20"/>
              </w:rPr>
            </w:r>
          </w:p>
        </w:tc>
        <w:tc>
          <w:tcPr>
            <w:tcW w:w="185" w:type="dxa"/>
            <w:tcBorders/>
            <w:vAlign w:val="center"/>
          </w:tcPr>
          <w:p>
            <w:pPr>
              <w:pStyle w:val="TableContents"/>
              <w:bidi w:val="0"/>
              <w:spacing w:before="0" w:after="283"/>
              <w:ind w:left="0" w:right="0" w:hanging="0"/>
              <w:jc w:val="left"/>
              <w:rPr/>
            </w:pPr>
            <w:r>
              <w:rPr/>
            </w:r>
          </w:p>
        </w:tc>
        <w:tc>
          <w:tcPr>
            <w:tcW w:w="945" w:type="dxa"/>
            <w:tcBorders/>
            <w:vAlign w:val="center"/>
          </w:tcPr>
          <w:p>
            <w:pPr>
              <w:pStyle w:val="TableContents"/>
              <w:bidi w:val="0"/>
              <w:spacing w:before="0" w:after="0"/>
              <w:ind w:left="0" w:right="0" w:hanging="0"/>
              <w:jc w:val="right"/>
              <w:rPr/>
            </w:pPr>
            <w:r>
              <w:rPr/>
              <w:t>—</w:t>
            </w:r>
          </w:p>
        </w:tc>
        <w:tc>
          <w:tcPr>
            <w:tcW w:w="23" w:type="dxa"/>
            <w:tcBorders/>
            <w:vAlign w:val="center"/>
          </w:tcPr>
          <w:p>
            <w:pPr>
              <w:pStyle w:val="TableContents"/>
              <w:bidi w:val="0"/>
              <w:spacing w:before="0" w:after="283"/>
              <w:ind w:left="0" w:right="0" w:hanging="0"/>
              <w:jc w:val="left"/>
              <w:rPr/>
            </w:pPr>
            <w:r>
              <w:rPr/>
            </w:r>
          </w:p>
        </w:tc>
        <w:tc>
          <w:tcPr>
            <w:tcW w:w="60" w:type="dxa"/>
            <w:tcBorders/>
            <w:vAlign w:val="center"/>
          </w:tcPr>
          <w:p>
            <w:pPr>
              <w:pStyle w:val="TableContents"/>
              <w:bidi w:val="0"/>
              <w:spacing w:before="0" w:after="0"/>
              <w:ind w:left="0" w:right="0" w:hanging="0"/>
              <w:jc w:val="left"/>
              <w:rPr>
                <w:sz w:val="20"/>
              </w:rPr>
            </w:pPr>
            <w:r>
              <w:rPr>
                <w:sz w:val="20"/>
              </w:rPr>
            </w:r>
          </w:p>
        </w:tc>
        <w:tc>
          <w:tcPr>
            <w:tcW w:w="125" w:type="dxa"/>
            <w:tcBorders/>
            <w:vAlign w:val="center"/>
          </w:tcPr>
          <w:p>
            <w:pPr>
              <w:pStyle w:val="TableContents"/>
              <w:bidi w:val="0"/>
              <w:spacing w:before="0" w:after="283"/>
              <w:ind w:left="0" w:right="0" w:hanging="0"/>
              <w:jc w:val="left"/>
              <w:rPr/>
            </w:pPr>
            <w:r>
              <w:rPr/>
            </w:r>
          </w:p>
        </w:tc>
        <w:tc>
          <w:tcPr>
            <w:tcW w:w="695" w:type="dxa"/>
            <w:tcBorders/>
            <w:vAlign w:val="center"/>
          </w:tcPr>
          <w:p>
            <w:pPr>
              <w:pStyle w:val="TableContents"/>
              <w:bidi w:val="0"/>
              <w:spacing w:before="0" w:after="0"/>
              <w:ind w:left="0" w:right="0" w:hanging="0"/>
              <w:jc w:val="right"/>
              <w:rPr/>
            </w:pPr>
            <w:r>
              <w:rPr/>
              <w:t>—</w:t>
            </w:r>
          </w:p>
        </w:tc>
        <w:tc>
          <w:tcPr>
            <w:tcW w:w="110" w:type="dxa"/>
            <w:tcBorders/>
            <w:vAlign w:val="center"/>
          </w:tcPr>
          <w:p>
            <w:pPr>
              <w:pStyle w:val="TableContents"/>
              <w:bidi w:val="0"/>
              <w:spacing w:before="0" w:after="283"/>
              <w:jc w:val="left"/>
              <w:rPr/>
            </w:pPr>
            <w:r>
              <w:rPr/>
            </w:r>
          </w:p>
        </w:tc>
      </w:tr>
      <w:tr>
        <w:trPr/>
        <w:tc>
          <w:tcPr>
            <w:tcW w:w="3365" w:type="dxa"/>
            <w:tcBorders/>
            <w:shd w:fill="CCEEFF" w:val="clear"/>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Other comprehensive income</w:t>
            </w:r>
          </w:p>
        </w:tc>
        <w:tc>
          <w:tcPr>
            <w:tcW w:w="60" w:type="dxa"/>
            <w:tcBorders/>
            <w:shd w:fill="CCEEFF" w:val="clear"/>
            <w:vAlign w:val="center"/>
          </w:tcPr>
          <w:p>
            <w:pPr>
              <w:pStyle w:val="TableContents"/>
              <w:bidi w:val="0"/>
              <w:spacing w:before="0" w:after="0"/>
              <w:ind w:left="0" w:right="0" w:hanging="0"/>
              <w:jc w:val="left"/>
              <w:rPr>
                <w:sz w:val="20"/>
              </w:rPr>
            </w:pPr>
            <w:r>
              <w:rPr>
                <w:sz w:val="20"/>
              </w:rPr>
            </w:r>
          </w:p>
        </w:tc>
        <w:tc>
          <w:tcPr>
            <w:tcW w:w="1445" w:type="dxa"/>
            <w:tcBorders/>
            <w:shd w:fill="CCEEFF" w:val="clear"/>
            <w:vAlign w:val="center"/>
          </w:tcPr>
          <w:p>
            <w:pPr>
              <w:pStyle w:val="TableContents"/>
              <w:bidi w:val="0"/>
              <w:spacing w:before="0" w:after="0"/>
              <w:ind w:left="0" w:right="0" w:hanging="0"/>
              <w:jc w:val="right"/>
              <w:rPr/>
            </w:pPr>
            <w:r>
              <w:rPr/>
              <w:t>—</w:t>
            </w:r>
          </w:p>
        </w:tc>
        <w:tc>
          <w:tcPr>
            <w:tcW w:w="95" w:type="dxa"/>
            <w:tcBorders/>
            <w:shd w:fill="CCEEFF" w:val="clear"/>
            <w:vAlign w:val="center"/>
          </w:tcPr>
          <w:p>
            <w:pPr>
              <w:pStyle w:val="TableContents"/>
              <w:bidi w:val="0"/>
              <w:spacing w:before="0" w:after="283"/>
              <w:ind w:left="0" w:right="0" w:hanging="0"/>
              <w:jc w:val="left"/>
              <w:rPr/>
            </w:pPr>
            <w:r>
              <w:rPr/>
            </w:r>
          </w:p>
        </w:tc>
        <w:tc>
          <w:tcPr>
            <w:tcW w:w="60" w:type="dxa"/>
            <w:tcBorders/>
            <w:shd w:fill="CCEEFF" w:val="clear"/>
            <w:vAlign w:val="center"/>
          </w:tcPr>
          <w:p>
            <w:pPr>
              <w:pStyle w:val="TableContents"/>
              <w:bidi w:val="0"/>
              <w:spacing w:before="0" w:after="0"/>
              <w:ind w:left="0" w:right="0" w:hanging="0"/>
              <w:jc w:val="left"/>
              <w:rPr>
                <w:sz w:val="20"/>
              </w:rPr>
            </w:pPr>
            <w:r>
              <w:rPr>
                <w:sz w:val="20"/>
              </w:rPr>
            </w:r>
          </w:p>
        </w:tc>
        <w:tc>
          <w:tcPr>
            <w:tcW w:w="212" w:type="dxa"/>
            <w:tcBorders/>
            <w:shd w:fill="CCEEFF" w:val="clear"/>
            <w:vAlign w:val="center"/>
          </w:tcPr>
          <w:p>
            <w:pPr>
              <w:pStyle w:val="TableContents"/>
              <w:bidi w:val="0"/>
              <w:spacing w:before="0" w:after="283"/>
              <w:ind w:left="0" w:right="0" w:hanging="0"/>
              <w:jc w:val="left"/>
              <w:rPr/>
            </w:pPr>
            <w:r>
              <w:rPr/>
            </w:r>
          </w:p>
        </w:tc>
        <w:tc>
          <w:tcPr>
            <w:tcW w:w="468"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283"/>
              <w:ind w:left="0" w:right="0" w:hanging="0"/>
              <w:jc w:val="left"/>
              <w:rPr/>
            </w:pPr>
            <w:r>
              <w:rPr/>
            </w:r>
          </w:p>
        </w:tc>
        <w:tc>
          <w:tcPr>
            <w:tcW w:w="60" w:type="dxa"/>
            <w:tcBorders/>
            <w:shd w:fill="CCEEFF" w:val="clear"/>
            <w:vAlign w:val="center"/>
          </w:tcPr>
          <w:p>
            <w:pPr>
              <w:pStyle w:val="TableContents"/>
              <w:bidi w:val="0"/>
              <w:spacing w:before="0" w:after="0"/>
              <w:ind w:left="0" w:right="0" w:hanging="0"/>
              <w:jc w:val="left"/>
              <w:rPr>
                <w:sz w:val="20"/>
              </w:rPr>
            </w:pPr>
            <w:r>
              <w:rPr>
                <w:sz w:val="20"/>
              </w:rPr>
            </w:r>
          </w:p>
        </w:tc>
        <w:tc>
          <w:tcPr>
            <w:tcW w:w="185" w:type="dxa"/>
            <w:tcBorders/>
            <w:shd w:fill="CCEEFF" w:val="clear"/>
            <w:vAlign w:val="center"/>
          </w:tcPr>
          <w:p>
            <w:pPr>
              <w:pStyle w:val="TableContents"/>
              <w:bidi w:val="0"/>
              <w:spacing w:before="0" w:after="283"/>
              <w:ind w:left="0" w:right="0" w:hanging="0"/>
              <w:jc w:val="left"/>
              <w:rPr/>
            </w:pPr>
            <w:r>
              <w:rPr/>
            </w:r>
          </w:p>
        </w:tc>
        <w:tc>
          <w:tcPr>
            <w:tcW w:w="945"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283"/>
              <w:ind w:left="0" w:right="0" w:hanging="0"/>
              <w:jc w:val="left"/>
              <w:rPr/>
            </w:pPr>
            <w:r>
              <w:rPr/>
            </w:r>
          </w:p>
        </w:tc>
        <w:tc>
          <w:tcPr>
            <w:tcW w:w="60" w:type="dxa"/>
            <w:tcBorders/>
            <w:shd w:fill="CCEEFF" w:val="clear"/>
            <w:vAlign w:val="center"/>
          </w:tcPr>
          <w:p>
            <w:pPr>
              <w:pStyle w:val="TableContents"/>
              <w:bidi w:val="0"/>
              <w:spacing w:before="0" w:after="0"/>
              <w:ind w:left="0" w:right="0" w:hanging="0"/>
              <w:jc w:val="left"/>
              <w:rPr>
                <w:sz w:val="20"/>
              </w:rPr>
            </w:pPr>
            <w:r>
              <w:rPr>
                <w:sz w:val="20"/>
              </w:rPr>
            </w:r>
          </w:p>
        </w:tc>
        <w:tc>
          <w:tcPr>
            <w:tcW w:w="125" w:type="dxa"/>
            <w:tcBorders/>
            <w:shd w:fill="CCEEFF" w:val="clear"/>
            <w:vAlign w:val="center"/>
          </w:tcPr>
          <w:p>
            <w:pPr>
              <w:pStyle w:val="TableContents"/>
              <w:bidi w:val="0"/>
              <w:spacing w:before="0" w:after="283"/>
              <w:ind w:left="0" w:right="0" w:hanging="0"/>
              <w:jc w:val="left"/>
              <w:rPr/>
            </w:pPr>
            <w:r>
              <w:rPr/>
            </w:r>
          </w:p>
        </w:tc>
        <w:tc>
          <w:tcPr>
            <w:tcW w:w="695" w:type="dxa"/>
            <w:tcBorders/>
            <w:shd w:fill="CCEEFF" w:val="clear"/>
            <w:vAlign w:val="center"/>
          </w:tcPr>
          <w:p>
            <w:pPr>
              <w:pStyle w:val="TableContents"/>
              <w:bidi w:val="0"/>
              <w:spacing w:before="0" w:after="0"/>
              <w:ind w:left="0" w:right="0" w:hanging="0"/>
              <w:jc w:val="right"/>
              <w:rPr/>
            </w:pPr>
            <w:r>
              <w:rPr/>
              <w:t>—</w:t>
            </w:r>
          </w:p>
        </w:tc>
        <w:tc>
          <w:tcPr>
            <w:tcW w:w="110" w:type="dxa"/>
            <w:tcBorders/>
            <w:shd w:fill="CCEEFF" w:val="clear"/>
            <w:vAlign w:val="center"/>
          </w:tcPr>
          <w:p>
            <w:pPr>
              <w:pStyle w:val="TableContents"/>
              <w:bidi w:val="0"/>
              <w:spacing w:before="0" w:after="283"/>
              <w:jc w:val="left"/>
              <w:rPr/>
            </w:pPr>
            <w:r>
              <w:rPr/>
            </w:r>
          </w:p>
        </w:tc>
      </w:tr>
      <w:tr>
        <w:trPr/>
        <w:tc>
          <w:tcPr>
            <w:tcW w:w="3365" w:type="dxa"/>
            <w:tcBorders/>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Stock issued under employee stock plans</w:t>
            </w:r>
          </w:p>
        </w:tc>
        <w:tc>
          <w:tcPr>
            <w:tcW w:w="60" w:type="dxa"/>
            <w:tcBorders/>
            <w:vAlign w:val="center"/>
          </w:tcPr>
          <w:p>
            <w:pPr>
              <w:pStyle w:val="TableContents"/>
              <w:bidi w:val="0"/>
              <w:spacing w:before="0" w:after="0"/>
              <w:ind w:left="0" w:right="0" w:hanging="0"/>
              <w:jc w:val="left"/>
              <w:rPr>
                <w:sz w:val="20"/>
              </w:rPr>
            </w:pPr>
            <w:r>
              <w:rPr>
                <w:sz w:val="20"/>
              </w:rPr>
            </w:r>
          </w:p>
        </w:tc>
        <w:tc>
          <w:tcPr>
            <w:tcW w:w="1445" w:type="dxa"/>
            <w:tcBorders/>
            <w:vAlign w:val="center"/>
          </w:tcPr>
          <w:p>
            <w:pPr>
              <w:pStyle w:val="TableContents"/>
              <w:bidi w:val="0"/>
              <w:spacing w:before="0" w:after="0"/>
              <w:ind w:left="0" w:right="0" w:hanging="0"/>
              <w:jc w:val="right"/>
              <w:rPr>
                <w:sz w:val="20"/>
              </w:rPr>
            </w:pPr>
            <w:r>
              <w:rPr>
                <w:sz w:val="20"/>
              </w:rPr>
              <w:t>30,188</w:t>
            </w:r>
          </w:p>
        </w:tc>
        <w:tc>
          <w:tcPr>
            <w:tcW w:w="95" w:type="dxa"/>
            <w:tcBorders/>
            <w:vAlign w:val="center"/>
          </w:tcPr>
          <w:p>
            <w:pPr>
              <w:pStyle w:val="TableContents"/>
              <w:bidi w:val="0"/>
              <w:spacing w:before="0" w:after="283"/>
              <w:ind w:left="0" w:right="0" w:hanging="0"/>
              <w:jc w:val="left"/>
              <w:rPr/>
            </w:pPr>
            <w:r>
              <w:rPr/>
            </w:r>
          </w:p>
        </w:tc>
        <w:tc>
          <w:tcPr>
            <w:tcW w:w="60" w:type="dxa"/>
            <w:tcBorders/>
            <w:vAlign w:val="center"/>
          </w:tcPr>
          <w:p>
            <w:pPr>
              <w:pStyle w:val="TableContents"/>
              <w:bidi w:val="0"/>
              <w:spacing w:before="0" w:after="0"/>
              <w:ind w:left="0" w:right="0" w:hanging="0"/>
              <w:jc w:val="left"/>
              <w:rPr>
                <w:sz w:val="20"/>
              </w:rPr>
            </w:pPr>
            <w:r>
              <w:rPr>
                <w:sz w:val="20"/>
              </w:rPr>
            </w:r>
          </w:p>
        </w:tc>
        <w:tc>
          <w:tcPr>
            <w:tcW w:w="212" w:type="dxa"/>
            <w:tcBorders/>
            <w:vAlign w:val="center"/>
          </w:tcPr>
          <w:p>
            <w:pPr>
              <w:pStyle w:val="TableContents"/>
              <w:bidi w:val="0"/>
              <w:spacing w:before="0" w:after="283"/>
              <w:ind w:left="0" w:right="0" w:hanging="0"/>
              <w:jc w:val="left"/>
              <w:rPr/>
            </w:pPr>
            <w:r>
              <w:rPr/>
            </w:r>
          </w:p>
        </w:tc>
        <w:tc>
          <w:tcPr>
            <w:tcW w:w="468" w:type="dxa"/>
            <w:tcBorders/>
            <w:vAlign w:val="center"/>
          </w:tcPr>
          <w:p>
            <w:pPr>
              <w:pStyle w:val="TableContents"/>
              <w:bidi w:val="0"/>
              <w:spacing w:before="0" w:after="0"/>
              <w:ind w:left="0" w:right="0" w:hanging="0"/>
              <w:jc w:val="right"/>
              <w:rPr/>
            </w:pPr>
            <w:r>
              <w:rPr/>
              <w:t>—</w:t>
            </w:r>
          </w:p>
        </w:tc>
        <w:tc>
          <w:tcPr>
            <w:tcW w:w="23" w:type="dxa"/>
            <w:tcBorders/>
            <w:vAlign w:val="center"/>
          </w:tcPr>
          <w:p>
            <w:pPr>
              <w:pStyle w:val="TableContents"/>
              <w:bidi w:val="0"/>
              <w:spacing w:before="0" w:after="283"/>
              <w:ind w:left="0" w:right="0" w:hanging="0"/>
              <w:jc w:val="left"/>
              <w:rPr/>
            </w:pPr>
            <w:r>
              <w:rPr/>
            </w:r>
          </w:p>
        </w:tc>
        <w:tc>
          <w:tcPr>
            <w:tcW w:w="60" w:type="dxa"/>
            <w:tcBorders/>
            <w:vAlign w:val="center"/>
          </w:tcPr>
          <w:p>
            <w:pPr>
              <w:pStyle w:val="TableContents"/>
              <w:bidi w:val="0"/>
              <w:spacing w:before="0" w:after="0"/>
              <w:ind w:left="0" w:right="0" w:hanging="0"/>
              <w:jc w:val="left"/>
              <w:rPr>
                <w:sz w:val="20"/>
              </w:rPr>
            </w:pPr>
            <w:r>
              <w:rPr>
                <w:sz w:val="20"/>
              </w:rPr>
            </w:r>
          </w:p>
        </w:tc>
        <w:tc>
          <w:tcPr>
            <w:tcW w:w="185" w:type="dxa"/>
            <w:tcBorders/>
            <w:vAlign w:val="center"/>
          </w:tcPr>
          <w:p>
            <w:pPr>
              <w:pStyle w:val="TableContents"/>
              <w:bidi w:val="0"/>
              <w:spacing w:before="0" w:after="283"/>
              <w:ind w:left="0" w:right="0" w:hanging="0"/>
              <w:jc w:val="left"/>
              <w:rPr/>
            </w:pPr>
            <w:r>
              <w:rPr/>
            </w:r>
          </w:p>
        </w:tc>
        <w:tc>
          <w:tcPr>
            <w:tcW w:w="945" w:type="dxa"/>
            <w:tcBorders/>
            <w:vAlign w:val="center"/>
          </w:tcPr>
          <w:p>
            <w:pPr>
              <w:pStyle w:val="TableContents"/>
              <w:bidi w:val="0"/>
              <w:spacing w:before="0" w:after="0"/>
              <w:ind w:left="0" w:right="0" w:hanging="0"/>
              <w:jc w:val="right"/>
              <w:rPr>
                <w:sz w:val="20"/>
              </w:rPr>
            </w:pPr>
            <w:r>
              <w:rPr>
                <w:sz w:val="20"/>
              </w:rPr>
              <w:t>1.3</w:t>
            </w:r>
          </w:p>
        </w:tc>
        <w:tc>
          <w:tcPr>
            <w:tcW w:w="23" w:type="dxa"/>
            <w:tcBorders/>
            <w:vAlign w:val="center"/>
          </w:tcPr>
          <w:p>
            <w:pPr>
              <w:pStyle w:val="TableContents"/>
              <w:bidi w:val="0"/>
              <w:spacing w:before="0" w:after="283"/>
              <w:ind w:left="0" w:right="0" w:hanging="0"/>
              <w:jc w:val="left"/>
              <w:rPr/>
            </w:pPr>
            <w:r>
              <w:rPr/>
            </w:r>
          </w:p>
        </w:tc>
        <w:tc>
          <w:tcPr>
            <w:tcW w:w="60" w:type="dxa"/>
            <w:tcBorders/>
            <w:vAlign w:val="center"/>
          </w:tcPr>
          <w:p>
            <w:pPr>
              <w:pStyle w:val="TableContents"/>
              <w:bidi w:val="0"/>
              <w:spacing w:before="0" w:after="0"/>
              <w:ind w:left="0" w:right="0" w:hanging="0"/>
              <w:jc w:val="left"/>
              <w:rPr>
                <w:sz w:val="20"/>
              </w:rPr>
            </w:pPr>
            <w:r>
              <w:rPr>
                <w:sz w:val="20"/>
              </w:rPr>
            </w:r>
          </w:p>
        </w:tc>
        <w:tc>
          <w:tcPr>
            <w:tcW w:w="125" w:type="dxa"/>
            <w:tcBorders/>
            <w:vAlign w:val="center"/>
          </w:tcPr>
          <w:p>
            <w:pPr>
              <w:pStyle w:val="TableContents"/>
              <w:bidi w:val="0"/>
              <w:spacing w:before="0" w:after="283"/>
              <w:ind w:left="0" w:right="0" w:hanging="0"/>
              <w:jc w:val="left"/>
              <w:rPr/>
            </w:pPr>
            <w:r>
              <w:rPr/>
            </w:r>
          </w:p>
        </w:tc>
        <w:tc>
          <w:tcPr>
            <w:tcW w:w="695" w:type="dxa"/>
            <w:tcBorders/>
            <w:vAlign w:val="center"/>
          </w:tcPr>
          <w:p>
            <w:pPr>
              <w:pStyle w:val="TableContents"/>
              <w:bidi w:val="0"/>
              <w:spacing w:before="0" w:after="0"/>
              <w:ind w:left="0" w:right="0" w:hanging="0"/>
              <w:jc w:val="right"/>
              <w:rPr/>
            </w:pPr>
            <w:r>
              <w:rPr/>
              <w:t>—</w:t>
            </w:r>
          </w:p>
        </w:tc>
        <w:tc>
          <w:tcPr>
            <w:tcW w:w="110" w:type="dxa"/>
            <w:tcBorders/>
            <w:vAlign w:val="center"/>
          </w:tcPr>
          <w:p>
            <w:pPr>
              <w:pStyle w:val="TableContents"/>
              <w:bidi w:val="0"/>
              <w:spacing w:before="0" w:after="283"/>
              <w:jc w:val="left"/>
              <w:rPr/>
            </w:pPr>
            <w:r>
              <w:rPr/>
            </w:r>
          </w:p>
        </w:tc>
      </w:tr>
      <w:tr>
        <w:trPr/>
        <w:tc>
          <w:tcPr>
            <w:tcW w:w="3365" w:type="dxa"/>
            <w:tcBorders/>
            <w:shd w:fill="CCEEFF" w:val="clear"/>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Share-based compensation</w:t>
            </w:r>
          </w:p>
        </w:tc>
        <w:tc>
          <w:tcPr>
            <w:tcW w:w="60" w:type="dxa"/>
            <w:tcBorders/>
            <w:shd w:fill="CCEEFF" w:val="clear"/>
            <w:vAlign w:val="center"/>
          </w:tcPr>
          <w:p>
            <w:pPr>
              <w:pStyle w:val="TableContents"/>
              <w:bidi w:val="0"/>
              <w:spacing w:before="0" w:after="0"/>
              <w:ind w:left="0" w:right="0" w:hanging="0"/>
              <w:jc w:val="left"/>
              <w:rPr>
                <w:sz w:val="20"/>
              </w:rPr>
            </w:pPr>
            <w:r>
              <w:rPr>
                <w:sz w:val="20"/>
              </w:rPr>
            </w:r>
          </w:p>
        </w:tc>
        <w:tc>
          <w:tcPr>
            <w:tcW w:w="1445" w:type="dxa"/>
            <w:tcBorders/>
            <w:shd w:fill="CCEEFF" w:val="clear"/>
            <w:vAlign w:val="center"/>
          </w:tcPr>
          <w:p>
            <w:pPr>
              <w:pStyle w:val="TableContents"/>
              <w:bidi w:val="0"/>
              <w:spacing w:before="0" w:after="0"/>
              <w:ind w:left="0" w:right="0" w:hanging="0"/>
              <w:jc w:val="right"/>
              <w:rPr/>
            </w:pPr>
            <w:r>
              <w:rPr/>
              <w:t>—</w:t>
            </w:r>
          </w:p>
        </w:tc>
        <w:tc>
          <w:tcPr>
            <w:tcW w:w="95" w:type="dxa"/>
            <w:tcBorders/>
            <w:shd w:fill="CCEEFF" w:val="clear"/>
            <w:vAlign w:val="center"/>
          </w:tcPr>
          <w:p>
            <w:pPr>
              <w:pStyle w:val="TableContents"/>
              <w:bidi w:val="0"/>
              <w:spacing w:before="0" w:after="283"/>
              <w:ind w:left="0" w:right="0" w:hanging="0"/>
              <w:jc w:val="left"/>
              <w:rPr/>
            </w:pPr>
            <w:r>
              <w:rPr/>
            </w:r>
          </w:p>
        </w:tc>
        <w:tc>
          <w:tcPr>
            <w:tcW w:w="60" w:type="dxa"/>
            <w:tcBorders/>
            <w:shd w:fill="CCEEFF" w:val="clear"/>
            <w:vAlign w:val="center"/>
          </w:tcPr>
          <w:p>
            <w:pPr>
              <w:pStyle w:val="TableContents"/>
              <w:bidi w:val="0"/>
              <w:spacing w:before="0" w:after="0"/>
              <w:ind w:left="0" w:right="0" w:hanging="0"/>
              <w:jc w:val="left"/>
              <w:rPr>
                <w:sz w:val="20"/>
              </w:rPr>
            </w:pPr>
            <w:r>
              <w:rPr>
                <w:sz w:val="20"/>
              </w:rPr>
            </w:r>
          </w:p>
        </w:tc>
        <w:tc>
          <w:tcPr>
            <w:tcW w:w="212" w:type="dxa"/>
            <w:tcBorders/>
            <w:shd w:fill="CCEEFF" w:val="clear"/>
            <w:vAlign w:val="center"/>
          </w:tcPr>
          <w:p>
            <w:pPr>
              <w:pStyle w:val="TableContents"/>
              <w:bidi w:val="0"/>
              <w:spacing w:before="0" w:after="283"/>
              <w:ind w:left="0" w:right="0" w:hanging="0"/>
              <w:jc w:val="left"/>
              <w:rPr/>
            </w:pPr>
            <w:r>
              <w:rPr/>
            </w:r>
          </w:p>
        </w:tc>
        <w:tc>
          <w:tcPr>
            <w:tcW w:w="468"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283"/>
              <w:ind w:left="0" w:right="0" w:hanging="0"/>
              <w:jc w:val="left"/>
              <w:rPr/>
            </w:pPr>
            <w:r>
              <w:rPr/>
            </w:r>
          </w:p>
        </w:tc>
        <w:tc>
          <w:tcPr>
            <w:tcW w:w="60" w:type="dxa"/>
            <w:tcBorders/>
            <w:shd w:fill="CCEEFF" w:val="clear"/>
            <w:vAlign w:val="center"/>
          </w:tcPr>
          <w:p>
            <w:pPr>
              <w:pStyle w:val="TableContents"/>
              <w:bidi w:val="0"/>
              <w:spacing w:before="0" w:after="0"/>
              <w:ind w:left="0" w:right="0" w:hanging="0"/>
              <w:jc w:val="left"/>
              <w:rPr>
                <w:sz w:val="20"/>
              </w:rPr>
            </w:pPr>
            <w:r>
              <w:rPr>
                <w:sz w:val="20"/>
              </w:rPr>
            </w:r>
          </w:p>
        </w:tc>
        <w:tc>
          <w:tcPr>
            <w:tcW w:w="185" w:type="dxa"/>
            <w:tcBorders/>
            <w:shd w:fill="CCEEFF" w:val="clear"/>
            <w:vAlign w:val="center"/>
          </w:tcPr>
          <w:p>
            <w:pPr>
              <w:pStyle w:val="TableContents"/>
              <w:bidi w:val="0"/>
              <w:spacing w:before="0" w:after="283"/>
              <w:ind w:left="0" w:right="0" w:hanging="0"/>
              <w:jc w:val="left"/>
              <w:rPr/>
            </w:pPr>
            <w:r>
              <w:rPr/>
            </w:r>
          </w:p>
        </w:tc>
        <w:tc>
          <w:tcPr>
            <w:tcW w:w="945" w:type="dxa"/>
            <w:tcBorders/>
            <w:shd w:fill="CCEEFF" w:val="clear"/>
            <w:vAlign w:val="center"/>
          </w:tcPr>
          <w:p>
            <w:pPr>
              <w:pStyle w:val="TableContents"/>
              <w:bidi w:val="0"/>
              <w:spacing w:before="0" w:after="0"/>
              <w:ind w:left="0" w:right="0" w:hanging="0"/>
              <w:jc w:val="right"/>
              <w:rPr>
                <w:sz w:val="20"/>
              </w:rPr>
            </w:pPr>
            <w:r>
              <w:rPr>
                <w:sz w:val="20"/>
              </w:rPr>
              <w:t>12.4</w:t>
            </w:r>
          </w:p>
        </w:tc>
        <w:tc>
          <w:tcPr>
            <w:tcW w:w="23" w:type="dxa"/>
            <w:tcBorders/>
            <w:shd w:fill="CCEEFF" w:val="clear"/>
            <w:vAlign w:val="center"/>
          </w:tcPr>
          <w:p>
            <w:pPr>
              <w:pStyle w:val="TableContents"/>
              <w:bidi w:val="0"/>
              <w:spacing w:before="0" w:after="283"/>
              <w:ind w:left="0" w:right="0" w:hanging="0"/>
              <w:jc w:val="left"/>
              <w:rPr/>
            </w:pPr>
            <w:r>
              <w:rPr/>
            </w:r>
          </w:p>
        </w:tc>
        <w:tc>
          <w:tcPr>
            <w:tcW w:w="60" w:type="dxa"/>
            <w:tcBorders/>
            <w:shd w:fill="CCEEFF" w:val="clear"/>
            <w:vAlign w:val="center"/>
          </w:tcPr>
          <w:p>
            <w:pPr>
              <w:pStyle w:val="TableContents"/>
              <w:bidi w:val="0"/>
              <w:spacing w:before="0" w:after="0"/>
              <w:ind w:left="0" w:right="0" w:hanging="0"/>
              <w:jc w:val="left"/>
              <w:rPr>
                <w:sz w:val="20"/>
              </w:rPr>
            </w:pPr>
            <w:r>
              <w:rPr>
                <w:sz w:val="20"/>
              </w:rPr>
            </w:r>
          </w:p>
        </w:tc>
        <w:tc>
          <w:tcPr>
            <w:tcW w:w="125" w:type="dxa"/>
            <w:tcBorders/>
            <w:shd w:fill="CCEEFF" w:val="clear"/>
            <w:vAlign w:val="center"/>
          </w:tcPr>
          <w:p>
            <w:pPr>
              <w:pStyle w:val="TableContents"/>
              <w:bidi w:val="0"/>
              <w:spacing w:before="0" w:after="283"/>
              <w:ind w:left="0" w:right="0" w:hanging="0"/>
              <w:jc w:val="left"/>
              <w:rPr/>
            </w:pPr>
            <w:r>
              <w:rPr/>
            </w:r>
          </w:p>
        </w:tc>
        <w:tc>
          <w:tcPr>
            <w:tcW w:w="695" w:type="dxa"/>
            <w:tcBorders/>
            <w:shd w:fill="CCEEFF" w:val="clear"/>
            <w:vAlign w:val="center"/>
          </w:tcPr>
          <w:p>
            <w:pPr>
              <w:pStyle w:val="TableContents"/>
              <w:bidi w:val="0"/>
              <w:spacing w:before="0" w:after="0"/>
              <w:ind w:left="0" w:right="0" w:hanging="0"/>
              <w:jc w:val="right"/>
              <w:rPr/>
            </w:pPr>
            <w:r>
              <w:rPr/>
              <w:t>—</w:t>
            </w:r>
          </w:p>
        </w:tc>
        <w:tc>
          <w:tcPr>
            <w:tcW w:w="110" w:type="dxa"/>
            <w:tcBorders/>
            <w:shd w:fill="CCEEFF" w:val="clear"/>
            <w:vAlign w:val="center"/>
          </w:tcPr>
          <w:p>
            <w:pPr>
              <w:pStyle w:val="TableContents"/>
              <w:bidi w:val="0"/>
              <w:spacing w:before="0" w:after="283"/>
              <w:jc w:val="left"/>
              <w:rPr/>
            </w:pPr>
            <w:r>
              <w:rPr/>
            </w:r>
          </w:p>
        </w:tc>
      </w:tr>
      <w:tr>
        <w:trPr/>
        <w:tc>
          <w:tcPr>
            <w:tcW w:w="3365" w:type="dxa"/>
            <w:tcBorders/>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Repurchase of shares</w:t>
            </w:r>
          </w:p>
        </w:tc>
        <w:tc>
          <w:tcPr>
            <w:tcW w:w="60" w:type="dxa"/>
            <w:tcBorders/>
            <w:vAlign w:val="center"/>
          </w:tcPr>
          <w:p>
            <w:pPr>
              <w:pStyle w:val="TableContents"/>
              <w:bidi w:val="0"/>
              <w:spacing w:before="0" w:after="0"/>
              <w:ind w:left="0" w:right="0" w:hanging="0"/>
              <w:jc w:val="left"/>
              <w:rPr>
                <w:sz w:val="20"/>
              </w:rPr>
            </w:pPr>
            <w:r>
              <w:rPr>
                <w:sz w:val="20"/>
              </w:rPr>
            </w:r>
          </w:p>
        </w:tc>
        <w:tc>
          <w:tcPr>
            <w:tcW w:w="1445" w:type="dxa"/>
            <w:tcBorders/>
            <w:vAlign w:val="center"/>
          </w:tcPr>
          <w:p>
            <w:pPr>
              <w:pStyle w:val="TableContents"/>
              <w:bidi w:val="0"/>
              <w:spacing w:before="0" w:after="0"/>
              <w:ind w:left="0" w:right="0" w:hanging="0"/>
              <w:jc w:val="right"/>
              <w:rPr>
                <w:sz w:val="20"/>
              </w:rPr>
            </w:pPr>
            <w:r>
              <w:rPr>
                <w:sz w:val="20"/>
              </w:rPr>
              <w:t>(810</w:t>
            </w:r>
          </w:p>
        </w:tc>
        <w:tc>
          <w:tcPr>
            <w:tcW w:w="95" w:type="dxa"/>
            <w:tcBorders/>
            <w:vAlign w:val="center"/>
          </w:tcPr>
          <w:p>
            <w:pPr>
              <w:pStyle w:val="TableContents"/>
              <w:bidi w:val="0"/>
              <w:spacing w:before="0" w:after="0"/>
              <w:ind w:left="0" w:right="0" w:hanging="0"/>
              <w:jc w:val="left"/>
              <w:rPr/>
            </w:pPr>
            <w:r>
              <w:rPr/>
              <w:t>)</w:t>
            </w:r>
          </w:p>
        </w:tc>
        <w:tc>
          <w:tcPr>
            <w:tcW w:w="60" w:type="dxa"/>
            <w:tcBorders/>
            <w:vAlign w:val="center"/>
          </w:tcPr>
          <w:p>
            <w:pPr>
              <w:pStyle w:val="TableContents"/>
              <w:bidi w:val="0"/>
              <w:spacing w:before="0" w:after="0"/>
              <w:ind w:left="0" w:right="0" w:hanging="0"/>
              <w:jc w:val="left"/>
              <w:rPr>
                <w:sz w:val="20"/>
              </w:rPr>
            </w:pPr>
            <w:r>
              <w:rPr>
                <w:sz w:val="20"/>
              </w:rPr>
            </w:r>
          </w:p>
        </w:tc>
        <w:tc>
          <w:tcPr>
            <w:tcW w:w="212" w:type="dxa"/>
            <w:tcBorders/>
            <w:vAlign w:val="center"/>
          </w:tcPr>
          <w:p>
            <w:pPr>
              <w:pStyle w:val="TableContents"/>
              <w:bidi w:val="0"/>
              <w:spacing w:before="0" w:after="283"/>
              <w:ind w:left="0" w:right="0" w:hanging="0"/>
              <w:jc w:val="left"/>
              <w:rPr/>
            </w:pPr>
            <w:r>
              <w:rPr/>
            </w:r>
          </w:p>
        </w:tc>
        <w:tc>
          <w:tcPr>
            <w:tcW w:w="468" w:type="dxa"/>
            <w:tcBorders/>
            <w:vAlign w:val="center"/>
          </w:tcPr>
          <w:p>
            <w:pPr>
              <w:pStyle w:val="TableContents"/>
              <w:bidi w:val="0"/>
              <w:spacing w:before="0" w:after="0"/>
              <w:ind w:left="0" w:right="0" w:hanging="0"/>
              <w:jc w:val="right"/>
              <w:rPr/>
            </w:pPr>
            <w:r>
              <w:rPr/>
              <w:t>—</w:t>
            </w:r>
          </w:p>
        </w:tc>
        <w:tc>
          <w:tcPr>
            <w:tcW w:w="23" w:type="dxa"/>
            <w:tcBorders/>
            <w:vAlign w:val="center"/>
          </w:tcPr>
          <w:p>
            <w:pPr>
              <w:pStyle w:val="TableContents"/>
              <w:bidi w:val="0"/>
              <w:spacing w:before="0" w:after="283"/>
              <w:ind w:left="0" w:right="0" w:hanging="0"/>
              <w:jc w:val="left"/>
              <w:rPr/>
            </w:pPr>
            <w:r>
              <w:rPr/>
            </w:r>
          </w:p>
        </w:tc>
        <w:tc>
          <w:tcPr>
            <w:tcW w:w="60" w:type="dxa"/>
            <w:tcBorders/>
            <w:vAlign w:val="center"/>
          </w:tcPr>
          <w:p>
            <w:pPr>
              <w:pStyle w:val="TableContents"/>
              <w:bidi w:val="0"/>
              <w:spacing w:before="0" w:after="0"/>
              <w:ind w:left="0" w:right="0" w:hanging="0"/>
              <w:jc w:val="left"/>
              <w:rPr>
                <w:sz w:val="20"/>
              </w:rPr>
            </w:pPr>
            <w:r>
              <w:rPr>
                <w:sz w:val="20"/>
              </w:rPr>
            </w:r>
          </w:p>
        </w:tc>
        <w:tc>
          <w:tcPr>
            <w:tcW w:w="185" w:type="dxa"/>
            <w:tcBorders/>
            <w:vAlign w:val="center"/>
          </w:tcPr>
          <w:p>
            <w:pPr>
              <w:pStyle w:val="TableContents"/>
              <w:bidi w:val="0"/>
              <w:spacing w:before="0" w:after="283"/>
              <w:ind w:left="0" w:right="0" w:hanging="0"/>
              <w:jc w:val="left"/>
              <w:rPr/>
            </w:pPr>
            <w:r>
              <w:rPr/>
            </w:r>
          </w:p>
        </w:tc>
        <w:tc>
          <w:tcPr>
            <w:tcW w:w="945" w:type="dxa"/>
            <w:tcBorders/>
            <w:vAlign w:val="center"/>
          </w:tcPr>
          <w:p>
            <w:pPr>
              <w:pStyle w:val="TableContents"/>
              <w:bidi w:val="0"/>
              <w:spacing w:before="0" w:after="0"/>
              <w:ind w:left="0" w:right="0" w:hanging="0"/>
              <w:jc w:val="right"/>
              <w:rPr/>
            </w:pPr>
            <w:r>
              <w:rPr/>
              <w:t>—</w:t>
            </w:r>
          </w:p>
        </w:tc>
        <w:tc>
          <w:tcPr>
            <w:tcW w:w="23" w:type="dxa"/>
            <w:tcBorders/>
            <w:vAlign w:val="center"/>
          </w:tcPr>
          <w:p>
            <w:pPr>
              <w:pStyle w:val="TableContents"/>
              <w:bidi w:val="0"/>
              <w:spacing w:before="0" w:after="283"/>
              <w:ind w:left="0" w:right="0" w:hanging="0"/>
              <w:jc w:val="left"/>
              <w:rPr/>
            </w:pPr>
            <w:r>
              <w:rPr/>
            </w:r>
          </w:p>
        </w:tc>
        <w:tc>
          <w:tcPr>
            <w:tcW w:w="60" w:type="dxa"/>
            <w:tcBorders/>
            <w:vAlign w:val="center"/>
          </w:tcPr>
          <w:p>
            <w:pPr>
              <w:pStyle w:val="TableContents"/>
              <w:bidi w:val="0"/>
              <w:spacing w:before="0" w:after="0"/>
              <w:ind w:left="0" w:right="0" w:hanging="0"/>
              <w:jc w:val="left"/>
              <w:rPr>
                <w:sz w:val="20"/>
              </w:rPr>
            </w:pPr>
            <w:r>
              <w:rPr>
                <w:sz w:val="20"/>
              </w:rPr>
            </w:r>
          </w:p>
        </w:tc>
        <w:tc>
          <w:tcPr>
            <w:tcW w:w="125" w:type="dxa"/>
            <w:tcBorders/>
            <w:vAlign w:val="center"/>
          </w:tcPr>
          <w:p>
            <w:pPr>
              <w:pStyle w:val="TableContents"/>
              <w:bidi w:val="0"/>
              <w:spacing w:before="0" w:after="283"/>
              <w:ind w:left="0" w:right="0" w:hanging="0"/>
              <w:jc w:val="left"/>
              <w:rPr/>
            </w:pPr>
            <w:r>
              <w:rPr/>
            </w:r>
          </w:p>
        </w:tc>
        <w:tc>
          <w:tcPr>
            <w:tcW w:w="695" w:type="dxa"/>
            <w:tcBorders/>
            <w:vAlign w:val="center"/>
          </w:tcPr>
          <w:p>
            <w:pPr>
              <w:pStyle w:val="TableContents"/>
              <w:bidi w:val="0"/>
              <w:spacing w:before="0" w:after="0"/>
              <w:ind w:left="0" w:right="0" w:hanging="0"/>
              <w:jc w:val="right"/>
              <w:rPr>
                <w:sz w:val="20"/>
              </w:rPr>
            </w:pPr>
            <w:r>
              <w:rPr>
                <w:sz w:val="20"/>
              </w:rPr>
              <w:t>(0.1</w:t>
            </w:r>
          </w:p>
        </w:tc>
        <w:tc>
          <w:tcPr>
            <w:tcW w:w="110" w:type="dxa"/>
            <w:tcBorders/>
            <w:vAlign w:val="center"/>
          </w:tcPr>
          <w:p>
            <w:pPr>
              <w:pStyle w:val="TableContents"/>
              <w:bidi w:val="0"/>
              <w:spacing w:before="0" w:after="0"/>
              <w:jc w:val="left"/>
              <w:rPr/>
            </w:pPr>
            <w:r>
              <w:rPr/>
              <w:t>)</w:t>
            </w:r>
          </w:p>
        </w:tc>
      </w:tr>
      <w:tr>
        <w:trPr/>
        <w:tc>
          <w:tcPr>
            <w:tcW w:w="3365" w:type="dxa"/>
            <w:tcBorders/>
            <w:shd w:fill="CCEEFF" w:val="clear"/>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Balance as of  June 30, 2023</w:t>
            </w:r>
          </w:p>
        </w:tc>
        <w:tc>
          <w:tcPr>
            <w:tcW w:w="60" w:type="dxa"/>
            <w:tcBorders/>
            <w:shd w:fill="CCEEFF" w:val="clear"/>
            <w:vAlign w:val="center"/>
          </w:tcPr>
          <w:p>
            <w:pPr>
              <w:pStyle w:val="TableContents"/>
              <w:bidi w:val="0"/>
              <w:spacing w:before="0" w:after="0"/>
              <w:ind w:left="0" w:right="0" w:hanging="0"/>
              <w:jc w:val="left"/>
              <w:rPr>
                <w:sz w:val="20"/>
              </w:rPr>
            </w:pPr>
            <w:r>
              <w:rPr>
                <w:sz w:val="20"/>
              </w:rPr>
            </w:r>
          </w:p>
        </w:tc>
        <w:tc>
          <w:tcPr>
            <w:tcW w:w="1445" w:type="dxa"/>
            <w:tcBorders/>
            <w:shd w:fill="CCEEFF" w:val="clear"/>
            <w:vAlign w:val="center"/>
          </w:tcPr>
          <w:p>
            <w:pPr>
              <w:pStyle w:val="TableContents"/>
              <w:bidi w:val="0"/>
              <w:spacing w:before="0" w:after="0"/>
              <w:ind w:left="0" w:right="0" w:hanging="0"/>
              <w:jc w:val="right"/>
              <w:rPr>
                <w:sz w:val="20"/>
              </w:rPr>
            </w:pPr>
            <w:r>
              <w:rPr>
                <w:sz w:val="20"/>
              </w:rPr>
              <w:t>49,655,544</w:t>
            </w:r>
          </w:p>
        </w:tc>
        <w:tc>
          <w:tcPr>
            <w:tcW w:w="95" w:type="dxa"/>
            <w:tcBorders/>
            <w:shd w:fill="CCEEFF" w:val="clear"/>
            <w:vAlign w:val="center"/>
          </w:tcPr>
          <w:p>
            <w:pPr>
              <w:pStyle w:val="TableContents"/>
              <w:bidi w:val="0"/>
              <w:spacing w:before="0" w:after="283"/>
              <w:ind w:left="0" w:right="0" w:hanging="0"/>
              <w:jc w:val="left"/>
              <w:rPr/>
            </w:pPr>
            <w:r>
              <w:rPr/>
            </w:r>
          </w:p>
        </w:tc>
        <w:tc>
          <w:tcPr>
            <w:tcW w:w="60" w:type="dxa"/>
            <w:tcBorders/>
            <w:shd w:fill="CCEEFF" w:val="clear"/>
            <w:vAlign w:val="center"/>
          </w:tcPr>
          <w:p>
            <w:pPr>
              <w:pStyle w:val="TableContents"/>
              <w:bidi w:val="0"/>
              <w:spacing w:before="0" w:after="0"/>
              <w:ind w:left="0" w:right="0" w:hanging="0"/>
              <w:jc w:val="left"/>
              <w:rPr>
                <w:sz w:val="20"/>
              </w:rPr>
            </w:pPr>
            <w:r>
              <w:rPr>
                <w:sz w:val="20"/>
              </w:rPr>
            </w:r>
          </w:p>
        </w:tc>
        <w:tc>
          <w:tcPr>
            <w:tcW w:w="212" w:type="dxa"/>
            <w:tcBorders/>
            <w:shd w:fill="CCEEFF" w:val="clear"/>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468" w:type="dxa"/>
            <w:tcBorders/>
            <w:shd w:fill="CCEEFF" w:val="clear"/>
            <w:vAlign w:val="center"/>
          </w:tcPr>
          <w:p>
            <w:pPr>
              <w:pStyle w:val="TableContents"/>
              <w:bidi w:val="0"/>
              <w:spacing w:before="0" w:after="0"/>
              <w:ind w:left="0" w:right="0" w:hanging="0"/>
              <w:jc w:val="right"/>
              <w:rPr>
                <w:sz w:val="20"/>
              </w:rPr>
            </w:pPr>
            <w:r>
              <w:rPr>
                <w:sz w:val="20"/>
              </w:rPr>
              <w:t>1.3</w:t>
            </w:r>
          </w:p>
        </w:tc>
        <w:tc>
          <w:tcPr>
            <w:tcW w:w="23" w:type="dxa"/>
            <w:tcBorders/>
            <w:shd w:fill="CCEEFF" w:val="clear"/>
            <w:vAlign w:val="center"/>
          </w:tcPr>
          <w:p>
            <w:pPr>
              <w:pStyle w:val="TableContents"/>
              <w:bidi w:val="0"/>
              <w:spacing w:before="0" w:after="283"/>
              <w:ind w:left="0" w:right="0" w:hanging="0"/>
              <w:jc w:val="left"/>
              <w:rPr/>
            </w:pPr>
            <w:r>
              <w:rPr/>
            </w:r>
          </w:p>
        </w:tc>
        <w:tc>
          <w:tcPr>
            <w:tcW w:w="60" w:type="dxa"/>
            <w:tcBorders/>
            <w:shd w:fill="CCEEFF" w:val="clear"/>
            <w:vAlign w:val="center"/>
          </w:tcPr>
          <w:p>
            <w:pPr>
              <w:pStyle w:val="TableContents"/>
              <w:bidi w:val="0"/>
              <w:spacing w:before="0" w:after="0"/>
              <w:ind w:left="0" w:right="0" w:hanging="0"/>
              <w:jc w:val="left"/>
              <w:rPr>
                <w:sz w:val="20"/>
              </w:rPr>
            </w:pPr>
            <w:r>
              <w:rPr>
                <w:sz w:val="20"/>
              </w:rPr>
            </w:r>
          </w:p>
        </w:tc>
        <w:tc>
          <w:tcPr>
            <w:tcW w:w="185" w:type="dxa"/>
            <w:tcBorders/>
            <w:shd w:fill="CCEEFF" w:val="clear"/>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945" w:type="dxa"/>
            <w:tcBorders/>
            <w:shd w:fill="CCEEFF" w:val="clear"/>
            <w:vAlign w:val="center"/>
          </w:tcPr>
          <w:p>
            <w:pPr>
              <w:pStyle w:val="TableContents"/>
              <w:bidi w:val="0"/>
              <w:spacing w:before="0" w:after="0"/>
              <w:ind w:left="0" w:right="0" w:hanging="0"/>
              <w:jc w:val="right"/>
              <w:rPr>
                <w:sz w:val="20"/>
              </w:rPr>
            </w:pPr>
            <w:r>
              <w:rPr>
                <w:sz w:val="20"/>
              </w:rPr>
              <w:t>1,280.3</w:t>
            </w:r>
          </w:p>
        </w:tc>
        <w:tc>
          <w:tcPr>
            <w:tcW w:w="23" w:type="dxa"/>
            <w:tcBorders/>
            <w:shd w:fill="CCEEFF" w:val="clear"/>
            <w:vAlign w:val="center"/>
          </w:tcPr>
          <w:p>
            <w:pPr>
              <w:pStyle w:val="TableContents"/>
              <w:bidi w:val="0"/>
              <w:spacing w:before="0" w:after="283"/>
              <w:ind w:left="0" w:right="0" w:hanging="0"/>
              <w:jc w:val="left"/>
              <w:rPr/>
            </w:pPr>
            <w:r>
              <w:rPr/>
            </w:r>
          </w:p>
        </w:tc>
        <w:tc>
          <w:tcPr>
            <w:tcW w:w="60" w:type="dxa"/>
            <w:tcBorders/>
            <w:shd w:fill="CCEEFF" w:val="clear"/>
            <w:vAlign w:val="center"/>
          </w:tcPr>
          <w:p>
            <w:pPr>
              <w:pStyle w:val="TableContents"/>
              <w:bidi w:val="0"/>
              <w:spacing w:before="0" w:after="0"/>
              <w:ind w:left="0" w:right="0" w:hanging="0"/>
              <w:jc w:val="left"/>
              <w:rPr>
                <w:sz w:val="20"/>
              </w:rPr>
            </w:pPr>
            <w:r>
              <w:rPr>
                <w:sz w:val="20"/>
              </w:rPr>
            </w:r>
          </w:p>
        </w:tc>
        <w:tc>
          <w:tcPr>
            <w:tcW w:w="125" w:type="dxa"/>
            <w:tcBorders/>
            <w:shd w:fill="CCEEFF" w:val="clear"/>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695" w:type="dxa"/>
            <w:tcBorders/>
            <w:shd w:fill="CCEEFF" w:val="clear"/>
            <w:vAlign w:val="center"/>
          </w:tcPr>
          <w:p>
            <w:pPr>
              <w:pStyle w:val="TableContents"/>
              <w:bidi w:val="0"/>
              <w:spacing w:before="0" w:after="0"/>
              <w:ind w:left="0" w:right="0" w:hanging="0"/>
              <w:jc w:val="right"/>
              <w:rPr>
                <w:sz w:val="20"/>
              </w:rPr>
            </w:pPr>
            <w:r>
              <w:rPr>
                <w:sz w:val="20"/>
              </w:rPr>
              <w:t>(1,133.7</w:t>
            </w:r>
          </w:p>
        </w:tc>
        <w:tc>
          <w:tcPr>
            <w:tcW w:w="110" w:type="dxa"/>
            <w:tcBorders/>
            <w:shd w:fill="CCEEFF" w:val="clear"/>
            <w:vAlign w:val="center"/>
          </w:tcPr>
          <w:p>
            <w:pPr>
              <w:pStyle w:val="TableContents"/>
              <w:bidi w:val="0"/>
              <w:spacing w:before="0" w:after="0"/>
              <w:jc w:val="left"/>
              <w:rPr/>
            </w:pPr>
            <w:r>
              <w:rPr/>
              <w:t>)</w:t>
            </w:r>
          </w:p>
        </w:tc>
      </w:tr>
    </w:tbl>
    <w:p>
      <w:pPr>
        <w:pStyle w:val="TextBody"/>
        <w:widowControl/>
        <w:bidi w:val="0"/>
        <w:jc w:val="left"/>
        <w:rPr>
          <w:caps w:val="false"/>
          <w:smallCaps w:val="false"/>
          <w:color w:val="000000"/>
          <w:spacing w:val="0"/>
        </w:rPr>
      </w:pPr>
      <w:r>
        <w:rPr>
          <w:caps w:val="false"/>
          <w:smallCaps w:val="false"/>
          <w:color w:val="000000"/>
          <w:spacing w:val="0"/>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9137" w:type="dxa"/>
        <w:jc w:val="left"/>
        <w:tblInd w:w="0" w:type="dxa"/>
        <w:tblLayout w:type="fixed"/>
        <w:tblCellMar>
          <w:top w:w="28" w:type="dxa"/>
          <w:left w:w="28" w:type="dxa"/>
          <w:bottom w:w="28" w:type="dxa"/>
          <w:right w:w="28" w:type="dxa"/>
        </w:tblCellMar>
      </w:tblPr>
      <w:tblGrid>
        <w:gridCol w:w="3451"/>
        <w:gridCol w:w="109"/>
        <w:gridCol w:w="1531"/>
        <w:gridCol w:w="181"/>
        <w:gridCol w:w="109"/>
        <w:gridCol w:w="261"/>
        <w:gridCol w:w="505"/>
        <w:gridCol w:w="109"/>
        <w:gridCol w:w="109"/>
        <w:gridCol w:w="247"/>
        <w:gridCol w:w="969"/>
        <w:gridCol w:w="109"/>
        <w:gridCol w:w="109"/>
        <w:gridCol w:w="211"/>
        <w:gridCol w:w="901"/>
        <w:gridCol w:w="226"/>
      </w:tblGrid>
      <w:tr>
        <w:trPr/>
        <w:tc>
          <w:tcPr>
            <w:tcW w:w="3451" w:type="dxa"/>
            <w:tcBorders/>
            <w:vAlign w:val="bottom"/>
          </w:tcPr>
          <w:p>
            <w:pPr>
              <w:pStyle w:val="TableContents"/>
              <w:bidi w:val="0"/>
              <w:spacing w:before="0" w:after="283"/>
              <w:jc w:val="left"/>
              <w:rPr/>
            </w:pPr>
            <w:r>
              <w:rPr/>
            </w:r>
          </w:p>
        </w:tc>
        <w:tc>
          <w:tcPr>
            <w:tcW w:w="109" w:type="dxa"/>
            <w:tcBorders/>
            <w:tcMar>
              <w:top w:w="0" w:type="dxa"/>
              <w:left w:w="0" w:type="dxa"/>
              <w:bottom w:w="0" w:type="dxa"/>
              <w:right w:w="0" w:type="dxa"/>
            </w:tcMar>
            <w:vAlign w:val="bottom"/>
          </w:tcPr>
          <w:p>
            <w:pPr>
              <w:pStyle w:val="TableContents"/>
              <w:bidi w:val="0"/>
              <w:spacing w:before="0" w:after="283"/>
              <w:jc w:val="left"/>
              <w:rPr/>
            </w:pPr>
            <w:r>
              <w:rPr/>
            </w:r>
          </w:p>
        </w:tc>
        <w:tc>
          <w:tcPr>
            <w:tcW w:w="1531" w:type="dxa"/>
            <w:tcBorders/>
            <w:tcMar>
              <w:top w:w="0" w:type="dxa"/>
              <w:left w:w="0" w:type="dxa"/>
              <w:bottom w:w="0" w:type="dxa"/>
              <w:right w:w="0" w:type="dxa"/>
            </w:tcMar>
            <w:vAlign w:val="bottom"/>
          </w:tcPr>
          <w:p>
            <w:pPr>
              <w:pStyle w:val="TableContents"/>
              <w:bidi w:val="0"/>
              <w:spacing w:before="0" w:after="0"/>
              <w:jc w:val="center"/>
              <w:rPr>
                <w:rFonts w:ascii="times new roman;times" w:hAnsi="times new roman;times"/>
                <w:b/>
                <w:sz w:val="16"/>
              </w:rPr>
            </w:pPr>
            <w:r>
              <w:rPr>
                <w:rFonts w:ascii="times new roman;times" w:hAnsi="times new roman;times"/>
                <w:b/>
                <w:sz w:val="16"/>
              </w:rPr>
              <w:t>Number of</w:t>
            </w:r>
          </w:p>
          <w:p>
            <w:pPr>
              <w:pStyle w:val="TableContents"/>
              <w:bidi w:val="0"/>
              <w:spacing w:before="0" w:after="0"/>
              <w:jc w:val="center"/>
              <w:rPr>
                <w:rFonts w:ascii="times new roman;times" w:hAnsi="times new roman;times"/>
                <w:b/>
                <w:sz w:val="16"/>
              </w:rPr>
            </w:pPr>
            <w:r>
              <w:rPr>
                <w:rFonts w:ascii="times new roman;times" w:hAnsi="times new roman;times"/>
                <w:b/>
                <w:sz w:val="16"/>
              </w:rPr>
              <w:t>Shares Outstanding</w:t>
            </w:r>
          </w:p>
        </w:tc>
        <w:tc>
          <w:tcPr>
            <w:tcW w:w="181" w:type="dxa"/>
            <w:tcBorders/>
            <w:vAlign w:val="bottom"/>
          </w:tcPr>
          <w:p>
            <w:pPr>
              <w:pStyle w:val="TableContents"/>
              <w:bidi w:val="0"/>
              <w:spacing w:before="0" w:after="283"/>
              <w:jc w:val="left"/>
              <w:rPr/>
            </w:pPr>
            <w:r>
              <w:rPr/>
            </w:r>
          </w:p>
        </w:tc>
        <w:tc>
          <w:tcPr>
            <w:tcW w:w="109" w:type="dxa"/>
            <w:tcBorders/>
            <w:vAlign w:val="bottom"/>
          </w:tcPr>
          <w:p>
            <w:pPr>
              <w:pStyle w:val="TableContents"/>
              <w:bidi w:val="0"/>
              <w:spacing w:before="0" w:after="283"/>
              <w:jc w:val="left"/>
              <w:rPr/>
            </w:pPr>
            <w:r>
              <w:rPr/>
            </w:r>
          </w:p>
        </w:tc>
        <w:tc>
          <w:tcPr>
            <w:tcW w:w="766" w:type="dxa"/>
            <w:gridSpan w:val="2"/>
            <w:tcBorders/>
            <w:tcMar>
              <w:top w:w="0" w:type="dxa"/>
              <w:left w:w="0" w:type="dxa"/>
              <w:bottom w:w="0" w:type="dxa"/>
              <w:right w:w="0" w:type="dxa"/>
            </w:tcMar>
            <w:vAlign w:val="bottom"/>
          </w:tcPr>
          <w:p>
            <w:pPr>
              <w:pStyle w:val="TableContents"/>
              <w:bidi w:val="0"/>
              <w:spacing w:before="0" w:after="0"/>
              <w:jc w:val="center"/>
              <w:rPr>
                <w:rFonts w:ascii="times new roman;times" w:hAnsi="times new roman;times"/>
                <w:b/>
                <w:sz w:val="16"/>
              </w:rPr>
            </w:pPr>
            <w:r>
              <w:rPr>
                <w:rFonts w:ascii="times new roman;times" w:hAnsi="times new roman;times"/>
                <w:b/>
                <w:sz w:val="16"/>
              </w:rPr>
              <w:t>Common</w:t>
            </w:r>
          </w:p>
          <w:p>
            <w:pPr>
              <w:pStyle w:val="TableContents"/>
              <w:bidi w:val="0"/>
              <w:spacing w:before="0" w:after="0"/>
              <w:jc w:val="center"/>
              <w:rPr>
                <w:rFonts w:ascii="times new roman;times" w:hAnsi="times new roman;times"/>
                <w:b/>
                <w:sz w:val="16"/>
              </w:rPr>
            </w:pPr>
            <w:r>
              <w:rPr>
                <w:rFonts w:ascii="times new roman;times" w:hAnsi="times new roman;times"/>
                <w:b/>
                <w:sz w:val="16"/>
              </w:rPr>
              <w:t>Stock</w:t>
            </w:r>
          </w:p>
        </w:tc>
        <w:tc>
          <w:tcPr>
            <w:tcW w:w="109" w:type="dxa"/>
            <w:tcBorders/>
            <w:vAlign w:val="bottom"/>
          </w:tcPr>
          <w:p>
            <w:pPr>
              <w:pStyle w:val="TableContents"/>
              <w:bidi w:val="0"/>
              <w:spacing w:before="0" w:after="283"/>
              <w:jc w:val="left"/>
              <w:rPr/>
            </w:pPr>
            <w:r>
              <w:rPr/>
            </w:r>
          </w:p>
        </w:tc>
        <w:tc>
          <w:tcPr>
            <w:tcW w:w="109" w:type="dxa"/>
            <w:tcBorders/>
            <w:vAlign w:val="bottom"/>
          </w:tcPr>
          <w:p>
            <w:pPr>
              <w:pStyle w:val="TableContents"/>
              <w:bidi w:val="0"/>
              <w:spacing w:before="0" w:after="283"/>
              <w:jc w:val="left"/>
              <w:rPr/>
            </w:pPr>
            <w:r>
              <w:rPr/>
            </w:r>
          </w:p>
        </w:tc>
        <w:tc>
          <w:tcPr>
            <w:tcW w:w="1216" w:type="dxa"/>
            <w:gridSpan w:val="2"/>
            <w:tcBorders/>
            <w:tcMar>
              <w:top w:w="0" w:type="dxa"/>
              <w:left w:w="0" w:type="dxa"/>
              <w:bottom w:w="0" w:type="dxa"/>
              <w:right w:w="0" w:type="dxa"/>
            </w:tcMar>
            <w:vAlign w:val="bottom"/>
          </w:tcPr>
          <w:p>
            <w:pPr>
              <w:pStyle w:val="TableContents"/>
              <w:bidi w:val="0"/>
              <w:spacing w:before="0" w:after="0"/>
              <w:jc w:val="center"/>
              <w:rPr>
                <w:rFonts w:ascii="times new roman;times" w:hAnsi="times new roman;times"/>
                <w:b/>
                <w:sz w:val="16"/>
              </w:rPr>
            </w:pPr>
            <w:r>
              <w:rPr>
                <w:rFonts w:ascii="times new roman;times" w:hAnsi="times new roman;times"/>
                <w:b/>
                <w:sz w:val="16"/>
              </w:rPr>
              <w:t>Additional</w:t>
            </w:r>
          </w:p>
          <w:p>
            <w:pPr>
              <w:pStyle w:val="TableContents"/>
              <w:bidi w:val="0"/>
              <w:spacing w:before="0" w:after="0"/>
              <w:jc w:val="center"/>
              <w:rPr>
                <w:rFonts w:ascii="times new roman;times" w:hAnsi="times new roman;times"/>
                <w:b/>
                <w:sz w:val="16"/>
              </w:rPr>
            </w:pPr>
            <w:r>
              <w:rPr>
                <w:rFonts w:ascii="times new roman;times" w:hAnsi="times new roman;times"/>
                <w:b/>
                <w:sz w:val="16"/>
              </w:rPr>
              <w:t>Paid-in Capital</w:t>
            </w:r>
          </w:p>
        </w:tc>
        <w:tc>
          <w:tcPr>
            <w:tcW w:w="109" w:type="dxa"/>
            <w:tcBorders/>
            <w:vAlign w:val="bottom"/>
          </w:tcPr>
          <w:p>
            <w:pPr>
              <w:pStyle w:val="TableContents"/>
              <w:bidi w:val="0"/>
              <w:spacing w:before="0" w:after="283"/>
              <w:jc w:val="left"/>
              <w:rPr/>
            </w:pPr>
            <w:r>
              <w:rPr/>
            </w:r>
          </w:p>
        </w:tc>
        <w:tc>
          <w:tcPr>
            <w:tcW w:w="109" w:type="dxa"/>
            <w:tcBorders/>
            <w:vAlign w:val="bottom"/>
          </w:tcPr>
          <w:p>
            <w:pPr>
              <w:pStyle w:val="TableContents"/>
              <w:bidi w:val="0"/>
              <w:spacing w:before="0" w:after="283"/>
              <w:jc w:val="left"/>
              <w:rPr/>
            </w:pPr>
            <w:r>
              <w:rPr/>
            </w:r>
          </w:p>
        </w:tc>
        <w:tc>
          <w:tcPr>
            <w:tcW w:w="1112" w:type="dxa"/>
            <w:gridSpan w:val="2"/>
            <w:tcBorders/>
            <w:tcMar>
              <w:top w:w="0" w:type="dxa"/>
              <w:left w:w="0" w:type="dxa"/>
              <w:bottom w:w="0" w:type="dxa"/>
              <w:right w:w="0" w:type="dxa"/>
            </w:tcMar>
            <w:vAlign w:val="bottom"/>
          </w:tcPr>
          <w:p>
            <w:pPr>
              <w:pStyle w:val="TableContents"/>
              <w:bidi w:val="0"/>
              <w:spacing w:before="0" w:after="0"/>
              <w:jc w:val="center"/>
              <w:rPr>
                <w:rFonts w:ascii="times new roman;times" w:hAnsi="times new roman;times"/>
                <w:b/>
                <w:sz w:val="16"/>
              </w:rPr>
            </w:pPr>
            <w:r>
              <w:rPr>
                <w:rFonts w:ascii="times new roman;times" w:hAnsi="times new roman;times"/>
                <w:b/>
                <w:sz w:val="16"/>
              </w:rPr>
              <w:t>Treasury</w:t>
            </w:r>
          </w:p>
          <w:p>
            <w:pPr>
              <w:pStyle w:val="TableContents"/>
              <w:bidi w:val="0"/>
              <w:spacing w:before="0" w:after="0"/>
              <w:jc w:val="center"/>
              <w:rPr>
                <w:rFonts w:ascii="times new roman;times" w:hAnsi="times new roman;times"/>
                <w:b/>
                <w:sz w:val="16"/>
              </w:rPr>
            </w:pPr>
            <w:r>
              <w:rPr>
                <w:rFonts w:ascii="times new roman;times" w:hAnsi="times new roman;times"/>
                <w:b/>
                <w:sz w:val="16"/>
              </w:rPr>
              <w:t>Stock</w:t>
            </w:r>
          </w:p>
        </w:tc>
        <w:tc>
          <w:tcPr>
            <w:tcW w:w="226" w:type="dxa"/>
            <w:tcBorders/>
            <w:vAlign w:val="bottom"/>
          </w:tcPr>
          <w:p>
            <w:pPr>
              <w:pStyle w:val="TableContents"/>
              <w:bidi w:val="0"/>
              <w:spacing w:before="0" w:after="283"/>
              <w:jc w:val="left"/>
              <w:rPr/>
            </w:pPr>
            <w:r>
              <w:rPr/>
            </w:r>
          </w:p>
        </w:tc>
      </w:tr>
      <w:tr>
        <w:trPr/>
        <w:tc>
          <w:tcPr>
            <w:tcW w:w="3451" w:type="dxa"/>
            <w:tcBorders/>
            <w:shd w:fill="CCEEFF" w:val="clear"/>
            <w:vAlign w:val="bottom"/>
          </w:tcPr>
          <w:p>
            <w:pPr>
              <w:pStyle w:val="TableContents"/>
              <w:bidi w:val="0"/>
              <w:spacing w:before="0" w:after="283"/>
              <w:jc w:val="left"/>
              <w:rPr/>
            </w:pPr>
            <w:r>
              <w:rPr/>
              <w:t>Balance of December 31, 2023</w:t>
            </w:r>
          </w:p>
        </w:tc>
        <w:tc>
          <w:tcPr>
            <w:tcW w:w="109" w:type="dxa"/>
            <w:tcBorders/>
            <w:shd w:fill="CCEEFF" w:val="clear"/>
            <w:tcMar>
              <w:top w:w="0" w:type="dxa"/>
              <w:left w:w="0" w:type="dxa"/>
              <w:bottom w:w="0" w:type="dxa"/>
              <w:right w:w="0" w:type="dxa"/>
            </w:tcMar>
            <w:vAlign w:val="bottom"/>
          </w:tcPr>
          <w:p>
            <w:pPr>
              <w:pStyle w:val="TableContents"/>
              <w:bidi w:val="0"/>
              <w:spacing w:before="0" w:after="283"/>
              <w:jc w:val="left"/>
              <w:rPr/>
            </w:pPr>
            <w:r>
              <w:rPr/>
            </w:r>
          </w:p>
        </w:tc>
        <w:tc>
          <w:tcPr>
            <w:tcW w:w="1531" w:type="dxa"/>
            <w:tcBorders/>
            <w:shd w:fill="CCEEFF" w:val="clear"/>
            <w:tcMar>
              <w:top w:w="0" w:type="dxa"/>
              <w:left w:w="0" w:type="dxa"/>
              <w:bottom w:w="0" w:type="dxa"/>
              <w:right w:w="0" w:type="dxa"/>
            </w:tcMar>
            <w:vAlign w:val="bottom"/>
          </w:tcPr>
          <w:p>
            <w:pPr>
              <w:pStyle w:val="TableContents"/>
              <w:bidi w:val="0"/>
              <w:spacing w:before="0" w:after="283"/>
              <w:jc w:val="right"/>
              <w:rPr/>
            </w:pPr>
            <w:r>
              <w:rPr/>
              <w:t>45,777,962</w:t>
            </w:r>
          </w:p>
        </w:tc>
        <w:tc>
          <w:tcPr>
            <w:tcW w:w="181" w:type="dxa"/>
            <w:tcBorders/>
            <w:shd w:fill="CCEEFF" w:val="clear"/>
            <w:tcMar>
              <w:top w:w="0" w:type="dxa"/>
              <w:left w:w="0" w:type="dxa"/>
              <w:bottom w:w="0" w:type="dxa"/>
              <w:right w:w="0" w:type="dxa"/>
            </w:tcMar>
            <w:vAlign w:val="bottom"/>
          </w:tcPr>
          <w:p>
            <w:pPr>
              <w:pStyle w:val="TableContents"/>
              <w:bidi w:val="0"/>
              <w:spacing w:before="0" w:after="283"/>
              <w:jc w:val="left"/>
              <w:rPr/>
            </w:pPr>
            <w:r>
              <w:rPr/>
            </w:r>
          </w:p>
        </w:tc>
        <w:tc>
          <w:tcPr>
            <w:tcW w:w="109" w:type="dxa"/>
            <w:tcBorders/>
            <w:shd w:fill="CCEEFF" w:val="clear"/>
            <w:tcMar>
              <w:top w:w="0" w:type="dxa"/>
              <w:left w:w="0" w:type="dxa"/>
              <w:bottom w:w="0" w:type="dxa"/>
              <w:right w:w="0" w:type="dxa"/>
            </w:tcMar>
            <w:vAlign w:val="bottom"/>
          </w:tcPr>
          <w:p>
            <w:pPr>
              <w:pStyle w:val="TableContents"/>
              <w:bidi w:val="0"/>
              <w:spacing w:before="0" w:after="283"/>
              <w:jc w:val="left"/>
              <w:rPr/>
            </w:pPr>
            <w:r>
              <w:rPr/>
            </w:r>
          </w:p>
        </w:tc>
        <w:tc>
          <w:tcPr>
            <w:tcW w:w="261" w:type="dxa"/>
            <w:tcBorders/>
            <w:shd w:fill="CCEEFF" w:val="clear"/>
            <w:tcMar>
              <w:top w:w="0" w:type="dxa"/>
              <w:left w:w="0" w:type="dxa"/>
              <w:bottom w:w="0" w:type="dxa"/>
              <w:right w:w="0" w:type="dxa"/>
            </w:tcMar>
            <w:vAlign w:val="bottom"/>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505" w:type="dxa"/>
            <w:tcBorders/>
            <w:shd w:fill="CCEEFF" w:val="clear"/>
            <w:tcMar>
              <w:top w:w="0" w:type="dxa"/>
              <w:left w:w="0" w:type="dxa"/>
              <w:bottom w:w="0" w:type="dxa"/>
              <w:right w:w="0" w:type="dxa"/>
            </w:tcMar>
            <w:vAlign w:val="bottom"/>
          </w:tcPr>
          <w:p>
            <w:pPr>
              <w:pStyle w:val="TableContents"/>
              <w:bidi w:val="0"/>
              <w:spacing w:before="0" w:after="283"/>
              <w:jc w:val="right"/>
              <w:rPr/>
            </w:pPr>
            <w:r>
              <w:rPr/>
              <w:t>1.3</w:t>
            </w:r>
          </w:p>
        </w:tc>
        <w:tc>
          <w:tcPr>
            <w:tcW w:w="109" w:type="dxa"/>
            <w:tcBorders/>
            <w:shd w:fill="CCEEFF" w:val="clear"/>
            <w:tcMar>
              <w:top w:w="0" w:type="dxa"/>
              <w:left w:w="0" w:type="dxa"/>
              <w:bottom w:w="0" w:type="dxa"/>
              <w:right w:w="0" w:type="dxa"/>
            </w:tcMar>
            <w:vAlign w:val="bottom"/>
          </w:tcPr>
          <w:p>
            <w:pPr>
              <w:pStyle w:val="TableContents"/>
              <w:bidi w:val="0"/>
              <w:spacing w:before="0" w:after="283"/>
              <w:jc w:val="left"/>
              <w:rPr/>
            </w:pPr>
            <w:r>
              <w:rPr/>
            </w:r>
          </w:p>
        </w:tc>
        <w:tc>
          <w:tcPr>
            <w:tcW w:w="109" w:type="dxa"/>
            <w:tcBorders/>
            <w:shd w:fill="CCEEFF" w:val="clear"/>
            <w:tcMar>
              <w:top w:w="0" w:type="dxa"/>
              <w:left w:w="0" w:type="dxa"/>
              <w:bottom w:w="0" w:type="dxa"/>
              <w:right w:w="0" w:type="dxa"/>
            </w:tcMar>
            <w:vAlign w:val="bottom"/>
          </w:tcPr>
          <w:p>
            <w:pPr>
              <w:pStyle w:val="TableContents"/>
              <w:bidi w:val="0"/>
              <w:spacing w:before="0" w:after="283"/>
              <w:jc w:val="left"/>
              <w:rPr/>
            </w:pPr>
            <w:r>
              <w:rPr/>
            </w:r>
          </w:p>
        </w:tc>
        <w:tc>
          <w:tcPr>
            <w:tcW w:w="247" w:type="dxa"/>
            <w:tcBorders/>
            <w:shd w:fill="CCEEFF" w:val="clear"/>
            <w:tcMar>
              <w:top w:w="0" w:type="dxa"/>
              <w:left w:w="0" w:type="dxa"/>
              <w:bottom w:w="0" w:type="dxa"/>
              <w:right w:w="0" w:type="dxa"/>
            </w:tcMar>
            <w:vAlign w:val="bottom"/>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969" w:type="dxa"/>
            <w:tcBorders/>
            <w:shd w:fill="CCEEFF" w:val="clear"/>
            <w:tcMar>
              <w:top w:w="0" w:type="dxa"/>
              <w:left w:w="0" w:type="dxa"/>
              <w:bottom w:w="0" w:type="dxa"/>
              <w:right w:w="0" w:type="dxa"/>
            </w:tcMar>
            <w:vAlign w:val="bottom"/>
          </w:tcPr>
          <w:p>
            <w:pPr>
              <w:pStyle w:val="TableContents"/>
              <w:bidi w:val="0"/>
              <w:spacing w:before="0" w:after="283"/>
              <w:jc w:val="right"/>
              <w:rPr/>
            </w:pPr>
            <w:r>
              <w:rPr/>
              <w:t>1,311.6</w:t>
            </w:r>
          </w:p>
        </w:tc>
        <w:tc>
          <w:tcPr>
            <w:tcW w:w="109" w:type="dxa"/>
            <w:tcBorders/>
            <w:shd w:fill="CCEEFF" w:val="clear"/>
            <w:tcMar>
              <w:top w:w="0" w:type="dxa"/>
              <w:left w:w="0" w:type="dxa"/>
              <w:bottom w:w="0" w:type="dxa"/>
              <w:right w:w="0" w:type="dxa"/>
            </w:tcMar>
            <w:vAlign w:val="bottom"/>
          </w:tcPr>
          <w:p>
            <w:pPr>
              <w:pStyle w:val="TableContents"/>
              <w:bidi w:val="0"/>
              <w:spacing w:before="0" w:after="283"/>
              <w:jc w:val="left"/>
              <w:rPr/>
            </w:pPr>
            <w:r>
              <w:rPr/>
            </w:r>
          </w:p>
        </w:tc>
        <w:tc>
          <w:tcPr>
            <w:tcW w:w="109" w:type="dxa"/>
            <w:tcBorders/>
            <w:shd w:fill="CCEEFF" w:val="clear"/>
            <w:tcMar>
              <w:top w:w="0" w:type="dxa"/>
              <w:left w:w="0" w:type="dxa"/>
              <w:bottom w:w="0" w:type="dxa"/>
              <w:right w:w="0" w:type="dxa"/>
            </w:tcMar>
            <w:vAlign w:val="bottom"/>
          </w:tcPr>
          <w:p>
            <w:pPr>
              <w:pStyle w:val="TableContents"/>
              <w:bidi w:val="0"/>
              <w:spacing w:before="0" w:after="283"/>
              <w:jc w:val="left"/>
              <w:rPr/>
            </w:pPr>
            <w:r>
              <w:rPr/>
            </w:r>
          </w:p>
        </w:tc>
        <w:tc>
          <w:tcPr>
            <w:tcW w:w="211" w:type="dxa"/>
            <w:tcBorders/>
            <w:shd w:fill="CCEEFF" w:val="clear"/>
            <w:tcMar>
              <w:top w:w="0" w:type="dxa"/>
              <w:left w:w="0" w:type="dxa"/>
              <w:bottom w:w="0" w:type="dxa"/>
              <w:right w:w="0" w:type="dxa"/>
            </w:tcMar>
            <w:vAlign w:val="bottom"/>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901" w:type="dxa"/>
            <w:tcBorders/>
            <w:shd w:fill="CCEEFF" w:val="clear"/>
            <w:tcMar>
              <w:top w:w="0" w:type="dxa"/>
              <w:left w:w="0" w:type="dxa"/>
              <w:bottom w:w="0" w:type="dxa"/>
              <w:right w:w="0" w:type="dxa"/>
            </w:tcMar>
            <w:vAlign w:val="bottom"/>
          </w:tcPr>
          <w:p>
            <w:pPr>
              <w:pStyle w:val="TableContents"/>
              <w:bidi w:val="0"/>
              <w:spacing w:before="0" w:after="283"/>
              <w:jc w:val="right"/>
              <w:rPr/>
            </w:pPr>
            <w:r>
              <w:rPr/>
              <w:t>(1,487.7</w:t>
            </w:r>
          </w:p>
        </w:tc>
        <w:tc>
          <w:tcPr>
            <w:tcW w:w="226" w:type="dxa"/>
            <w:tcBorders/>
            <w:shd w:fill="CCEEFF" w:val="clear"/>
            <w:tcMar>
              <w:top w:w="0" w:type="dxa"/>
              <w:left w:w="0" w:type="dxa"/>
              <w:bottom w:w="0" w:type="dxa"/>
              <w:right w:w="0" w:type="dxa"/>
            </w:tcMar>
            <w:vAlign w:val="bottom"/>
          </w:tcPr>
          <w:p>
            <w:pPr>
              <w:pStyle w:val="TableContents"/>
              <w:bidi w:val="0"/>
              <w:spacing w:before="0" w:after="283"/>
              <w:jc w:val="left"/>
              <w:rPr/>
            </w:pPr>
            <w:r>
              <w:rPr/>
              <w:t>)</w:t>
            </w:r>
          </w:p>
        </w:tc>
      </w:tr>
      <w:tr>
        <w:trPr/>
        <w:tc>
          <w:tcPr>
            <w:tcW w:w="3451" w:type="dxa"/>
            <w:tcBorders/>
            <w:vAlign w:val="bottom"/>
          </w:tcPr>
          <w:p>
            <w:pPr>
              <w:pStyle w:val="TableContents"/>
              <w:widowControl/>
              <w:bidi w:val="0"/>
              <w:spacing w:before="0" w:after="283"/>
              <w:ind w:left="0" w:right="0" w:hanging="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Net income</w:t>
            </w:r>
          </w:p>
        </w:tc>
        <w:tc>
          <w:tcPr>
            <w:tcW w:w="109" w:type="dxa"/>
            <w:tcBorders/>
            <w:tcMar>
              <w:top w:w="0" w:type="dxa"/>
              <w:left w:w="0" w:type="dxa"/>
              <w:bottom w:w="0" w:type="dxa"/>
              <w:right w:w="0" w:type="dxa"/>
            </w:tcMar>
            <w:vAlign w:val="bottom"/>
          </w:tcPr>
          <w:p>
            <w:pPr>
              <w:pStyle w:val="TableContents"/>
              <w:bidi w:val="0"/>
              <w:spacing w:before="0" w:after="283"/>
              <w:jc w:val="left"/>
              <w:rPr/>
            </w:pPr>
            <w:r>
              <w:rPr/>
            </w:r>
          </w:p>
        </w:tc>
        <w:tc>
          <w:tcPr>
            <w:tcW w:w="1531" w:type="dxa"/>
            <w:tcBorders/>
            <w:tcMar>
              <w:top w:w="0" w:type="dxa"/>
              <w:left w:w="0" w:type="dxa"/>
              <w:bottom w:w="0" w:type="dxa"/>
              <w:right w:w="0" w:type="dxa"/>
            </w:tcMar>
            <w:vAlign w:val="bottom"/>
          </w:tcPr>
          <w:p>
            <w:pPr>
              <w:pStyle w:val="TableContents"/>
              <w:bidi w:val="0"/>
              <w:spacing w:before="0" w:after="283"/>
              <w:jc w:val="right"/>
              <w:rPr/>
            </w:pPr>
            <w:r>
              <w:rPr/>
              <w:t>—</w:t>
            </w:r>
          </w:p>
        </w:tc>
        <w:tc>
          <w:tcPr>
            <w:tcW w:w="181" w:type="dxa"/>
            <w:tcBorders/>
            <w:tcMar>
              <w:top w:w="0" w:type="dxa"/>
              <w:left w:w="0" w:type="dxa"/>
              <w:bottom w:w="0" w:type="dxa"/>
              <w:right w:w="0" w:type="dxa"/>
            </w:tcMar>
            <w:vAlign w:val="bottom"/>
          </w:tcPr>
          <w:p>
            <w:pPr>
              <w:pStyle w:val="TableContents"/>
              <w:bidi w:val="0"/>
              <w:spacing w:before="0" w:after="283"/>
              <w:jc w:val="left"/>
              <w:rPr/>
            </w:pPr>
            <w:r>
              <w:rPr/>
            </w:r>
          </w:p>
        </w:tc>
        <w:tc>
          <w:tcPr>
            <w:tcW w:w="109" w:type="dxa"/>
            <w:tcBorders/>
            <w:tcMar>
              <w:top w:w="0" w:type="dxa"/>
              <w:left w:w="0" w:type="dxa"/>
              <w:bottom w:w="0" w:type="dxa"/>
              <w:right w:w="0" w:type="dxa"/>
            </w:tcMar>
            <w:vAlign w:val="bottom"/>
          </w:tcPr>
          <w:p>
            <w:pPr>
              <w:pStyle w:val="TableContents"/>
              <w:bidi w:val="0"/>
              <w:spacing w:before="0" w:after="283"/>
              <w:jc w:val="left"/>
              <w:rPr/>
            </w:pPr>
            <w:r>
              <w:rPr/>
            </w:r>
          </w:p>
        </w:tc>
        <w:tc>
          <w:tcPr>
            <w:tcW w:w="261" w:type="dxa"/>
            <w:tcBorders/>
            <w:tcMar>
              <w:top w:w="0" w:type="dxa"/>
              <w:left w:w="0" w:type="dxa"/>
              <w:bottom w:w="0" w:type="dxa"/>
              <w:right w:w="0" w:type="dxa"/>
            </w:tcMar>
            <w:vAlign w:val="bottom"/>
          </w:tcPr>
          <w:p>
            <w:pPr>
              <w:pStyle w:val="TableContents"/>
              <w:bidi w:val="0"/>
              <w:spacing w:before="0" w:after="283"/>
              <w:jc w:val="left"/>
              <w:rPr/>
            </w:pPr>
            <w:r>
              <w:rPr/>
            </w:r>
          </w:p>
        </w:tc>
        <w:tc>
          <w:tcPr>
            <w:tcW w:w="505" w:type="dxa"/>
            <w:tcBorders/>
            <w:tcMar>
              <w:top w:w="0" w:type="dxa"/>
              <w:left w:w="0" w:type="dxa"/>
              <w:bottom w:w="0" w:type="dxa"/>
              <w:right w:w="0" w:type="dxa"/>
            </w:tcMar>
            <w:vAlign w:val="bottom"/>
          </w:tcPr>
          <w:p>
            <w:pPr>
              <w:pStyle w:val="TableContents"/>
              <w:widowControl/>
              <w:bidi w:val="0"/>
              <w:spacing w:before="0" w:after="283"/>
              <w:ind w:left="0" w:right="0" w:hanging="0"/>
              <w:jc w:val="right"/>
              <w:rPr>
                <w:caps w:val="false"/>
                <w:smallCaps w:val="false"/>
                <w:color w:val="000000"/>
                <w:spacing w:val="0"/>
              </w:rPr>
            </w:pPr>
            <w:r>
              <w:rPr>
                <w:caps w:val="false"/>
                <w:smallCaps w:val="false"/>
                <w:color w:val="000000"/>
                <w:spacing w:val="0"/>
              </w:rPr>
              <w:t>—</w:t>
            </w:r>
          </w:p>
        </w:tc>
        <w:tc>
          <w:tcPr>
            <w:tcW w:w="109" w:type="dxa"/>
            <w:tcBorders/>
            <w:tcMar>
              <w:top w:w="0" w:type="dxa"/>
              <w:left w:w="0" w:type="dxa"/>
              <w:bottom w:w="0" w:type="dxa"/>
              <w:right w:w="0" w:type="dxa"/>
            </w:tcMar>
            <w:vAlign w:val="bottom"/>
          </w:tcPr>
          <w:p>
            <w:pPr>
              <w:pStyle w:val="TableContents"/>
              <w:bidi w:val="0"/>
              <w:spacing w:before="0" w:after="283"/>
              <w:jc w:val="left"/>
              <w:rPr/>
            </w:pPr>
            <w:r>
              <w:rPr/>
            </w:r>
          </w:p>
        </w:tc>
        <w:tc>
          <w:tcPr>
            <w:tcW w:w="109" w:type="dxa"/>
            <w:tcBorders/>
            <w:tcMar>
              <w:top w:w="0" w:type="dxa"/>
              <w:left w:w="0" w:type="dxa"/>
              <w:bottom w:w="0" w:type="dxa"/>
              <w:right w:w="0" w:type="dxa"/>
            </w:tcMar>
            <w:vAlign w:val="bottom"/>
          </w:tcPr>
          <w:p>
            <w:pPr>
              <w:pStyle w:val="TableContents"/>
              <w:bidi w:val="0"/>
              <w:spacing w:before="0" w:after="283"/>
              <w:jc w:val="left"/>
              <w:rPr/>
            </w:pPr>
            <w:r>
              <w:rPr/>
            </w:r>
          </w:p>
        </w:tc>
        <w:tc>
          <w:tcPr>
            <w:tcW w:w="247" w:type="dxa"/>
            <w:tcBorders/>
            <w:tcMar>
              <w:top w:w="0" w:type="dxa"/>
              <w:left w:w="0" w:type="dxa"/>
              <w:bottom w:w="0" w:type="dxa"/>
              <w:right w:w="0" w:type="dxa"/>
            </w:tcMar>
            <w:vAlign w:val="bottom"/>
          </w:tcPr>
          <w:p>
            <w:pPr>
              <w:pStyle w:val="TableContents"/>
              <w:bidi w:val="0"/>
              <w:spacing w:before="0" w:after="283"/>
              <w:jc w:val="left"/>
              <w:rPr/>
            </w:pPr>
            <w:r>
              <w:rPr/>
            </w:r>
          </w:p>
        </w:tc>
        <w:tc>
          <w:tcPr>
            <w:tcW w:w="969" w:type="dxa"/>
            <w:tcBorders/>
            <w:tcMar>
              <w:top w:w="0" w:type="dxa"/>
              <w:left w:w="0" w:type="dxa"/>
              <w:bottom w:w="0" w:type="dxa"/>
              <w:right w:w="0" w:type="dxa"/>
            </w:tcMar>
            <w:vAlign w:val="bottom"/>
          </w:tcPr>
          <w:p>
            <w:pPr>
              <w:pStyle w:val="TableContents"/>
              <w:bidi w:val="0"/>
              <w:spacing w:before="0" w:after="283"/>
              <w:jc w:val="right"/>
              <w:rPr/>
            </w:pPr>
            <w:r>
              <w:rPr/>
              <w:t>—</w:t>
            </w:r>
          </w:p>
        </w:tc>
        <w:tc>
          <w:tcPr>
            <w:tcW w:w="109" w:type="dxa"/>
            <w:tcBorders/>
            <w:tcMar>
              <w:top w:w="0" w:type="dxa"/>
              <w:left w:w="0" w:type="dxa"/>
              <w:bottom w:w="0" w:type="dxa"/>
              <w:right w:w="0" w:type="dxa"/>
            </w:tcMar>
            <w:vAlign w:val="bottom"/>
          </w:tcPr>
          <w:p>
            <w:pPr>
              <w:pStyle w:val="TableContents"/>
              <w:bidi w:val="0"/>
              <w:spacing w:before="0" w:after="283"/>
              <w:jc w:val="left"/>
              <w:rPr/>
            </w:pPr>
            <w:r>
              <w:rPr/>
            </w:r>
          </w:p>
        </w:tc>
        <w:tc>
          <w:tcPr>
            <w:tcW w:w="109" w:type="dxa"/>
            <w:tcBorders/>
            <w:tcMar>
              <w:top w:w="0" w:type="dxa"/>
              <w:left w:w="0" w:type="dxa"/>
              <w:bottom w:w="0" w:type="dxa"/>
              <w:right w:w="0" w:type="dxa"/>
            </w:tcMar>
            <w:vAlign w:val="bottom"/>
          </w:tcPr>
          <w:p>
            <w:pPr>
              <w:pStyle w:val="TableContents"/>
              <w:bidi w:val="0"/>
              <w:spacing w:before="0" w:after="283"/>
              <w:jc w:val="left"/>
              <w:rPr/>
            </w:pPr>
            <w:r>
              <w:rPr/>
            </w:r>
          </w:p>
        </w:tc>
        <w:tc>
          <w:tcPr>
            <w:tcW w:w="211" w:type="dxa"/>
            <w:tcBorders/>
            <w:tcMar>
              <w:top w:w="0" w:type="dxa"/>
              <w:left w:w="0" w:type="dxa"/>
              <w:bottom w:w="0" w:type="dxa"/>
              <w:right w:w="0" w:type="dxa"/>
            </w:tcMar>
            <w:vAlign w:val="bottom"/>
          </w:tcPr>
          <w:p>
            <w:pPr>
              <w:pStyle w:val="TableContents"/>
              <w:bidi w:val="0"/>
              <w:spacing w:before="0" w:after="283"/>
              <w:jc w:val="left"/>
              <w:rPr/>
            </w:pPr>
            <w:r>
              <w:rPr/>
            </w:r>
          </w:p>
        </w:tc>
        <w:tc>
          <w:tcPr>
            <w:tcW w:w="901" w:type="dxa"/>
            <w:tcBorders/>
            <w:tcMar>
              <w:top w:w="0" w:type="dxa"/>
              <w:left w:w="0" w:type="dxa"/>
              <w:bottom w:w="0" w:type="dxa"/>
              <w:right w:w="0" w:type="dxa"/>
            </w:tcMar>
            <w:vAlign w:val="bottom"/>
          </w:tcPr>
          <w:p>
            <w:pPr>
              <w:pStyle w:val="TableContents"/>
              <w:widowControl/>
              <w:bidi w:val="0"/>
              <w:spacing w:before="0" w:after="283"/>
              <w:ind w:left="0" w:right="0" w:hanging="0"/>
              <w:jc w:val="right"/>
              <w:rPr>
                <w:caps w:val="false"/>
                <w:smallCaps w:val="false"/>
                <w:color w:val="000000"/>
                <w:spacing w:val="0"/>
              </w:rPr>
            </w:pPr>
            <w:r>
              <w:rPr>
                <w:caps w:val="false"/>
                <w:smallCaps w:val="false"/>
                <w:color w:val="000000"/>
                <w:spacing w:val="0"/>
              </w:rPr>
              <w:t>—</w:t>
            </w:r>
          </w:p>
        </w:tc>
        <w:tc>
          <w:tcPr>
            <w:tcW w:w="226" w:type="dxa"/>
            <w:tcBorders/>
            <w:tcMar>
              <w:top w:w="0" w:type="dxa"/>
              <w:left w:w="0" w:type="dxa"/>
              <w:bottom w:w="0" w:type="dxa"/>
              <w:right w:w="0" w:type="dxa"/>
            </w:tcMar>
            <w:vAlign w:val="bottom"/>
          </w:tcPr>
          <w:p>
            <w:pPr>
              <w:pStyle w:val="TableContents"/>
              <w:bidi w:val="0"/>
              <w:spacing w:before="0" w:after="283"/>
              <w:jc w:val="left"/>
              <w:rPr/>
            </w:pPr>
            <w:r>
              <w:rPr/>
            </w:r>
          </w:p>
        </w:tc>
      </w:tr>
      <w:tr>
        <w:trPr/>
        <w:tc>
          <w:tcPr>
            <w:tcW w:w="3451" w:type="dxa"/>
            <w:tcBorders/>
            <w:shd w:fill="CCEEFF" w:val="clear"/>
            <w:vAlign w:val="bottom"/>
          </w:tcPr>
          <w:p>
            <w:pPr>
              <w:pStyle w:val="TableContents"/>
              <w:bidi w:val="0"/>
              <w:spacing w:before="0" w:after="283"/>
              <w:jc w:val="left"/>
              <w:rPr/>
            </w:pPr>
            <w:r>
              <w:rPr/>
              <w:t>Other comprehensive income</w:t>
            </w:r>
          </w:p>
        </w:tc>
        <w:tc>
          <w:tcPr>
            <w:tcW w:w="109" w:type="dxa"/>
            <w:tcBorders/>
            <w:shd w:fill="CCEEFF" w:val="clear"/>
            <w:tcMar>
              <w:top w:w="0" w:type="dxa"/>
              <w:left w:w="0" w:type="dxa"/>
              <w:bottom w:w="0" w:type="dxa"/>
              <w:right w:w="0" w:type="dxa"/>
            </w:tcMar>
            <w:vAlign w:val="bottom"/>
          </w:tcPr>
          <w:p>
            <w:pPr>
              <w:pStyle w:val="TableContents"/>
              <w:bidi w:val="0"/>
              <w:spacing w:before="0" w:after="283"/>
              <w:jc w:val="left"/>
              <w:rPr/>
            </w:pPr>
            <w:r>
              <w:rPr/>
            </w:r>
          </w:p>
        </w:tc>
        <w:tc>
          <w:tcPr>
            <w:tcW w:w="1531" w:type="dxa"/>
            <w:tcBorders/>
            <w:shd w:fill="CCEEFF" w:val="clear"/>
            <w:tcMar>
              <w:top w:w="0" w:type="dxa"/>
              <w:left w:w="0" w:type="dxa"/>
              <w:bottom w:w="0" w:type="dxa"/>
              <w:right w:w="0" w:type="dxa"/>
            </w:tcMar>
            <w:vAlign w:val="bottom"/>
          </w:tcPr>
          <w:p>
            <w:pPr>
              <w:pStyle w:val="TableContents"/>
              <w:bidi w:val="0"/>
              <w:spacing w:before="0" w:after="283"/>
              <w:jc w:val="right"/>
              <w:rPr/>
            </w:pPr>
            <w:r>
              <w:rPr/>
              <w:t>—</w:t>
            </w:r>
          </w:p>
        </w:tc>
        <w:tc>
          <w:tcPr>
            <w:tcW w:w="181" w:type="dxa"/>
            <w:tcBorders/>
            <w:shd w:fill="CCEEFF" w:val="clear"/>
            <w:tcMar>
              <w:top w:w="0" w:type="dxa"/>
              <w:left w:w="0" w:type="dxa"/>
              <w:bottom w:w="0" w:type="dxa"/>
              <w:right w:w="0" w:type="dxa"/>
            </w:tcMar>
            <w:vAlign w:val="bottom"/>
          </w:tcPr>
          <w:p>
            <w:pPr>
              <w:pStyle w:val="TableContents"/>
              <w:bidi w:val="0"/>
              <w:spacing w:before="0" w:after="283"/>
              <w:jc w:val="left"/>
              <w:rPr/>
            </w:pPr>
            <w:r>
              <w:rPr/>
            </w:r>
          </w:p>
        </w:tc>
        <w:tc>
          <w:tcPr>
            <w:tcW w:w="109" w:type="dxa"/>
            <w:tcBorders/>
            <w:shd w:fill="CCEEFF" w:val="clear"/>
            <w:tcMar>
              <w:top w:w="0" w:type="dxa"/>
              <w:left w:w="0" w:type="dxa"/>
              <w:bottom w:w="0" w:type="dxa"/>
              <w:right w:w="0" w:type="dxa"/>
            </w:tcMar>
            <w:vAlign w:val="bottom"/>
          </w:tcPr>
          <w:p>
            <w:pPr>
              <w:pStyle w:val="TableContents"/>
              <w:bidi w:val="0"/>
              <w:spacing w:before="0" w:after="283"/>
              <w:jc w:val="left"/>
              <w:rPr/>
            </w:pPr>
            <w:r>
              <w:rPr/>
            </w:r>
          </w:p>
        </w:tc>
        <w:tc>
          <w:tcPr>
            <w:tcW w:w="261" w:type="dxa"/>
            <w:tcBorders/>
            <w:shd w:fill="CCEEFF" w:val="clear"/>
            <w:tcMar>
              <w:top w:w="0" w:type="dxa"/>
              <w:left w:w="0" w:type="dxa"/>
              <w:bottom w:w="0" w:type="dxa"/>
              <w:right w:w="0" w:type="dxa"/>
            </w:tcMar>
            <w:vAlign w:val="bottom"/>
          </w:tcPr>
          <w:p>
            <w:pPr>
              <w:pStyle w:val="TableContents"/>
              <w:bidi w:val="0"/>
              <w:spacing w:before="0" w:after="283"/>
              <w:jc w:val="left"/>
              <w:rPr/>
            </w:pPr>
            <w:r>
              <w:rPr/>
            </w:r>
          </w:p>
        </w:tc>
        <w:tc>
          <w:tcPr>
            <w:tcW w:w="505" w:type="dxa"/>
            <w:tcBorders/>
            <w:shd w:fill="CCEEFF" w:val="clear"/>
            <w:tcMar>
              <w:top w:w="0" w:type="dxa"/>
              <w:left w:w="0" w:type="dxa"/>
              <w:bottom w:w="0" w:type="dxa"/>
              <w:right w:w="0" w:type="dxa"/>
            </w:tcMar>
            <w:vAlign w:val="bottom"/>
          </w:tcPr>
          <w:p>
            <w:pPr>
              <w:pStyle w:val="TableContents"/>
              <w:widowControl/>
              <w:bidi w:val="0"/>
              <w:spacing w:before="0" w:after="283"/>
              <w:ind w:left="0" w:right="0" w:hanging="0"/>
              <w:jc w:val="right"/>
              <w:rPr>
                <w:caps w:val="false"/>
                <w:smallCaps w:val="false"/>
                <w:color w:val="000000"/>
                <w:spacing w:val="0"/>
              </w:rPr>
            </w:pPr>
            <w:r>
              <w:rPr>
                <w:caps w:val="false"/>
                <w:smallCaps w:val="false"/>
                <w:color w:val="000000"/>
                <w:spacing w:val="0"/>
              </w:rPr>
              <w:t>—</w:t>
            </w:r>
          </w:p>
        </w:tc>
        <w:tc>
          <w:tcPr>
            <w:tcW w:w="109" w:type="dxa"/>
            <w:tcBorders/>
            <w:shd w:fill="CCEEFF" w:val="clear"/>
            <w:tcMar>
              <w:top w:w="0" w:type="dxa"/>
              <w:left w:w="0" w:type="dxa"/>
              <w:bottom w:w="0" w:type="dxa"/>
              <w:right w:w="0" w:type="dxa"/>
            </w:tcMar>
            <w:vAlign w:val="bottom"/>
          </w:tcPr>
          <w:p>
            <w:pPr>
              <w:pStyle w:val="TableContents"/>
              <w:bidi w:val="0"/>
              <w:spacing w:before="0" w:after="283"/>
              <w:jc w:val="left"/>
              <w:rPr/>
            </w:pPr>
            <w:r>
              <w:rPr/>
            </w:r>
          </w:p>
        </w:tc>
        <w:tc>
          <w:tcPr>
            <w:tcW w:w="109" w:type="dxa"/>
            <w:tcBorders/>
            <w:shd w:fill="CCEEFF" w:val="clear"/>
            <w:tcMar>
              <w:top w:w="0" w:type="dxa"/>
              <w:left w:w="0" w:type="dxa"/>
              <w:bottom w:w="0" w:type="dxa"/>
              <w:right w:w="0" w:type="dxa"/>
            </w:tcMar>
            <w:vAlign w:val="bottom"/>
          </w:tcPr>
          <w:p>
            <w:pPr>
              <w:pStyle w:val="TableContents"/>
              <w:bidi w:val="0"/>
              <w:spacing w:before="0" w:after="283"/>
              <w:jc w:val="left"/>
              <w:rPr/>
            </w:pPr>
            <w:r>
              <w:rPr/>
            </w:r>
          </w:p>
        </w:tc>
        <w:tc>
          <w:tcPr>
            <w:tcW w:w="247" w:type="dxa"/>
            <w:tcBorders/>
            <w:shd w:fill="CCEEFF" w:val="clear"/>
            <w:tcMar>
              <w:top w:w="0" w:type="dxa"/>
              <w:left w:w="0" w:type="dxa"/>
              <w:bottom w:w="0" w:type="dxa"/>
              <w:right w:w="0" w:type="dxa"/>
            </w:tcMar>
            <w:vAlign w:val="bottom"/>
          </w:tcPr>
          <w:p>
            <w:pPr>
              <w:pStyle w:val="TableContents"/>
              <w:bidi w:val="0"/>
              <w:spacing w:before="0" w:after="283"/>
              <w:jc w:val="left"/>
              <w:rPr/>
            </w:pPr>
            <w:r>
              <w:rPr/>
            </w:r>
          </w:p>
        </w:tc>
        <w:tc>
          <w:tcPr>
            <w:tcW w:w="969" w:type="dxa"/>
            <w:tcBorders/>
            <w:shd w:fill="CCEEFF" w:val="clear"/>
            <w:tcMar>
              <w:top w:w="0" w:type="dxa"/>
              <w:left w:w="0" w:type="dxa"/>
              <w:bottom w:w="0" w:type="dxa"/>
              <w:right w:w="0" w:type="dxa"/>
            </w:tcMar>
            <w:vAlign w:val="bottom"/>
          </w:tcPr>
          <w:p>
            <w:pPr>
              <w:pStyle w:val="TableContents"/>
              <w:bidi w:val="0"/>
              <w:spacing w:before="0" w:after="283"/>
              <w:jc w:val="right"/>
              <w:rPr/>
            </w:pPr>
            <w:r>
              <w:rPr/>
              <w:t>—</w:t>
            </w:r>
          </w:p>
        </w:tc>
        <w:tc>
          <w:tcPr>
            <w:tcW w:w="109" w:type="dxa"/>
            <w:tcBorders/>
            <w:shd w:fill="CCEEFF" w:val="clear"/>
            <w:tcMar>
              <w:top w:w="0" w:type="dxa"/>
              <w:left w:w="0" w:type="dxa"/>
              <w:bottom w:w="0" w:type="dxa"/>
              <w:right w:w="0" w:type="dxa"/>
            </w:tcMar>
            <w:vAlign w:val="bottom"/>
          </w:tcPr>
          <w:p>
            <w:pPr>
              <w:pStyle w:val="TableContents"/>
              <w:bidi w:val="0"/>
              <w:spacing w:before="0" w:after="283"/>
              <w:jc w:val="left"/>
              <w:rPr/>
            </w:pPr>
            <w:r>
              <w:rPr/>
            </w:r>
          </w:p>
        </w:tc>
        <w:tc>
          <w:tcPr>
            <w:tcW w:w="109" w:type="dxa"/>
            <w:tcBorders/>
            <w:shd w:fill="CCEEFF" w:val="clear"/>
            <w:tcMar>
              <w:top w:w="0" w:type="dxa"/>
              <w:left w:w="0" w:type="dxa"/>
              <w:bottom w:w="0" w:type="dxa"/>
              <w:right w:w="0" w:type="dxa"/>
            </w:tcMar>
            <w:vAlign w:val="bottom"/>
          </w:tcPr>
          <w:p>
            <w:pPr>
              <w:pStyle w:val="TableContents"/>
              <w:bidi w:val="0"/>
              <w:spacing w:before="0" w:after="283"/>
              <w:jc w:val="left"/>
              <w:rPr/>
            </w:pPr>
            <w:r>
              <w:rPr/>
            </w:r>
          </w:p>
        </w:tc>
        <w:tc>
          <w:tcPr>
            <w:tcW w:w="211" w:type="dxa"/>
            <w:tcBorders/>
            <w:shd w:fill="CCEEFF" w:val="clear"/>
            <w:tcMar>
              <w:top w:w="0" w:type="dxa"/>
              <w:left w:w="0" w:type="dxa"/>
              <w:bottom w:w="0" w:type="dxa"/>
              <w:right w:w="0" w:type="dxa"/>
            </w:tcMar>
            <w:vAlign w:val="bottom"/>
          </w:tcPr>
          <w:p>
            <w:pPr>
              <w:pStyle w:val="TableContents"/>
              <w:bidi w:val="0"/>
              <w:spacing w:before="0" w:after="283"/>
              <w:jc w:val="left"/>
              <w:rPr/>
            </w:pPr>
            <w:r>
              <w:rPr/>
            </w:r>
          </w:p>
        </w:tc>
        <w:tc>
          <w:tcPr>
            <w:tcW w:w="901" w:type="dxa"/>
            <w:tcBorders/>
            <w:shd w:fill="CCEEFF" w:val="clear"/>
            <w:tcMar>
              <w:top w:w="0" w:type="dxa"/>
              <w:left w:w="0" w:type="dxa"/>
              <w:bottom w:w="0" w:type="dxa"/>
              <w:right w:w="0" w:type="dxa"/>
            </w:tcMar>
            <w:vAlign w:val="bottom"/>
          </w:tcPr>
          <w:p>
            <w:pPr>
              <w:pStyle w:val="TableContents"/>
              <w:widowControl/>
              <w:bidi w:val="0"/>
              <w:spacing w:before="0" w:after="283"/>
              <w:ind w:left="0" w:right="0" w:hanging="0"/>
              <w:jc w:val="right"/>
              <w:rPr>
                <w:caps w:val="false"/>
                <w:smallCaps w:val="false"/>
                <w:color w:val="000000"/>
                <w:spacing w:val="0"/>
              </w:rPr>
            </w:pPr>
            <w:r>
              <w:rPr>
                <w:caps w:val="false"/>
                <w:smallCaps w:val="false"/>
                <w:color w:val="000000"/>
                <w:spacing w:val="0"/>
              </w:rPr>
              <w:t>—</w:t>
            </w:r>
          </w:p>
        </w:tc>
        <w:tc>
          <w:tcPr>
            <w:tcW w:w="226" w:type="dxa"/>
            <w:tcBorders/>
            <w:shd w:fill="CCEEFF" w:val="clear"/>
            <w:tcMar>
              <w:top w:w="0" w:type="dxa"/>
              <w:left w:w="0" w:type="dxa"/>
              <w:bottom w:w="0" w:type="dxa"/>
              <w:right w:w="0" w:type="dxa"/>
            </w:tcMar>
            <w:vAlign w:val="bottom"/>
          </w:tcPr>
          <w:p>
            <w:pPr>
              <w:pStyle w:val="TableContents"/>
              <w:bidi w:val="0"/>
              <w:spacing w:before="0" w:after="283"/>
              <w:jc w:val="left"/>
              <w:rPr/>
            </w:pPr>
            <w:r>
              <w:rPr/>
            </w:r>
          </w:p>
        </w:tc>
      </w:tr>
      <w:tr>
        <w:trPr/>
        <w:tc>
          <w:tcPr>
            <w:tcW w:w="3451" w:type="dxa"/>
            <w:tcBorders/>
            <w:vAlign w:val="bottom"/>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Stock issued under employee stock plans</w:t>
            </w:r>
          </w:p>
        </w:tc>
        <w:tc>
          <w:tcPr>
            <w:tcW w:w="109" w:type="dxa"/>
            <w:tcBorders/>
            <w:tcMar>
              <w:top w:w="0" w:type="dxa"/>
              <w:left w:w="0" w:type="dxa"/>
              <w:bottom w:w="0" w:type="dxa"/>
              <w:right w:w="0" w:type="dxa"/>
            </w:tcMar>
            <w:vAlign w:val="bottom"/>
          </w:tcPr>
          <w:p>
            <w:pPr>
              <w:pStyle w:val="TableContents"/>
              <w:bidi w:val="0"/>
              <w:spacing w:before="0" w:after="283"/>
              <w:jc w:val="left"/>
              <w:rPr/>
            </w:pPr>
            <w:r>
              <w:rPr/>
            </w:r>
          </w:p>
        </w:tc>
        <w:tc>
          <w:tcPr>
            <w:tcW w:w="1531" w:type="dxa"/>
            <w:tcBorders/>
            <w:tcMar>
              <w:top w:w="0" w:type="dxa"/>
              <w:left w:w="0" w:type="dxa"/>
              <w:bottom w:w="0" w:type="dxa"/>
              <w:right w:w="0" w:type="dxa"/>
            </w:tcMar>
            <w:vAlign w:val="bottom"/>
          </w:tcPr>
          <w:p>
            <w:pPr>
              <w:pStyle w:val="TableContents"/>
              <w:bidi w:val="0"/>
              <w:spacing w:before="0" w:after="283"/>
              <w:jc w:val="right"/>
              <w:rPr/>
            </w:pPr>
            <w:r>
              <w:rPr/>
              <w:t>90,812</w:t>
            </w:r>
          </w:p>
        </w:tc>
        <w:tc>
          <w:tcPr>
            <w:tcW w:w="181" w:type="dxa"/>
            <w:tcBorders/>
            <w:tcMar>
              <w:top w:w="0" w:type="dxa"/>
              <w:left w:w="0" w:type="dxa"/>
              <w:bottom w:w="0" w:type="dxa"/>
              <w:right w:w="0" w:type="dxa"/>
            </w:tcMar>
            <w:vAlign w:val="bottom"/>
          </w:tcPr>
          <w:p>
            <w:pPr>
              <w:pStyle w:val="TableContents"/>
              <w:bidi w:val="0"/>
              <w:spacing w:before="0" w:after="283"/>
              <w:jc w:val="left"/>
              <w:rPr/>
            </w:pPr>
            <w:r>
              <w:rPr/>
            </w:r>
          </w:p>
        </w:tc>
        <w:tc>
          <w:tcPr>
            <w:tcW w:w="109" w:type="dxa"/>
            <w:tcBorders/>
            <w:tcMar>
              <w:top w:w="0" w:type="dxa"/>
              <w:left w:w="0" w:type="dxa"/>
              <w:bottom w:w="0" w:type="dxa"/>
              <w:right w:w="0" w:type="dxa"/>
            </w:tcMar>
            <w:vAlign w:val="bottom"/>
          </w:tcPr>
          <w:p>
            <w:pPr>
              <w:pStyle w:val="TableContents"/>
              <w:bidi w:val="0"/>
              <w:spacing w:before="0" w:after="283"/>
              <w:jc w:val="left"/>
              <w:rPr/>
            </w:pPr>
            <w:r>
              <w:rPr/>
            </w:r>
          </w:p>
        </w:tc>
        <w:tc>
          <w:tcPr>
            <w:tcW w:w="261" w:type="dxa"/>
            <w:tcBorders/>
            <w:tcMar>
              <w:top w:w="0" w:type="dxa"/>
              <w:left w:w="0" w:type="dxa"/>
              <w:bottom w:w="0" w:type="dxa"/>
              <w:right w:w="0" w:type="dxa"/>
            </w:tcMar>
            <w:vAlign w:val="bottom"/>
          </w:tcPr>
          <w:p>
            <w:pPr>
              <w:pStyle w:val="TableContents"/>
              <w:bidi w:val="0"/>
              <w:spacing w:before="0" w:after="283"/>
              <w:jc w:val="left"/>
              <w:rPr/>
            </w:pPr>
            <w:r>
              <w:rPr/>
            </w:r>
          </w:p>
        </w:tc>
        <w:tc>
          <w:tcPr>
            <w:tcW w:w="505" w:type="dxa"/>
            <w:tcBorders/>
            <w:tcMar>
              <w:top w:w="0" w:type="dxa"/>
              <w:left w:w="0" w:type="dxa"/>
              <w:bottom w:w="0" w:type="dxa"/>
              <w:right w:w="0" w:type="dxa"/>
            </w:tcMar>
            <w:vAlign w:val="bottom"/>
          </w:tcPr>
          <w:p>
            <w:pPr>
              <w:pStyle w:val="TableContents"/>
              <w:widowControl/>
              <w:bidi w:val="0"/>
              <w:spacing w:before="0" w:after="283"/>
              <w:ind w:left="0" w:right="0" w:hanging="0"/>
              <w:jc w:val="right"/>
              <w:rPr>
                <w:caps w:val="false"/>
                <w:smallCaps w:val="false"/>
                <w:color w:val="000000"/>
                <w:spacing w:val="0"/>
              </w:rPr>
            </w:pPr>
            <w:r>
              <w:rPr>
                <w:caps w:val="false"/>
                <w:smallCaps w:val="false"/>
                <w:color w:val="000000"/>
                <w:spacing w:val="0"/>
              </w:rPr>
              <w:t>—</w:t>
            </w:r>
          </w:p>
        </w:tc>
        <w:tc>
          <w:tcPr>
            <w:tcW w:w="109" w:type="dxa"/>
            <w:tcBorders/>
            <w:tcMar>
              <w:top w:w="0" w:type="dxa"/>
              <w:left w:w="0" w:type="dxa"/>
              <w:bottom w:w="0" w:type="dxa"/>
              <w:right w:w="0" w:type="dxa"/>
            </w:tcMar>
            <w:vAlign w:val="bottom"/>
          </w:tcPr>
          <w:p>
            <w:pPr>
              <w:pStyle w:val="TableContents"/>
              <w:bidi w:val="0"/>
              <w:spacing w:before="0" w:after="283"/>
              <w:jc w:val="left"/>
              <w:rPr/>
            </w:pPr>
            <w:r>
              <w:rPr/>
            </w:r>
          </w:p>
        </w:tc>
        <w:tc>
          <w:tcPr>
            <w:tcW w:w="109" w:type="dxa"/>
            <w:tcBorders/>
            <w:tcMar>
              <w:top w:w="0" w:type="dxa"/>
              <w:left w:w="0" w:type="dxa"/>
              <w:bottom w:w="0" w:type="dxa"/>
              <w:right w:w="0" w:type="dxa"/>
            </w:tcMar>
            <w:vAlign w:val="bottom"/>
          </w:tcPr>
          <w:p>
            <w:pPr>
              <w:pStyle w:val="TableContents"/>
              <w:bidi w:val="0"/>
              <w:spacing w:before="0" w:after="283"/>
              <w:jc w:val="left"/>
              <w:rPr/>
            </w:pPr>
            <w:r>
              <w:rPr/>
            </w:r>
          </w:p>
        </w:tc>
        <w:tc>
          <w:tcPr>
            <w:tcW w:w="247" w:type="dxa"/>
            <w:tcBorders/>
            <w:tcMar>
              <w:top w:w="0" w:type="dxa"/>
              <w:left w:w="0" w:type="dxa"/>
              <w:bottom w:w="0" w:type="dxa"/>
              <w:right w:w="0" w:type="dxa"/>
            </w:tcMar>
            <w:vAlign w:val="bottom"/>
          </w:tcPr>
          <w:p>
            <w:pPr>
              <w:pStyle w:val="TableContents"/>
              <w:bidi w:val="0"/>
              <w:spacing w:before="0" w:after="283"/>
              <w:jc w:val="left"/>
              <w:rPr/>
            </w:pPr>
            <w:r>
              <w:rPr/>
            </w:r>
          </w:p>
        </w:tc>
        <w:tc>
          <w:tcPr>
            <w:tcW w:w="969" w:type="dxa"/>
            <w:tcBorders/>
            <w:tcMar>
              <w:top w:w="0" w:type="dxa"/>
              <w:left w:w="0" w:type="dxa"/>
              <w:bottom w:w="0" w:type="dxa"/>
              <w:right w:w="0" w:type="dxa"/>
            </w:tcMar>
            <w:vAlign w:val="bottom"/>
          </w:tcPr>
          <w:p>
            <w:pPr>
              <w:pStyle w:val="TableContents"/>
              <w:bidi w:val="0"/>
              <w:spacing w:before="0" w:after="283"/>
              <w:jc w:val="right"/>
              <w:rPr/>
            </w:pPr>
            <w:r>
              <w:rPr/>
              <w:t>0.7</w:t>
            </w:r>
          </w:p>
        </w:tc>
        <w:tc>
          <w:tcPr>
            <w:tcW w:w="109" w:type="dxa"/>
            <w:tcBorders/>
            <w:tcMar>
              <w:top w:w="0" w:type="dxa"/>
              <w:left w:w="0" w:type="dxa"/>
              <w:bottom w:w="0" w:type="dxa"/>
              <w:right w:w="0" w:type="dxa"/>
            </w:tcMar>
            <w:vAlign w:val="bottom"/>
          </w:tcPr>
          <w:p>
            <w:pPr>
              <w:pStyle w:val="TableContents"/>
              <w:bidi w:val="0"/>
              <w:spacing w:before="0" w:after="283"/>
              <w:jc w:val="left"/>
              <w:rPr/>
            </w:pPr>
            <w:r>
              <w:rPr/>
            </w:r>
          </w:p>
        </w:tc>
        <w:tc>
          <w:tcPr>
            <w:tcW w:w="109" w:type="dxa"/>
            <w:tcBorders/>
            <w:tcMar>
              <w:top w:w="0" w:type="dxa"/>
              <w:left w:w="0" w:type="dxa"/>
              <w:bottom w:w="0" w:type="dxa"/>
              <w:right w:w="0" w:type="dxa"/>
            </w:tcMar>
            <w:vAlign w:val="bottom"/>
          </w:tcPr>
          <w:p>
            <w:pPr>
              <w:pStyle w:val="TableContents"/>
              <w:bidi w:val="0"/>
              <w:spacing w:before="0" w:after="283"/>
              <w:jc w:val="left"/>
              <w:rPr/>
            </w:pPr>
            <w:r>
              <w:rPr/>
            </w:r>
          </w:p>
        </w:tc>
        <w:tc>
          <w:tcPr>
            <w:tcW w:w="211" w:type="dxa"/>
            <w:tcBorders/>
            <w:tcMar>
              <w:top w:w="0" w:type="dxa"/>
              <w:left w:w="0" w:type="dxa"/>
              <w:bottom w:w="0" w:type="dxa"/>
              <w:right w:w="0" w:type="dxa"/>
            </w:tcMar>
            <w:vAlign w:val="bottom"/>
          </w:tcPr>
          <w:p>
            <w:pPr>
              <w:pStyle w:val="TableContents"/>
              <w:bidi w:val="0"/>
              <w:spacing w:before="0" w:after="283"/>
              <w:jc w:val="left"/>
              <w:rPr/>
            </w:pPr>
            <w:r>
              <w:rPr/>
            </w:r>
          </w:p>
        </w:tc>
        <w:tc>
          <w:tcPr>
            <w:tcW w:w="901" w:type="dxa"/>
            <w:tcBorders/>
            <w:tcMar>
              <w:top w:w="0" w:type="dxa"/>
              <w:left w:w="0" w:type="dxa"/>
              <w:bottom w:w="0" w:type="dxa"/>
              <w:right w:w="0" w:type="dxa"/>
            </w:tcMar>
            <w:vAlign w:val="bottom"/>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(0.5</w:t>
            </w:r>
          </w:p>
        </w:tc>
        <w:tc>
          <w:tcPr>
            <w:tcW w:w="226" w:type="dxa"/>
            <w:tcBorders/>
            <w:tcMar>
              <w:top w:w="0" w:type="dxa"/>
              <w:left w:w="0" w:type="dxa"/>
              <w:bottom w:w="0" w:type="dxa"/>
              <w:right w:w="0" w:type="dxa"/>
            </w:tcMar>
            <w:vAlign w:val="bottom"/>
          </w:tcPr>
          <w:p>
            <w:pPr>
              <w:pStyle w:val="TableContents"/>
              <w:bidi w:val="0"/>
              <w:spacing w:before="0" w:after="283"/>
              <w:jc w:val="left"/>
              <w:rPr/>
            </w:pPr>
            <w:r>
              <w:rPr/>
              <w:t>)</w:t>
            </w:r>
          </w:p>
        </w:tc>
      </w:tr>
      <w:tr>
        <w:trPr/>
        <w:tc>
          <w:tcPr>
            <w:tcW w:w="3451" w:type="dxa"/>
            <w:tcBorders/>
            <w:shd w:fill="CCEEFF" w:val="clear"/>
            <w:vAlign w:val="bottom"/>
          </w:tcPr>
          <w:p>
            <w:pPr>
              <w:pStyle w:val="TableContents"/>
              <w:bidi w:val="0"/>
              <w:spacing w:before="0" w:after="283"/>
              <w:jc w:val="left"/>
              <w:rPr/>
            </w:pPr>
            <w:r>
              <w:rPr/>
              <w:t>Share-based compensation</w:t>
            </w:r>
          </w:p>
        </w:tc>
        <w:tc>
          <w:tcPr>
            <w:tcW w:w="109" w:type="dxa"/>
            <w:tcBorders/>
            <w:shd w:fill="CCEEFF" w:val="clear"/>
            <w:tcMar>
              <w:top w:w="0" w:type="dxa"/>
              <w:left w:w="0" w:type="dxa"/>
              <w:bottom w:w="0" w:type="dxa"/>
              <w:right w:w="0" w:type="dxa"/>
            </w:tcMar>
            <w:vAlign w:val="bottom"/>
          </w:tcPr>
          <w:p>
            <w:pPr>
              <w:pStyle w:val="TableContents"/>
              <w:bidi w:val="0"/>
              <w:spacing w:before="0" w:after="283"/>
              <w:jc w:val="left"/>
              <w:rPr/>
            </w:pPr>
            <w:r>
              <w:rPr/>
            </w:r>
          </w:p>
        </w:tc>
        <w:tc>
          <w:tcPr>
            <w:tcW w:w="1531" w:type="dxa"/>
            <w:tcBorders/>
            <w:shd w:fill="CCEEFF" w:val="clear"/>
            <w:tcMar>
              <w:top w:w="0" w:type="dxa"/>
              <w:left w:w="0" w:type="dxa"/>
              <w:bottom w:w="0" w:type="dxa"/>
              <w:right w:w="0" w:type="dxa"/>
            </w:tcMar>
            <w:vAlign w:val="bottom"/>
          </w:tcPr>
          <w:p>
            <w:pPr>
              <w:pStyle w:val="TableContents"/>
              <w:bidi w:val="0"/>
              <w:spacing w:before="0" w:after="283"/>
              <w:jc w:val="right"/>
              <w:rPr/>
            </w:pPr>
            <w:r>
              <w:rPr/>
              <w:t>—</w:t>
            </w:r>
          </w:p>
        </w:tc>
        <w:tc>
          <w:tcPr>
            <w:tcW w:w="181" w:type="dxa"/>
            <w:tcBorders/>
            <w:shd w:fill="CCEEFF" w:val="clear"/>
            <w:tcMar>
              <w:top w:w="0" w:type="dxa"/>
              <w:left w:w="0" w:type="dxa"/>
              <w:bottom w:w="0" w:type="dxa"/>
              <w:right w:w="0" w:type="dxa"/>
            </w:tcMar>
            <w:vAlign w:val="bottom"/>
          </w:tcPr>
          <w:p>
            <w:pPr>
              <w:pStyle w:val="TableContents"/>
              <w:bidi w:val="0"/>
              <w:spacing w:before="0" w:after="283"/>
              <w:jc w:val="left"/>
              <w:rPr/>
            </w:pPr>
            <w:r>
              <w:rPr/>
            </w:r>
          </w:p>
        </w:tc>
        <w:tc>
          <w:tcPr>
            <w:tcW w:w="109" w:type="dxa"/>
            <w:tcBorders/>
            <w:shd w:fill="CCEEFF" w:val="clear"/>
            <w:tcMar>
              <w:top w:w="0" w:type="dxa"/>
              <w:left w:w="0" w:type="dxa"/>
              <w:bottom w:w="0" w:type="dxa"/>
              <w:right w:w="0" w:type="dxa"/>
            </w:tcMar>
            <w:vAlign w:val="bottom"/>
          </w:tcPr>
          <w:p>
            <w:pPr>
              <w:pStyle w:val="TableContents"/>
              <w:bidi w:val="0"/>
              <w:spacing w:before="0" w:after="283"/>
              <w:jc w:val="left"/>
              <w:rPr/>
            </w:pPr>
            <w:r>
              <w:rPr/>
            </w:r>
          </w:p>
        </w:tc>
        <w:tc>
          <w:tcPr>
            <w:tcW w:w="261" w:type="dxa"/>
            <w:tcBorders/>
            <w:shd w:fill="CCEEFF" w:val="clear"/>
            <w:tcMar>
              <w:top w:w="0" w:type="dxa"/>
              <w:left w:w="0" w:type="dxa"/>
              <w:bottom w:w="0" w:type="dxa"/>
              <w:right w:w="0" w:type="dxa"/>
            </w:tcMar>
            <w:vAlign w:val="bottom"/>
          </w:tcPr>
          <w:p>
            <w:pPr>
              <w:pStyle w:val="TableContents"/>
              <w:bidi w:val="0"/>
              <w:spacing w:before="0" w:after="283"/>
              <w:jc w:val="left"/>
              <w:rPr/>
            </w:pPr>
            <w:r>
              <w:rPr/>
            </w:r>
          </w:p>
        </w:tc>
        <w:tc>
          <w:tcPr>
            <w:tcW w:w="505" w:type="dxa"/>
            <w:tcBorders/>
            <w:shd w:fill="CCEEFF" w:val="clear"/>
            <w:tcMar>
              <w:top w:w="0" w:type="dxa"/>
              <w:left w:w="0" w:type="dxa"/>
              <w:bottom w:w="0" w:type="dxa"/>
              <w:right w:w="0" w:type="dxa"/>
            </w:tcMar>
            <w:vAlign w:val="bottom"/>
          </w:tcPr>
          <w:p>
            <w:pPr>
              <w:pStyle w:val="TableContents"/>
              <w:widowControl/>
              <w:bidi w:val="0"/>
              <w:spacing w:before="0" w:after="283"/>
              <w:ind w:left="0" w:right="0" w:hanging="0"/>
              <w:jc w:val="right"/>
              <w:rPr>
                <w:caps w:val="false"/>
                <w:smallCaps w:val="false"/>
                <w:color w:val="000000"/>
                <w:spacing w:val="0"/>
              </w:rPr>
            </w:pPr>
            <w:r>
              <w:rPr>
                <w:caps w:val="false"/>
                <w:smallCaps w:val="false"/>
                <w:color w:val="000000"/>
                <w:spacing w:val="0"/>
              </w:rPr>
              <w:t>—</w:t>
            </w:r>
          </w:p>
        </w:tc>
        <w:tc>
          <w:tcPr>
            <w:tcW w:w="109" w:type="dxa"/>
            <w:tcBorders/>
            <w:shd w:fill="CCEEFF" w:val="clear"/>
            <w:tcMar>
              <w:top w:w="0" w:type="dxa"/>
              <w:left w:w="0" w:type="dxa"/>
              <w:bottom w:w="0" w:type="dxa"/>
              <w:right w:w="0" w:type="dxa"/>
            </w:tcMar>
            <w:vAlign w:val="bottom"/>
          </w:tcPr>
          <w:p>
            <w:pPr>
              <w:pStyle w:val="TableContents"/>
              <w:bidi w:val="0"/>
              <w:spacing w:before="0" w:after="283"/>
              <w:jc w:val="left"/>
              <w:rPr/>
            </w:pPr>
            <w:r>
              <w:rPr/>
            </w:r>
          </w:p>
        </w:tc>
        <w:tc>
          <w:tcPr>
            <w:tcW w:w="109" w:type="dxa"/>
            <w:tcBorders/>
            <w:shd w:fill="CCEEFF" w:val="clear"/>
            <w:tcMar>
              <w:top w:w="0" w:type="dxa"/>
              <w:left w:w="0" w:type="dxa"/>
              <w:bottom w:w="0" w:type="dxa"/>
              <w:right w:w="0" w:type="dxa"/>
            </w:tcMar>
            <w:vAlign w:val="bottom"/>
          </w:tcPr>
          <w:p>
            <w:pPr>
              <w:pStyle w:val="TableContents"/>
              <w:bidi w:val="0"/>
              <w:spacing w:before="0" w:after="283"/>
              <w:jc w:val="left"/>
              <w:rPr/>
            </w:pPr>
            <w:r>
              <w:rPr/>
            </w:r>
          </w:p>
        </w:tc>
        <w:tc>
          <w:tcPr>
            <w:tcW w:w="247" w:type="dxa"/>
            <w:tcBorders/>
            <w:shd w:fill="CCEEFF" w:val="clear"/>
            <w:tcMar>
              <w:top w:w="0" w:type="dxa"/>
              <w:left w:w="0" w:type="dxa"/>
              <w:bottom w:w="0" w:type="dxa"/>
              <w:right w:w="0" w:type="dxa"/>
            </w:tcMar>
            <w:vAlign w:val="bottom"/>
          </w:tcPr>
          <w:p>
            <w:pPr>
              <w:pStyle w:val="TableContents"/>
              <w:bidi w:val="0"/>
              <w:spacing w:before="0" w:after="283"/>
              <w:jc w:val="left"/>
              <w:rPr/>
            </w:pPr>
            <w:r>
              <w:rPr/>
            </w:r>
          </w:p>
        </w:tc>
        <w:tc>
          <w:tcPr>
            <w:tcW w:w="969" w:type="dxa"/>
            <w:tcBorders/>
            <w:shd w:fill="CCEEFF" w:val="clear"/>
            <w:tcMar>
              <w:top w:w="0" w:type="dxa"/>
              <w:left w:w="0" w:type="dxa"/>
              <w:bottom w:w="0" w:type="dxa"/>
              <w:right w:w="0" w:type="dxa"/>
            </w:tcMar>
            <w:vAlign w:val="bottom"/>
          </w:tcPr>
          <w:p>
            <w:pPr>
              <w:pStyle w:val="TableContents"/>
              <w:bidi w:val="0"/>
              <w:spacing w:before="0" w:after="283"/>
              <w:jc w:val="right"/>
              <w:rPr/>
            </w:pPr>
            <w:r>
              <w:rPr/>
              <w:t>12.5</w:t>
            </w:r>
          </w:p>
        </w:tc>
        <w:tc>
          <w:tcPr>
            <w:tcW w:w="109" w:type="dxa"/>
            <w:tcBorders/>
            <w:shd w:fill="CCEEFF" w:val="clear"/>
            <w:tcMar>
              <w:top w:w="0" w:type="dxa"/>
              <w:left w:w="0" w:type="dxa"/>
              <w:bottom w:w="0" w:type="dxa"/>
              <w:right w:w="0" w:type="dxa"/>
            </w:tcMar>
            <w:vAlign w:val="bottom"/>
          </w:tcPr>
          <w:p>
            <w:pPr>
              <w:pStyle w:val="TableContents"/>
              <w:bidi w:val="0"/>
              <w:spacing w:before="0" w:after="283"/>
              <w:jc w:val="left"/>
              <w:rPr/>
            </w:pPr>
            <w:r>
              <w:rPr/>
            </w:r>
          </w:p>
        </w:tc>
        <w:tc>
          <w:tcPr>
            <w:tcW w:w="109" w:type="dxa"/>
            <w:tcBorders/>
            <w:shd w:fill="CCEEFF" w:val="clear"/>
            <w:tcMar>
              <w:top w:w="0" w:type="dxa"/>
              <w:left w:w="0" w:type="dxa"/>
              <w:bottom w:w="0" w:type="dxa"/>
              <w:right w:w="0" w:type="dxa"/>
            </w:tcMar>
            <w:vAlign w:val="bottom"/>
          </w:tcPr>
          <w:p>
            <w:pPr>
              <w:pStyle w:val="TableContents"/>
              <w:bidi w:val="0"/>
              <w:spacing w:before="0" w:after="283"/>
              <w:jc w:val="left"/>
              <w:rPr/>
            </w:pPr>
            <w:r>
              <w:rPr/>
            </w:r>
          </w:p>
        </w:tc>
        <w:tc>
          <w:tcPr>
            <w:tcW w:w="211" w:type="dxa"/>
            <w:tcBorders/>
            <w:shd w:fill="CCEEFF" w:val="clear"/>
            <w:tcMar>
              <w:top w:w="0" w:type="dxa"/>
              <w:left w:w="0" w:type="dxa"/>
              <w:bottom w:w="0" w:type="dxa"/>
              <w:right w:w="0" w:type="dxa"/>
            </w:tcMar>
            <w:vAlign w:val="bottom"/>
          </w:tcPr>
          <w:p>
            <w:pPr>
              <w:pStyle w:val="TableContents"/>
              <w:bidi w:val="0"/>
              <w:spacing w:before="0" w:after="283"/>
              <w:jc w:val="left"/>
              <w:rPr/>
            </w:pPr>
            <w:r>
              <w:rPr/>
            </w:r>
          </w:p>
        </w:tc>
        <w:tc>
          <w:tcPr>
            <w:tcW w:w="901" w:type="dxa"/>
            <w:tcBorders/>
            <w:shd w:fill="CCEEFF" w:val="clear"/>
            <w:tcMar>
              <w:top w:w="0" w:type="dxa"/>
              <w:left w:w="0" w:type="dxa"/>
              <w:bottom w:w="0" w:type="dxa"/>
              <w:right w:w="0" w:type="dxa"/>
            </w:tcMar>
            <w:vAlign w:val="bottom"/>
          </w:tcPr>
          <w:p>
            <w:pPr>
              <w:pStyle w:val="TableContents"/>
              <w:widowControl/>
              <w:bidi w:val="0"/>
              <w:spacing w:before="0" w:after="283"/>
              <w:ind w:left="0" w:right="0" w:hanging="0"/>
              <w:jc w:val="right"/>
              <w:rPr>
                <w:caps w:val="false"/>
                <w:smallCaps w:val="false"/>
                <w:color w:val="000000"/>
                <w:spacing w:val="0"/>
              </w:rPr>
            </w:pPr>
            <w:r>
              <w:rPr>
                <w:caps w:val="false"/>
                <w:smallCaps w:val="false"/>
                <w:color w:val="000000"/>
                <w:spacing w:val="0"/>
              </w:rPr>
              <w:t>—</w:t>
            </w:r>
          </w:p>
        </w:tc>
        <w:tc>
          <w:tcPr>
            <w:tcW w:w="226" w:type="dxa"/>
            <w:tcBorders/>
            <w:shd w:fill="CCEEFF" w:val="clear"/>
            <w:tcMar>
              <w:top w:w="0" w:type="dxa"/>
              <w:left w:w="0" w:type="dxa"/>
              <w:bottom w:w="0" w:type="dxa"/>
              <w:right w:w="0" w:type="dxa"/>
            </w:tcMar>
            <w:vAlign w:val="bottom"/>
          </w:tcPr>
          <w:p>
            <w:pPr>
              <w:pStyle w:val="TableContents"/>
              <w:bidi w:val="0"/>
              <w:spacing w:before="0" w:after="283"/>
              <w:jc w:val="left"/>
              <w:rPr/>
            </w:pPr>
            <w:r>
              <w:rPr/>
            </w:r>
          </w:p>
        </w:tc>
      </w:tr>
      <w:tr>
        <w:trPr/>
        <w:tc>
          <w:tcPr>
            <w:tcW w:w="3451" w:type="dxa"/>
            <w:tcBorders/>
            <w:vAlign w:val="bottom"/>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Repurchase of shares</w:t>
            </w:r>
          </w:p>
        </w:tc>
        <w:tc>
          <w:tcPr>
            <w:tcW w:w="109" w:type="dxa"/>
            <w:tcBorders/>
            <w:tcMar>
              <w:top w:w="0" w:type="dxa"/>
              <w:left w:w="0" w:type="dxa"/>
              <w:bottom w:w="0" w:type="dxa"/>
              <w:right w:w="0" w:type="dxa"/>
            </w:tcMar>
            <w:vAlign w:val="bottom"/>
          </w:tcPr>
          <w:p>
            <w:pPr>
              <w:pStyle w:val="TableContents"/>
              <w:bidi w:val="0"/>
              <w:spacing w:before="0" w:after="283"/>
              <w:jc w:val="left"/>
              <w:rPr/>
            </w:pPr>
            <w:r>
              <w:rPr/>
            </w:r>
          </w:p>
        </w:tc>
        <w:tc>
          <w:tcPr>
            <w:tcW w:w="1531" w:type="dxa"/>
            <w:tcBorders/>
            <w:tcMar>
              <w:top w:w="0" w:type="dxa"/>
              <w:left w:w="0" w:type="dxa"/>
              <w:bottom w:w="0" w:type="dxa"/>
              <w:right w:w="0" w:type="dxa"/>
            </w:tcMar>
            <w:vAlign w:val="bottom"/>
          </w:tcPr>
          <w:p>
            <w:pPr>
              <w:pStyle w:val="TableContents"/>
              <w:bidi w:val="0"/>
              <w:spacing w:before="0" w:after="283"/>
              <w:jc w:val="right"/>
              <w:rPr/>
            </w:pPr>
            <w:r>
              <w:rPr/>
              <w:t>—</w:t>
            </w:r>
          </w:p>
        </w:tc>
        <w:tc>
          <w:tcPr>
            <w:tcW w:w="181" w:type="dxa"/>
            <w:tcBorders/>
            <w:tcMar>
              <w:top w:w="0" w:type="dxa"/>
              <w:left w:w="0" w:type="dxa"/>
              <w:bottom w:w="0" w:type="dxa"/>
              <w:right w:w="0" w:type="dxa"/>
            </w:tcMar>
            <w:vAlign w:val="bottom"/>
          </w:tcPr>
          <w:p>
            <w:pPr>
              <w:pStyle w:val="TableContents"/>
              <w:bidi w:val="0"/>
              <w:spacing w:before="0" w:after="283"/>
              <w:jc w:val="left"/>
              <w:rPr/>
            </w:pPr>
            <w:r>
              <w:rPr/>
            </w:r>
          </w:p>
        </w:tc>
        <w:tc>
          <w:tcPr>
            <w:tcW w:w="109" w:type="dxa"/>
            <w:tcBorders/>
            <w:tcMar>
              <w:top w:w="0" w:type="dxa"/>
              <w:left w:w="0" w:type="dxa"/>
              <w:bottom w:w="0" w:type="dxa"/>
              <w:right w:w="0" w:type="dxa"/>
            </w:tcMar>
            <w:vAlign w:val="bottom"/>
          </w:tcPr>
          <w:p>
            <w:pPr>
              <w:pStyle w:val="TableContents"/>
              <w:bidi w:val="0"/>
              <w:spacing w:before="0" w:after="283"/>
              <w:jc w:val="left"/>
              <w:rPr/>
            </w:pPr>
            <w:r>
              <w:rPr/>
            </w:r>
          </w:p>
        </w:tc>
        <w:tc>
          <w:tcPr>
            <w:tcW w:w="261" w:type="dxa"/>
            <w:tcBorders/>
            <w:tcMar>
              <w:top w:w="0" w:type="dxa"/>
              <w:left w:w="0" w:type="dxa"/>
              <w:bottom w:w="0" w:type="dxa"/>
              <w:right w:w="0" w:type="dxa"/>
            </w:tcMar>
            <w:vAlign w:val="bottom"/>
          </w:tcPr>
          <w:p>
            <w:pPr>
              <w:pStyle w:val="TableContents"/>
              <w:bidi w:val="0"/>
              <w:spacing w:before="0" w:after="283"/>
              <w:jc w:val="left"/>
              <w:rPr/>
            </w:pPr>
            <w:r>
              <w:rPr/>
            </w:r>
          </w:p>
        </w:tc>
        <w:tc>
          <w:tcPr>
            <w:tcW w:w="505" w:type="dxa"/>
            <w:tcBorders/>
            <w:tcMar>
              <w:top w:w="0" w:type="dxa"/>
              <w:left w:w="0" w:type="dxa"/>
              <w:bottom w:w="0" w:type="dxa"/>
              <w:right w:w="0" w:type="dxa"/>
            </w:tcMar>
            <w:vAlign w:val="bottom"/>
          </w:tcPr>
          <w:p>
            <w:pPr>
              <w:pStyle w:val="TableContents"/>
              <w:widowControl/>
              <w:bidi w:val="0"/>
              <w:spacing w:before="0" w:after="283"/>
              <w:ind w:left="0" w:right="0" w:hanging="0"/>
              <w:jc w:val="right"/>
              <w:rPr>
                <w:caps w:val="false"/>
                <w:smallCaps w:val="false"/>
                <w:color w:val="000000"/>
                <w:spacing w:val="0"/>
              </w:rPr>
            </w:pPr>
            <w:r>
              <w:rPr>
                <w:caps w:val="false"/>
                <w:smallCaps w:val="false"/>
                <w:color w:val="000000"/>
                <w:spacing w:val="0"/>
              </w:rPr>
              <w:t>—</w:t>
            </w:r>
          </w:p>
        </w:tc>
        <w:tc>
          <w:tcPr>
            <w:tcW w:w="109" w:type="dxa"/>
            <w:tcBorders/>
            <w:tcMar>
              <w:top w:w="0" w:type="dxa"/>
              <w:left w:w="0" w:type="dxa"/>
              <w:bottom w:w="0" w:type="dxa"/>
              <w:right w:w="0" w:type="dxa"/>
            </w:tcMar>
            <w:vAlign w:val="bottom"/>
          </w:tcPr>
          <w:p>
            <w:pPr>
              <w:pStyle w:val="TableContents"/>
              <w:bidi w:val="0"/>
              <w:spacing w:before="0" w:after="283"/>
              <w:jc w:val="left"/>
              <w:rPr/>
            </w:pPr>
            <w:r>
              <w:rPr/>
            </w:r>
          </w:p>
        </w:tc>
        <w:tc>
          <w:tcPr>
            <w:tcW w:w="109" w:type="dxa"/>
            <w:tcBorders/>
            <w:tcMar>
              <w:top w:w="0" w:type="dxa"/>
              <w:left w:w="0" w:type="dxa"/>
              <w:bottom w:w="0" w:type="dxa"/>
              <w:right w:w="0" w:type="dxa"/>
            </w:tcMar>
            <w:vAlign w:val="bottom"/>
          </w:tcPr>
          <w:p>
            <w:pPr>
              <w:pStyle w:val="TableContents"/>
              <w:bidi w:val="0"/>
              <w:spacing w:before="0" w:after="283"/>
              <w:jc w:val="left"/>
              <w:rPr/>
            </w:pPr>
            <w:r>
              <w:rPr/>
            </w:r>
          </w:p>
        </w:tc>
        <w:tc>
          <w:tcPr>
            <w:tcW w:w="247" w:type="dxa"/>
            <w:tcBorders/>
            <w:tcMar>
              <w:top w:w="0" w:type="dxa"/>
              <w:left w:w="0" w:type="dxa"/>
              <w:bottom w:w="0" w:type="dxa"/>
              <w:right w:w="0" w:type="dxa"/>
            </w:tcMar>
            <w:vAlign w:val="bottom"/>
          </w:tcPr>
          <w:p>
            <w:pPr>
              <w:pStyle w:val="TableContents"/>
              <w:bidi w:val="0"/>
              <w:spacing w:before="0" w:after="283"/>
              <w:jc w:val="left"/>
              <w:rPr/>
            </w:pPr>
            <w:r>
              <w:rPr/>
            </w:r>
          </w:p>
        </w:tc>
        <w:tc>
          <w:tcPr>
            <w:tcW w:w="969" w:type="dxa"/>
            <w:tcBorders/>
            <w:tcMar>
              <w:top w:w="0" w:type="dxa"/>
              <w:left w:w="0" w:type="dxa"/>
              <w:bottom w:w="0" w:type="dxa"/>
              <w:right w:w="0" w:type="dxa"/>
            </w:tcMar>
            <w:vAlign w:val="bottom"/>
          </w:tcPr>
          <w:p>
            <w:pPr>
              <w:pStyle w:val="TableContents"/>
              <w:bidi w:val="0"/>
              <w:spacing w:before="0" w:after="283"/>
              <w:jc w:val="right"/>
              <w:rPr/>
            </w:pPr>
            <w:r>
              <w:rPr/>
              <w:t>—</w:t>
            </w:r>
          </w:p>
        </w:tc>
        <w:tc>
          <w:tcPr>
            <w:tcW w:w="109" w:type="dxa"/>
            <w:tcBorders/>
            <w:tcMar>
              <w:top w:w="0" w:type="dxa"/>
              <w:left w:w="0" w:type="dxa"/>
              <w:bottom w:w="0" w:type="dxa"/>
              <w:right w:w="0" w:type="dxa"/>
            </w:tcMar>
            <w:vAlign w:val="bottom"/>
          </w:tcPr>
          <w:p>
            <w:pPr>
              <w:pStyle w:val="TableContents"/>
              <w:bidi w:val="0"/>
              <w:spacing w:before="0" w:after="283"/>
              <w:jc w:val="left"/>
              <w:rPr/>
            </w:pPr>
            <w:r>
              <w:rPr/>
            </w:r>
          </w:p>
        </w:tc>
        <w:tc>
          <w:tcPr>
            <w:tcW w:w="109" w:type="dxa"/>
            <w:tcBorders/>
            <w:tcMar>
              <w:top w:w="0" w:type="dxa"/>
              <w:left w:w="0" w:type="dxa"/>
              <w:bottom w:w="0" w:type="dxa"/>
              <w:right w:w="0" w:type="dxa"/>
            </w:tcMar>
            <w:vAlign w:val="bottom"/>
          </w:tcPr>
          <w:p>
            <w:pPr>
              <w:pStyle w:val="TableContents"/>
              <w:bidi w:val="0"/>
              <w:spacing w:before="0" w:after="283"/>
              <w:jc w:val="left"/>
              <w:rPr/>
            </w:pPr>
            <w:r>
              <w:rPr/>
            </w:r>
          </w:p>
        </w:tc>
        <w:tc>
          <w:tcPr>
            <w:tcW w:w="211" w:type="dxa"/>
            <w:tcBorders/>
            <w:tcMar>
              <w:top w:w="0" w:type="dxa"/>
              <w:left w:w="0" w:type="dxa"/>
              <w:bottom w:w="0" w:type="dxa"/>
              <w:right w:w="0" w:type="dxa"/>
            </w:tcMar>
            <w:vAlign w:val="bottom"/>
          </w:tcPr>
          <w:p>
            <w:pPr>
              <w:pStyle w:val="TableContents"/>
              <w:bidi w:val="0"/>
              <w:spacing w:before="0" w:after="283"/>
              <w:jc w:val="left"/>
              <w:rPr/>
            </w:pPr>
            <w:r>
              <w:rPr/>
            </w:r>
          </w:p>
        </w:tc>
        <w:tc>
          <w:tcPr>
            <w:tcW w:w="901" w:type="dxa"/>
            <w:tcBorders/>
            <w:tcMar>
              <w:top w:w="0" w:type="dxa"/>
              <w:left w:w="0" w:type="dxa"/>
              <w:bottom w:w="0" w:type="dxa"/>
              <w:right w:w="0" w:type="dxa"/>
            </w:tcMar>
            <w:vAlign w:val="bottom"/>
          </w:tcPr>
          <w:p>
            <w:pPr>
              <w:pStyle w:val="TableContents"/>
              <w:widowControl/>
              <w:bidi w:val="0"/>
              <w:spacing w:before="0" w:after="283"/>
              <w:ind w:left="0" w:right="0" w:hanging="0"/>
              <w:jc w:val="right"/>
              <w:rPr>
                <w:caps w:val="false"/>
                <w:smallCaps w:val="false"/>
                <w:color w:val="000000"/>
                <w:spacing w:val="0"/>
              </w:rPr>
            </w:pPr>
            <w:r>
              <w:rPr>
                <w:caps w:val="false"/>
                <w:smallCaps w:val="false"/>
                <w:color w:val="000000"/>
                <w:spacing w:val="0"/>
              </w:rPr>
              <w:t>—</w:t>
            </w:r>
          </w:p>
        </w:tc>
        <w:tc>
          <w:tcPr>
            <w:tcW w:w="226" w:type="dxa"/>
            <w:tcBorders/>
            <w:tcMar>
              <w:top w:w="0" w:type="dxa"/>
              <w:left w:w="0" w:type="dxa"/>
              <w:bottom w:w="0" w:type="dxa"/>
              <w:right w:w="0" w:type="dxa"/>
            </w:tcMar>
            <w:vAlign w:val="bottom"/>
          </w:tcPr>
          <w:p>
            <w:pPr>
              <w:pStyle w:val="TableContents"/>
              <w:bidi w:val="0"/>
              <w:spacing w:before="0" w:after="283"/>
              <w:jc w:val="left"/>
              <w:rPr/>
            </w:pPr>
            <w:r>
              <w:rPr/>
            </w:r>
          </w:p>
        </w:tc>
      </w:tr>
      <w:tr>
        <w:trPr/>
        <w:tc>
          <w:tcPr>
            <w:tcW w:w="3451" w:type="dxa"/>
            <w:tcBorders/>
            <w:shd w:fill="CCEEFF" w:val="clear"/>
            <w:vAlign w:val="bottom"/>
          </w:tcPr>
          <w:p>
            <w:pPr>
              <w:pStyle w:val="TableContents"/>
              <w:bidi w:val="0"/>
              <w:spacing w:before="0" w:after="283"/>
              <w:jc w:val="left"/>
              <w:rPr/>
            </w:pPr>
            <w:r>
              <w:rPr/>
              <w:t>Balance as of  March 31, 2024</w:t>
            </w:r>
          </w:p>
        </w:tc>
        <w:tc>
          <w:tcPr>
            <w:tcW w:w="109" w:type="dxa"/>
            <w:tcBorders/>
            <w:shd w:fill="CCEEFF" w:val="clear"/>
            <w:tcMar>
              <w:top w:w="0" w:type="dxa"/>
              <w:left w:w="0" w:type="dxa"/>
              <w:bottom w:w="0" w:type="dxa"/>
              <w:right w:w="0" w:type="dxa"/>
            </w:tcMar>
            <w:vAlign w:val="bottom"/>
          </w:tcPr>
          <w:p>
            <w:pPr>
              <w:pStyle w:val="TableContents"/>
              <w:bidi w:val="0"/>
              <w:spacing w:before="0" w:after="283"/>
              <w:jc w:val="left"/>
              <w:rPr/>
            </w:pPr>
            <w:r>
              <w:rPr/>
            </w:r>
          </w:p>
        </w:tc>
        <w:tc>
          <w:tcPr>
            <w:tcW w:w="1531" w:type="dxa"/>
            <w:tcBorders/>
            <w:shd w:fill="CCEEFF" w:val="clear"/>
            <w:tcMar>
              <w:top w:w="0" w:type="dxa"/>
              <w:left w:w="0" w:type="dxa"/>
              <w:bottom w:w="0" w:type="dxa"/>
              <w:right w:w="0" w:type="dxa"/>
            </w:tcMar>
            <w:vAlign w:val="bottom"/>
          </w:tcPr>
          <w:p>
            <w:pPr>
              <w:pStyle w:val="TableContents"/>
              <w:bidi w:val="0"/>
              <w:spacing w:before="0" w:after="283"/>
              <w:jc w:val="right"/>
              <w:rPr/>
            </w:pPr>
            <w:r>
              <w:rPr/>
              <w:t>45,868,774</w:t>
            </w:r>
          </w:p>
        </w:tc>
        <w:tc>
          <w:tcPr>
            <w:tcW w:w="181" w:type="dxa"/>
            <w:tcBorders/>
            <w:shd w:fill="CCEEFF" w:val="clear"/>
            <w:tcMar>
              <w:top w:w="0" w:type="dxa"/>
              <w:left w:w="0" w:type="dxa"/>
              <w:bottom w:w="0" w:type="dxa"/>
              <w:right w:w="0" w:type="dxa"/>
            </w:tcMar>
            <w:vAlign w:val="bottom"/>
          </w:tcPr>
          <w:p>
            <w:pPr>
              <w:pStyle w:val="TableContents"/>
              <w:bidi w:val="0"/>
              <w:spacing w:before="0" w:after="283"/>
              <w:jc w:val="left"/>
              <w:rPr/>
            </w:pPr>
            <w:r>
              <w:rPr/>
            </w:r>
          </w:p>
        </w:tc>
        <w:tc>
          <w:tcPr>
            <w:tcW w:w="109" w:type="dxa"/>
            <w:tcBorders/>
            <w:shd w:fill="CCEEFF" w:val="clear"/>
            <w:tcMar>
              <w:top w:w="0" w:type="dxa"/>
              <w:left w:w="0" w:type="dxa"/>
              <w:bottom w:w="0" w:type="dxa"/>
              <w:right w:w="0" w:type="dxa"/>
            </w:tcMar>
            <w:vAlign w:val="bottom"/>
          </w:tcPr>
          <w:p>
            <w:pPr>
              <w:pStyle w:val="TableContents"/>
              <w:bidi w:val="0"/>
              <w:spacing w:before="0" w:after="283"/>
              <w:jc w:val="left"/>
              <w:rPr/>
            </w:pPr>
            <w:r>
              <w:rPr/>
            </w:r>
          </w:p>
        </w:tc>
        <w:tc>
          <w:tcPr>
            <w:tcW w:w="261" w:type="dxa"/>
            <w:tcBorders/>
            <w:shd w:fill="CCEEFF" w:val="clear"/>
            <w:tcMar>
              <w:top w:w="0" w:type="dxa"/>
              <w:left w:w="0" w:type="dxa"/>
              <w:bottom w:w="0" w:type="dxa"/>
              <w:right w:w="0" w:type="dxa"/>
            </w:tcMar>
            <w:vAlign w:val="bottom"/>
          </w:tcPr>
          <w:p>
            <w:pPr>
              <w:pStyle w:val="TableContents"/>
              <w:bidi w:val="0"/>
              <w:spacing w:before="0" w:after="283"/>
              <w:jc w:val="left"/>
              <w:rPr/>
            </w:pPr>
            <w:r>
              <w:rPr/>
            </w:r>
          </w:p>
        </w:tc>
        <w:tc>
          <w:tcPr>
            <w:tcW w:w="505" w:type="dxa"/>
            <w:tcBorders/>
            <w:shd w:fill="CCEEFF" w:val="clear"/>
            <w:tcMar>
              <w:top w:w="0" w:type="dxa"/>
              <w:left w:w="0" w:type="dxa"/>
              <w:bottom w:w="0" w:type="dxa"/>
              <w:right w:w="0" w:type="dxa"/>
            </w:tcMar>
            <w:vAlign w:val="bottom"/>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1.3</w:t>
            </w:r>
          </w:p>
        </w:tc>
        <w:tc>
          <w:tcPr>
            <w:tcW w:w="109" w:type="dxa"/>
            <w:tcBorders/>
            <w:shd w:fill="CCEEFF" w:val="clear"/>
            <w:tcMar>
              <w:top w:w="0" w:type="dxa"/>
              <w:left w:w="0" w:type="dxa"/>
              <w:bottom w:w="0" w:type="dxa"/>
              <w:right w:w="0" w:type="dxa"/>
            </w:tcMar>
            <w:vAlign w:val="bottom"/>
          </w:tcPr>
          <w:p>
            <w:pPr>
              <w:pStyle w:val="TableContents"/>
              <w:bidi w:val="0"/>
              <w:spacing w:before="0" w:after="283"/>
              <w:jc w:val="left"/>
              <w:rPr/>
            </w:pPr>
            <w:r>
              <w:rPr/>
            </w:r>
          </w:p>
        </w:tc>
        <w:tc>
          <w:tcPr>
            <w:tcW w:w="109" w:type="dxa"/>
            <w:tcBorders/>
            <w:shd w:fill="CCEEFF" w:val="clear"/>
            <w:tcMar>
              <w:top w:w="0" w:type="dxa"/>
              <w:left w:w="0" w:type="dxa"/>
              <w:bottom w:w="0" w:type="dxa"/>
              <w:right w:w="0" w:type="dxa"/>
            </w:tcMar>
            <w:vAlign w:val="bottom"/>
          </w:tcPr>
          <w:p>
            <w:pPr>
              <w:pStyle w:val="TableContents"/>
              <w:bidi w:val="0"/>
              <w:spacing w:before="0" w:after="283"/>
              <w:jc w:val="left"/>
              <w:rPr/>
            </w:pPr>
            <w:r>
              <w:rPr/>
            </w:r>
          </w:p>
        </w:tc>
        <w:tc>
          <w:tcPr>
            <w:tcW w:w="247" w:type="dxa"/>
            <w:tcBorders/>
            <w:shd w:fill="CCEEFF" w:val="clear"/>
            <w:tcMar>
              <w:top w:w="0" w:type="dxa"/>
              <w:left w:w="0" w:type="dxa"/>
              <w:bottom w:w="0" w:type="dxa"/>
              <w:right w:w="0" w:type="dxa"/>
            </w:tcMar>
            <w:vAlign w:val="bottom"/>
          </w:tcPr>
          <w:p>
            <w:pPr>
              <w:pStyle w:val="TableContents"/>
              <w:bidi w:val="0"/>
              <w:spacing w:before="0" w:after="283"/>
              <w:jc w:val="left"/>
              <w:rPr/>
            </w:pPr>
            <w:r>
              <w:rPr/>
            </w:r>
          </w:p>
        </w:tc>
        <w:tc>
          <w:tcPr>
            <w:tcW w:w="969" w:type="dxa"/>
            <w:tcBorders/>
            <w:shd w:fill="CCEEFF" w:val="clear"/>
            <w:tcMar>
              <w:top w:w="0" w:type="dxa"/>
              <w:left w:w="0" w:type="dxa"/>
              <w:bottom w:w="0" w:type="dxa"/>
              <w:right w:w="0" w:type="dxa"/>
            </w:tcMar>
            <w:vAlign w:val="bottom"/>
          </w:tcPr>
          <w:p>
            <w:pPr>
              <w:pStyle w:val="TableContents"/>
              <w:bidi w:val="0"/>
              <w:spacing w:before="0" w:after="283"/>
              <w:jc w:val="right"/>
              <w:rPr/>
            </w:pPr>
            <w:r>
              <w:rPr/>
              <w:t>1,324.8</w:t>
            </w:r>
          </w:p>
        </w:tc>
        <w:tc>
          <w:tcPr>
            <w:tcW w:w="109" w:type="dxa"/>
            <w:tcBorders/>
            <w:shd w:fill="CCEEFF" w:val="clear"/>
            <w:tcMar>
              <w:top w:w="0" w:type="dxa"/>
              <w:left w:w="0" w:type="dxa"/>
              <w:bottom w:w="0" w:type="dxa"/>
              <w:right w:w="0" w:type="dxa"/>
            </w:tcMar>
            <w:vAlign w:val="bottom"/>
          </w:tcPr>
          <w:p>
            <w:pPr>
              <w:pStyle w:val="TableContents"/>
              <w:bidi w:val="0"/>
              <w:spacing w:before="0" w:after="283"/>
              <w:jc w:val="left"/>
              <w:rPr/>
            </w:pPr>
            <w:r>
              <w:rPr/>
            </w:r>
          </w:p>
        </w:tc>
        <w:tc>
          <w:tcPr>
            <w:tcW w:w="109" w:type="dxa"/>
            <w:tcBorders/>
            <w:shd w:fill="CCEEFF" w:val="clear"/>
            <w:tcMar>
              <w:top w:w="0" w:type="dxa"/>
              <w:left w:w="0" w:type="dxa"/>
              <w:bottom w:w="0" w:type="dxa"/>
              <w:right w:w="0" w:type="dxa"/>
            </w:tcMar>
            <w:vAlign w:val="bottom"/>
          </w:tcPr>
          <w:p>
            <w:pPr>
              <w:pStyle w:val="TableContents"/>
              <w:bidi w:val="0"/>
              <w:spacing w:before="0" w:after="283"/>
              <w:jc w:val="left"/>
              <w:rPr/>
            </w:pPr>
            <w:r>
              <w:rPr/>
            </w:r>
          </w:p>
        </w:tc>
        <w:tc>
          <w:tcPr>
            <w:tcW w:w="211" w:type="dxa"/>
            <w:tcBorders/>
            <w:shd w:fill="CCEEFF" w:val="clear"/>
            <w:tcMar>
              <w:top w:w="0" w:type="dxa"/>
              <w:left w:w="0" w:type="dxa"/>
              <w:bottom w:w="0" w:type="dxa"/>
              <w:right w:w="0" w:type="dxa"/>
            </w:tcMar>
            <w:vAlign w:val="bottom"/>
          </w:tcPr>
          <w:p>
            <w:pPr>
              <w:pStyle w:val="TableContents"/>
              <w:bidi w:val="0"/>
              <w:spacing w:before="0" w:after="283"/>
              <w:jc w:val="left"/>
              <w:rPr/>
            </w:pPr>
            <w:r>
              <w:rPr/>
            </w:r>
          </w:p>
        </w:tc>
        <w:tc>
          <w:tcPr>
            <w:tcW w:w="901" w:type="dxa"/>
            <w:tcBorders/>
            <w:shd w:fill="CCEEFF" w:val="clear"/>
            <w:tcMar>
              <w:top w:w="0" w:type="dxa"/>
              <w:left w:w="0" w:type="dxa"/>
              <w:bottom w:w="0" w:type="dxa"/>
              <w:right w:w="0" w:type="dxa"/>
            </w:tcMar>
            <w:vAlign w:val="bottom"/>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(1,488.2</w:t>
            </w:r>
          </w:p>
        </w:tc>
        <w:tc>
          <w:tcPr>
            <w:tcW w:w="226" w:type="dxa"/>
            <w:tcBorders/>
            <w:shd w:fill="CCEEFF" w:val="clear"/>
            <w:tcMar>
              <w:top w:w="0" w:type="dxa"/>
              <w:left w:w="0" w:type="dxa"/>
              <w:bottom w:w="0" w:type="dxa"/>
              <w:right w:w="0" w:type="dxa"/>
            </w:tcMar>
            <w:vAlign w:val="bottom"/>
          </w:tcPr>
          <w:p>
            <w:pPr>
              <w:pStyle w:val="TableContents"/>
              <w:bidi w:val="0"/>
              <w:spacing w:before="0" w:after="283"/>
              <w:jc w:val="left"/>
              <w:rPr/>
            </w:pPr>
            <w:r>
              <w:rPr/>
              <w:t>)</w:t>
            </w:r>
          </w:p>
        </w:tc>
      </w:tr>
      <w:tr>
        <w:trPr/>
        <w:tc>
          <w:tcPr>
            <w:tcW w:w="3451"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Net income (loss)</w:t>
            </w:r>
          </w:p>
        </w:tc>
        <w:tc>
          <w:tcPr>
            <w:tcW w:w="109" w:type="dxa"/>
            <w:tcBorders/>
            <w:tcMar>
              <w:top w:w="0" w:type="dxa"/>
              <w:left w:w="0" w:type="dxa"/>
              <w:bottom w:w="0" w:type="dxa"/>
              <w:right w:w="0" w:type="dxa"/>
            </w:tcMar>
            <w:vAlign w:val="center"/>
          </w:tcPr>
          <w:p>
            <w:pPr>
              <w:pStyle w:val="TableContents"/>
              <w:bidi w:val="0"/>
              <w:spacing w:before="0" w:after="283"/>
              <w:jc w:val="left"/>
              <w:rPr/>
            </w:pPr>
            <w:r>
              <w:rPr/>
            </w:r>
          </w:p>
        </w:tc>
        <w:tc>
          <w:tcPr>
            <w:tcW w:w="1531" w:type="dxa"/>
            <w:tcBorders/>
            <w:tcMar>
              <w:top w:w="0" w:type="dxa"/>
              <w:left w:w="0" w:type="dxa"/>
              <w:bottom w:w="0" w:type="dxa"/>
              <w:right w:w="0" w:type="dxa"/>
            </w:tcMar>
            <w:vAlign w:val="center"/>
          </w:tcPr>
          <w:p>
            <w:pPr>
              <w:pStyle w:val="TableContents"/>
              <w:bidi w:val="0"/>
              <w:spacing w:before="0" w:after="283"/>
              <w:jc w:val="right"/>
              <w:rPr/>
            </w:pPr>
            <w:r>
              <w:rPr/>
              <w:t>—</w:t>
            </w:r>
          </w:p>
        </w:tc>
        <w:tc>
          <w:tcPr>
            <w:tcW w:w="181" w:type="dxa"/>
            <w:tcBorders/>
            <w:tcMar>
              <w:top w:w="0" w:type="dxa"/>
              <w:left w:w="0" w:type="dxa"/>
              <w:bottom w:w="0" w:type="dxa"/>
              <w:right w:w="0" w:type="dxa"/>
            </w:tcMar>
            <w:vAlign w:val="center"/>
          </w:tcPr>
          <w:p>
            <w:pPr>
              <w:pStyle w:val="TableContents"/>
              <w:bidi w:val="0"/>
              <w:spacing w:before="0" w:after="283"/>
              <w:jc w:val="left"/>
              <w:rPr/>
            </w:pPr>
            <w:r>
              <w:rPr/>
            </w:r>
          </w:p>
        </w:tc>
        <w:tc>
          <w:tcPr>
            <w:tcW w:w="109" w:type="dxa"/>
            <w:tcBorders/>
            <w:tcMar>
              <w:top w:w="0" w:type="dxa"/>
              <w:left w:w="0" w:type="dxa"/>
              <w:bottom w:w="0" w:type="dxa"/>
              <w:right w:w="0" w:type="dxa"/>
            </w:tcMar>
            <w:vAlign w:val="center"/>
          </w:tcPr>
          <w:p>
            <w:pPr>
              <w:pStyle w:val="TableContents"/>
              <w:bidi w:val="0"/>
              <w:spacing w:before="0" w:after="283"/>
              <w:jc w:val="left"/>
              <w:rPr/>
            </w:pPr>
            <w:r>
              <w:rPr/>
            </w:r>
          </w:p>
        </w:tc>
        <w:tc>
          <w:tcPr>
            <w:tcW w:w="261" w:type="dxa"/>
            <w:tcBorders/>
            <w:tcMar>
              <w:top w:w="0" w:type="dxa"/>
              <w:left w:w="0" w:type="dxa"/>
              <w:bottom w:w="0" w:type="dxa"/>
              <w:right w:w="0" w:type="dxa"/>
            </w:tcMar>
            <w:vAlign w:val="center"/>
          </w:tcPr>
          <w:p>
            <w:pPr>
              <w:pStyle w:val="TableContents"/>
              <w:bidi w:val="0"/>
              <w:spacing w:before="0" w:after="283"/>
              <w:jc w:val="left"/>
              <w:rPr/>
            </w:pPr>
            <w:r>
              <w:rPr/>
            </w:r>
          </w:p>
        </w:tc>
        <w:tc>
          <w:tcPr>
            <w:tcW w:w="505" w:type="dxa"/>
            <w:tcBorders/>
            <w:tcMar>
              <w:top w:w="0" w:type="dxa"/>
              <w:left w:w="0" w:type="dxa"/>
              <w:bottom w:w="0" w:type="dxa"/>
              <w:right w:w="0" w:type="dxa"/>
            </w:tcMar>
            <w:vAlign w:val="center"/>
          </w:tcPr>
          <w:p>
            <w:pPr>
              <w:pStyle w:val="TableContents"/>
              <w:bidi w:val="0"/>
              <w:spacing w:before="0" w:after="283"/>
              <w:jc w:val="right"/>
              <w:rPr/>
            </w:pPr>
            <w:r>
              <w:rPr/>
              <w:t>—</w:t>
            </w:r>
          </w:p>
        </w:tc>
        <w:tc>
          <w:tcPr>
            <w:tcW w:w="109" w:type="dxa"/>
            <w:tcBorders/>
            <w:tcMar>
              <w:top w:w="0" w:type="dxa"/>
              <w:left w:w="0" w:type="dxa"/>
              <w:bottom w:w="0" w:type="dxa"/>
              <w:right w:w="0" w:type="dxa"/>
            </w:tcMar>
            <w:vAlign w:val="center"/>
          </w:tcPr>
          <w:p>
            <w:pPr>
              <w:pStyle w:val="TableContents"/>
              <w:bidi w:val="0"/>
              <w:spacing w:before="0" w:after="283"/>
              <w:jc w:val="left"/>
              <w:rPr/>
            </w:pPr>
            <w:r>
              <w:rPr/>
            </w:r>
          </w:p>
        </w:tc>
        <w:tc>
          <w:tcPr>
            <w:tcW w:w="109" w:type="dxa"/>
            <w:tcBorders/>
            <w:tcMar>
              <w:top w:w="0" w:type="dxa"/>
              <w:left w:w="0" w:type="dxa"/>
              <w:bottom w:w="0" w:type="dxa"/>
              <w:right w:w="0" w:type="dxa"/>
            </w:tcMar>
            <w:vAlign w:val="center"/>
          </w:tcPr>
          <w:p>
            <w:pPr>
              <w:pStyle w:val="TableContents"/>
              <w:bidi w:val="0"/>
              <w:spacing w:before="0" w:after="283"/>
              <w:jc w:val="left"/>
              <w:rPr/>
            </w:pPr>
            <w:r>
              <w:rPr/>
            </w:r>
          </w:p>
        </w:tc>
        <w:tc>
          <w:tcPr>
            <w:tcW w:w="247" w:type="dxa"/>
            <w:tcBorders/>
            <w:tcMar>
              <w:top w:w="0" w:type="dxa"/>
              <w:left w:w="0" w:type="dxa"/>
              <w:bottom w:w="0" w:type="dxa"/>
              <w:right w:w="0" w:type="dxa"/>
            </w:tcMar>
            <w:vAlign w:val="center"/>
          </w:tcPr>
          <w:p>
            <w:pPr>
              <w:pStyle w:val="TableContents"/>
              <w:bidi w:val="0"/>
              <w:spacing w:before="0" w:after="283"/>
              <w:jc w:val="left"/>
              <w:rPr/>
            </w:pPr>
            <w:r>
              <w:rPr/>
            </w:r>
          </w:p>
        </w:tc>
        <w:tc>
          <w:tcPr>
            <w:tcW w:w="969" w:type="dxa"/>
            <w:tcBorders/>
            <w:tcMar>
              <w:top w:w="0" w:type="dxa"/>
              <w:left w:w="0" w:type="dxa"/>
              <w:bottom w:w="0" w:type="dxa"/>
              <w:right w:w="0" w:type="dxa"/>
            </w:tcMar>
            <w:vAlign w:val="center"/>
          </w:tcPr>
          <w:p>
            <w:pPr>
              <w:pStyle w:val="TableContents"/>
              <w:bidi w:val="0"/>
              <w:spacing w:before="0" w:after="283"/>
              <w:jc w:val="right"/>
              <w:rPr/>
            </w:pPr>
            <w:r>
              <w:rPr/>
              <w:t>—</w:t>
            </w:r>
          </w:p>
        </w:tc>
        <w:tc>
          <w:tcPr>
            <w:tcW w:w="109" w:type="dxa"/>
            <w:tcBorders/>
            <w:tcMar>
              <w:top w:w="0" w:type="dxa"/>
              <w:left w:w="0" w:type="dxa"/>
              <w:bottom w:w="0" w:type="dxa"/>
              <w:right w:w="0" w:type="dxa"/>
            </w:tcMar>
            <w:vAlign w:val="center"/>
          </w:tcPr>
          <w:p>
            <w:pPr>
              <w:pStyle w:val="TableContents"/>
              <w:bidi w:val="0"/>
              <w:spacing w:before="0" w:after="283"/>
              <w:jc w:val="left"/>
              <w:rPr/>
            </w:pPr>
            <w:r>
              <w:rPr/>
            </w:r>
          </w:p>
        </w:tc>
        <w:tc>
          <w:tcPr>
            <w:tcW w:w="109" w:type="dxa"/>
            <w:tcBorders/>
            <w:tcMar>
              <w:top w:w="0" w:type="dxa"/>
              <w:left w:w="0" w:type="dxa"/>
              <w:bottom w:w="0" w:type="dxa"/>
              <w:right w:w="0" w:type="dxa"/>
            </w:tcMar>
            <w:vAlign w:val="center"/>
          </w:tcPr>
          <w:p>
            <w:pPr>
              <w:pStyle w:val="TableContents"/>
              <w:bidi w:val="0"/>
              <w:spacing w:before="0" w:after="283"/>
              <w:jc w:val="left"/>
              <w:rPr/>
            </w:pPr>
            <w:r>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r>
          </w:p>
        </w:tc>
        <w:tc>
          <w:tcPr>
            <w:tcW w:w="901" w:type="dxa"/>
            <w:tcBorders/>
            <w:tcMar>
              <w:top w:w="0" w:type="dxa"/>
              <w:left w:w="0" w:type="dxa"/>
              <w:bottom w:w="0" w:type="dxa"/>
              <w:right w:w="0" w:type="dxa"/>
            </w:tcMar>
            <w:vAlign w:val="center"/>
          </w:tcPr>
          <w:p>
            <w:pPr>
              <w:pStyle w:val="TableContents"/>
              <w:bidi w:val="0"/>
              <w:spacing w:before="0" w:after="283"/>
              <w:jc w:val="right"/>
              <w:rPr/>
            </w:pPr>
            <w:r>
              <w:rPr/>
              <w:t>—</w:t>
            </w:r>
          </w:p>
        </w:tc>
        <w:tc>
          <w:tcPr>
            <w:tcW w:w="226" w:type="dxa"/>
            <w:tcBorders/>
            <w:tcMar>
              <w:top w:w="0" w:type="dxa"/>
              <w:left w:w="0" w:type="dxa"/>
              <w:bottom w:w="0" w:type="dxa"/>
              <w:right w:w="0" w:type="dxa"/>
            </w:tcMar>
            <w:vAlign w:val="center"/>
          </w:tcPr>
          <w:p>
            <w:pPr>
              <w:pStyle w:val="TableContents"/>
              <w:bidi w:val="0"/>
              <w:spacing w:before="0" w:after="283"/>
              <w:jc w:val="left"/>
              <w:rPr/>
            </w:pPr>
            <w:r>
              <w:rPr/>
            </w:r>
          </w:p>
        </w:tc>
      </w:tr>
      <w:tr>
        <w:trPr/>
        <w:tc>
          <w:tcPr>
            <w:tcW w:w="3451" w:type="dxa"/>
            <w:tcBorders/>
            <w:shd w:fill="CCEEFF" w:val="clear"/>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Other comprehensive income (loss)</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pPr>
            <w:r>
              <w:rPr/>
            </w:r>
          </w:p>
        </w:tc>
        <w:tc>
          <w:tcPr>
            <w:tcW w:w="1531" w:type="dxa"/>
            <w:tcBorders/>
            <w:shd w:fill="CCEEFF" w:val="clear"/>
            <w:tcMar>
              <w:top w:w="0" w:type="dxa"/>
              <w:left w:w="0" w:type="dxa"/>
              <w:bottom w:w="0" w:type="dxa"/>
              <w:right w:w="0" w:type="dxa"/>
            </w:tcMar>
            <w:vAlign w:val="center"/>
          </w:tcPr>
          <w:p>
            <w:pPr>
              <w:pStyle w:val="TableContents"/>
              <w:bidi w:val="0"/>
              <w:spacing w:before="0" w:after="283"/>
              <w:jc w:val="right"/>
              <w:rPr/>
            </w:pPr>
            <w:r>
              <w:rPr/>
              <w:t>—</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pPr>
            <w:r>
              <w:rPr/>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pPr>
            <w:r>
              <w:rPr/>
            </w:r>
          </w:p>
        </w:tc>
        <w:tc>
          <w:tcPr>
            <w:tcW w:w="505" w:type="dxa"/>
            <w:tcBorders/>
            <w:shd w:fill="CCEEFF" w:val="clear"/>
            <w:tcMar>
              <w:top w:w="0" w:type="dxa"/>
              <w:left w:w="0" w:type="dxa"/>
              <w:bottom w:w="0" w:type="dxa"/>
              <w:right w:w="0" w:type="dxa"/>
            </w:tcMar>
            <w:vAlign w:val="center"/>
          </w:tcPr>
          <w:p>
            <w:pPr>
              <w:pStyle w:val="TableContents"/>
              <w:bidi w:val="0"/>
              <w:spacing w:before="0" w:after="283"/>
              <w:jc w:val="right"/>
              <w:rPr/>
            </w:pPr>
            <w:r>
              <w:rPr/>
              <w:t>—</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pPr>
            <w:r>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pPr>
            <w:r>
              <w:rPr/>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pPr>
            <w:r>
              <w:rPr/>
            </w:r>
          </w:p>
        </w:tc>
        <w:tc>
          <w:tcPr>
            <w:tcW w:w="969" w:type="dxa"/>
            <w:tcBorders/>
            <w:shd w:fill="CCEEFF" w:val="clear"/>
            <w:tcMar>
              <w:top w:w="0" w:type="dxa"/>
              <w:left w:w="0" w:type="dxa"/>
              <w:bottom w:w="0" w:type="dxa"/>
              <w:right w:w="0" w:type="dxa"/>
            </w:tcMar>
            <w:vAlign w:val="center"/>
          </w:tcPr>
          <w:p>
            <w:pPr>
              <w:pStyle w:val="TableContents"/>
              <w:bidi w:val="0"/>
              <w:spacing w:before="0" w:after="283"/>
              <w:jc w:val="right"/>
              <w:rPr/>
            </w:pPr>
            <w:r>
              <w:rPr/>
              <w:t>—</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pPr>
            <w:r>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r>
          </w:p>
        </w:tc>
        <w:tc>
          <w:tcPr>
            <w:tcW w:w="901" w:type="dxa"/>
            <w:tcBorders/>
            <w:shd w:fill="CCEEFF" w:val="clear"/>
            <w:tcMar>
              <w:top w:w="0" w:type="dxa"/>
              <w:left w:w="0" w:type="dxa"/>
              <w:bottom w:w="0" w:type="dxa"/>
              <w:right w:w="0" w:type="dxa"/>
            </w:tcMar>
            <w:vAlign w:val="center"/>
          </w:tcPr>
          <w:p>
            <w:pPr>
              <w:pStyle w:val="TableContents"/>
              <w:bidi w:val="0"/>
              <w:spacing w:before="0" w:after="283"/>
              <w:jc w:val="right"/>
              <w:rPr/>
            </w:pPr>
            <w:r>
              <w:rPr/>
              <w:t>—</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r>
          </w:p>
        </w:tc>
      </w:tr>
      <w:tr>
        <w:trPr/>
        <w:tc>
          <w:tcPr>
            <w:tcW w:w="3451"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Stock issued under employee stock plans</w:t>
            </w:r>
          </w:p>
        </w:tc>
        <w:tc>
          <w:tcPr>
            <w:tcW w:w="109" w:type="dxa"/>
            <w:tcBorders/>
            <w:tcMar>
              <w:top w:w="0" w:type="dxa"/>
              <w:left w:w="0" w:type="dxa"/>
              <w:bottom w:w="0" w:type="dxa"/>
              <w:right w:w="0" w:type="dxa"/>
            </w:tcMar>
            <w:vAlign w:val="center"/>
          </w:tcPr>
          <w:p>
            <w:pPr>
              <w:pStyle w:val="TableContents"/>
              <w:bidi w:val="0"/>
              <w:spacing w:before="0" w:after="283"/>
              <w:jc w:val="left"/>
              <w:rPr/>
            </w:pPr>
            <w:r>
              <w:rPr/>
            </w:r>
          </w:p>
        </w:tc>
        <w:tc>
          <w:tcPr>
            <w:tcW w:w="1531" w:type="dxa"/>
            <w:tcBorders/>
            <w:tcMar>
              <w:top w:w="0" w:type="dxa"/>
              <w:left w:w="0" w:type="dxa"/>
              <w:bottom w:w="0" w:type="dxa"/>
              <w:right w:w="0" w:type="dxa"/>
            </w:tcMar>
            <w:vAlign w:val="center"/>
          </w:tcPr>
          <w:p>
            <w:pPr>
              <w:pStyle w:val="TableContents"/>
              <w:bidi w:val="0"/>
              <w:spacing w:before="0" w:after="283"/>
              <w:jc w:val="right"/>
              <w:rPr/>
            </w:pPr>
            <w:r>
              <w:rPr/>
              <w:t>38,576</w:t>
            </w:r>
          </w:p>
        </w:tc>
        <w:tc>
          <w:tcPr>
            <w:tcW w:w="181" w:type="dxa"/>
            <w:tcBorders/>
            <w:tcMar>
              <w:top w:w="0" w:type="dxa"/>
              <w:left w:w="0" w:type="dxa"/>
              <w:bottom w:w="0" w:type="dxa"/>
              <w:right w:w="0" w:type="dxa"/>
            </w:tcMar>
            <w:vAlign w:val="center"/>
          </w:tcPr>
          <w:p>
            <w:pPr>
              <w:pStyle w:val="TableContents"/>
              <w:bidi w:val="0"/>
              <w:spacing w:before="0" w:after="283"/>
              <w:jc w:val="left"/>
              <w:rPr/>
            </w:pPr>
            <w:r>
              <w:rPr/>
            </w:r>
          </w:p>
        </w:tc>
        <w:tc>
          <w:tcPr>
            <w:tcW w:w="109" w:type="dxa"/>
            <w:tcBorders/>
            <w:tcMar>
              <w:top w:w="0" w:type="dxa"/>
              <w:left w:w="0" w:type="dxa"/>
              <w:bottom w:w="0" w:type="dxa"/>
              <w:right w:w="0" w:type="dxa"/>
            </w:tcMar>
            <w:vAlign w:val="center"/>
          </w:tcPr>
          <w:p>
            <w:pPr>
              <w:pStyle w:val="TableContents"/>
              <w:bidi w:val="0"/>
              <w:spacing w:before="0" w:after="283"/>
              <w:jc w:val="left"/>
              <w:rPr/>
            </w:pPr>
            <w:r>
              <w:rPr/>
            </w:r>
          </w:p>
        </w:tc>
        <w:tc>
          <w:tcPr>
            <w:tcW w:w="261" w:type="dxa"/>
            <w:tcBorders/>
            <w:tcMar>
              <w:top w:w="0" w:type="dxa"/>
              <w:left w:w="0" w:type="dxa"/>
              <w:bottom w:w="0" w:type="dxa"/>
              <w:right w:w="0" w:type="dxa"/>
            </w:tcMar>
            <w:vAlign w:val="center"/>
          </w:tcPr>
          <w:p>
            <w:pPr>
              <w:pStyle w:val="TableContents"/>
              <w:bidi w:val="0"/>
              <w:spacing w:before="0" w:after="283"/>
              <w:jc w:val="left"/>
              <w:rPr/>
            </w:pPr>
            <w:r>
              <w:rPr/>
            </w:r>
          </w:p>
        </w:tc>
        <w:tc>
          <w:tcPr>
            <w:tcW w:w="505" w:type="dxa"/>
            <w:tcBorders/>
            <w:tcMar>
              <w:top w:w="0" w:type="dxa"/>
              <w:left w:w="0" w:type="dxa"/>
              <w:bottom w:w="0" w:type="dxa"/>
              <w:right w:w="0" w:type="dxa"/>
            </w:tcMar>
            <w:vAlign w:val="center"/>
          </w:tcPr>
          <w:p>
            <w:pPr>
              <w:pStyle w:val="TableContents"/>
              <w:bidi w:val="0"/>
              <w:spacing w:before="0" w:after="283"/>
              <w:jc w:val="right"/>
              <w:rPr/>
            </w:pPr>
            <w:r>
              <w:rPr/>
              <w:t>—</w:t>
            </w:r>
          </w:p>
        </w:tc>
        <w:tc>
          <w:tcPr>
            <w:tcW w:w="109" w:type="dxa"/>
            <w:tcBorders/>
            <w:tcMar>
              <w:top w:w="0" w:type="dxa"/>
              <w:left w:w="0" w:type="dxa"/>
              <w:bottom w:w="0" w:type="dxa"/>
              <w:right w:w="0" w:type="dxa"/>
            </w:tcMar>
            <w:vAlign w:val="center"/>
          </w:tcPr>
          <w:p>
            <w:pPr>
              <w:pStyle w:val="TableContents"/>
              <w:bidi w:val="0"/>
              <w:spacing w:before="0" w:after="283"/>
              <w:jc w:val="left"/>
              <w:rPr/>
            </w:pPr>
            <w:r>
              <w:rPr/>
            </w:r>
          </w:p>
        </w:tc>
        <w:tc>
          <w:tcPr>
            <w:tcW w:w="109" w:type="dxa"/>
            <w:tcBorders/>
            <w:tcMar>
              <w:top w:w="0" w:type="dxa"/>
              <w:left w:w="0" w:type="dxa"/>
              <w:bottom w:w="0" w:type="dxa"/>
              <w:right w:w="0" w:type="dxa"/>
            </w:tcMar>
            <w:vAlign w:val="center"/>
          </w:tcPr>
          <w:p>
            <w:pPr>
              <w:pStyle w:val="TableContents"/>
              <w:bidi w:val="0"/>
              <w:spacing w:before="0" w:after="283"/>
              <w:jc w:val="left"/>
              <w:rPr/>
            </w:pPr>
            <w:r>
              <w:rPr/>
            </w:r>
          </w:p>
        </w:tc>
        <w:tc>
          <w:tcPr>
            <w:tcW w:w="247" w:type="dxa"/>
            <w:tcBorders/>
            <w:tcMar>
              <w:top w:w="0" w:type="dxa"/>
              <w:left w:w="0" w:type="dxa"/>
              <w:bottom w:w="0" w:type="dxa"/>
              <w:right w:w="0" w:type="dxa"/>
            </w:tcMar>
            <w:vAlign w:val="center"/>
          </w:tcPr>
          <w:p>
            <w:pPr>
              <w:pStyle w:val="TableContents"/>
              <w:bidi w:val="0"/>
              <w:spacing w:before="0" w:after="283"/>
              <w:jc w:val="left"/>
              <w:rPr/>
            </w:pPr>
            <w:r>
              <w:rPr/>
            </w:r>
          </w:p>
        </w:tc>
        <w:tc>
          <w:tcPr>
            <w:tcW w:w="969" w:type="dxa"/>
            <w:tcBorders/>
            <w:tcMar>
              <w:top w:w="0" w:type="dxa"/>
              <w:left w:w="0" w:type="dxa"/>
              <w:bottom w:w="0" w:type="dxa"/>
              <w:right w:w="0" w:type="dxa"/>
            </w:tcMar>
            <w:vAlign w:val="center"/>
          </w:tcPr>
          <w:p>
            <w:pPr>
              <w:pStyle w:val="TableContents"/>
              <w:bidi w:val="0"/>
              <w:spacing w:before="0" w:after="283"/>
              <w:jc w:val="right"/>
              <w:rPr/>
            </w:pPr>
            <w:r>
              <w:rPr/>
              <w:t>1.9</w:t>
            </w:r>
          </w:p>
        </w:tc>
        <w:tc>
          <w:tcPr>
            <w:tcW w:w="109" w:type="dxa"/>
            <w:tcBorders/>
            <w:tcMar>
              <w:top w:w="0" w:type="dxa"/>
              <w:left w:w="0" w:type="dxa"/>
              <w:bottom w:w="0" w:type="dxa"/>
              <w:right w:w="0" w:type="dxa"/>
            </w:tcMar>
            <w:vAlign w:val="center"/>
          </w:tcPr>
          <w:p>
            <w:pPr>
              <w:pStyle w:val="TableContents"/>
              <w:bidi w:val="0"/>
              <w:spacing w:before="0" w:after="283"/>
              <w:jc w:val="left"/>
              <w:rPr/>
            </w:pPr>
            <w:r>
              <w:rPr/>
            </w:r>
          </w:p>
        </w:tc>
        <w:tc>
          <w:tcPr>
            <w:tcW w:w="109" w:type="dxa"/>
            <w:tcBorders/>
            <w:tcMar>
              <w:top w:w="0" w:type="dxa"/>
              <w:left w:w="0" w:type="dxa"/>
              <w:bottom w:w="0" w:type="dxa"/>
              <w:right w:w="0" w:type="dxa"/>
            </w:tcMar>
            <w:vAlign w:val="center"/>
          </w:tcPr>
          <w:p>
            <w:pPr>
              <w:pStyle w:val="TableContents"/>
              <w:bidi w:val="0"/>
              <w:spacing w:before="0" w:after="283"/>
              <w:jc w:val="left"/>
              <w:rPr/>
            </w:pPr>
            <w:r>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r>
          </w:p>
        </w:tc>
        <w:tc>
          <w:tcPr>
            <w:tcW w:w="901" w:type="dxa"/>
            <w:tcBorders/>
            <w:tcMar>
              <w:top w:w="0" w:type="dxa"/>
              <w:left w:w="0" w:type="dxa"/>
              <w:bottom w:w="0" w:type="dxa"/>
              <w:right w:w="0" w:type="dxa"/>
            </w:tcMar>
            <w:vAlign w:val="center"/>
          </w:tcPr>
          <w:p>
            <w:pPr>
              <w:pStyle w:val="TableContents"/>
              <w:bidi w:val="0"/>
              <w:spacing w:before="0" w:after="283"/>
              <w:jc w:val="right"/>
              <w:rPr/>
            </w:pPr>
            <w:r>
              <w:rPr/>
              <w:t>(1.4</w:t>
            </w:r>
          </w:p>
        </w:tc>
        <w:tc>
          <w:tcPr>
            <w:tcW w:w="226" w:type="dxa"/>
            <w:tcBorders/>
            <w:tcMar>
              <w:top w:w="0" w:type="dxa"/>
              <w:left w:w="0" w:type="dxa"/>
              <w:bottom w:w="0" w:type="dxa"/>
              <w:right w:w="0" w:type="dxa"/>
            </w:tcMar>
            <w:vAlign w:val="center"/>
          </w:tcPr>
          <w:p>
            <w:pPr>
              <w:pStyle w:val="TableContents"/>
              <w:bidi w:val="0"/>
              <w:spacing w:before="0" w:after="283"/>
              <w:jc w:val="left"/>
              <w:rPr/>
            </w:pPr>
            <w:r>
              <w:rPr/>
              <w:t>)</w:t>
            </w:r>
          </w:p>
        </w:tc>
      </w:tr>
      <w:tr>
        <w:trPr/>
        <w:tc>
          <w:tcPr>
            <w:tcW w:w="3451" w:type="dxa"/>
            <w:tcBorders/>
            <w:shd w:fill="CCEEFF" w:val="clear"/>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Share-based compensation</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pPr>
            <w:r>
              <w:rPr/>
            </w:r>
          </w:p>
        </w:tc>
        <w:tc>
          <w:tcPr>
            <w:tcW w:w="1531" w:type="dxa"/>
            <w:tcBorders/>
            <w:shd w:fill="CCEEFF" w:val="clear"/>
            <w:tcMar>
              <w:top w:w="0" w:type="dxa"/>
              <w:left w:w="0" w:type="dxa"/>
              <w:bottom w:w="0" w:type="dxa"/>
              <w:right w:w="0" w:type="dxa"/>
            </w:tcMar>
            <w:vAlign w:val="center"/>
          </w:tcPr>
          <w:p>
            <w:pPr>
              <w:pStyle w:val="TableContents"/>
              <w:bidi w:val="0"/>
              <w:spacing w:before="0" w:after="283"/>
              <w:jc w:val="right"/>
              <w:rPr/>
            </w:pPr>
            <w:r>
              <w:rPr/>
              <w:t>—</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pPr>
            <w:r>
              <w:rPr/>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pPr>
            <w:r>
              <w:rPr/>
            </w:r>
          </w:p>
        </w:tc>
        <w:tc>
          <w:tcPr>
            <w:tcW w:w="505" w:type="dxa"/>
            <w:tcBorders/>
            <w:shd w:fill="CCEEFF" w:val="clear"/>
            <w:tcMar>
              <w:top w:w="0" w:type="dxa"/>
              <w:left w:w="0" w:type="dxa"/>
              <w:bottom w:w="0" w:type="dxa"/>
              <w:right w:w="0" w:type="dxa"/>
            </w:tcMar>
            <w:vAlign w:val="center"/>
          </w:tcPr>
          <w:p>
            <w:pPr>
              <w:pStyle w:val="TableContents"/>
              <w:bidi w:val="0"/>
              <w:spacing w:before="0" w:after="283"/>
              <w:jc w:val="right"/>
              <w:rPr/>
            </w:pPr>
            <w:r>
              <w:rPr/>
              <w:t>—</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pPr>
            <w:r>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pPr>
            <w:r>
              <w:rPr/>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pPr>
            <w:r>
              <w:rPr/>
            </w:r>
          </w:p>
        </w:tc>
        <w:tc>
          <w:tcPr>
            <w:tcW w:w="969" w:type="dxa"/>
            <w:tcBorders/>
            <w:shd w:fill="CCEEFF" w:val="clear"/>
            <w:tcMar>
              <w:top w:w="0" w:type="dxa"/>
              <w:left w:w="0" w:type="dxa"/>
              <w:bottom w:w="0" w:type="dxa"/>
              <w:right w:w="0" w:type="dxa"/>
            </w:tcMar>
            <w:vAlign w:val="center"/>
          </w:tcPr>
          <w:p>
            <w:pPr>
              <w:pStyle w:val="TableContents"/>
              <w:bidi w:val="0"/>
              <w:spacing w:before="0" w:after="283"/>
              <w:jc w:val="right"/>
              <w:rPr/>
            </w:pPr>
            <w:r>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pPr>
            <w:r>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r>
          </w:p>
        </w:tc>
        <w:tc>
          <w:tcPr>
            <w:tcW w:w="901" w:type="dxa"/>
            <w:tcBorders/>
            <w:shd w:fill="CCEEFF" w:val="clear"/>
            <w:tcMar>
              <w:top w:w="0" w:type="dxa"/>
              <w:left w:w="0" w:type="dxa"/>
              <w:bottom w:w="0" w:type="dxa"/>
              <w:right w:w="0" w:type="dxa"/>
            </w:tcMar>
            <w:vAlign w:val="center"/>
          </w:tcPr>
          <w:p>
            <w:pPr>
              <w:pStyle w:val="TableContents"/>
              <w:bidi w:val="0"/>
              <w:spacing w:before="0" w:after="283"/>
              <w:jc w:val="right"/>
              <w:rPr/>
            </w:pPr>
            <w:r>
              <w:rPr/>
              <w:t>—</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r>
          </w:p>
        </w:tc>
      </w:tr>
      <w:tr>
        <w:trPr/>
        <w:tc>
          <w:tcPr>
            <w:tcW w:w="3451"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Repurchase of shares</w:t>
            </w:r>
          </w:p>
        </w:tc>
        <w:tc>
          <w:tcPr>
            <w:tcW w:w="109" w:type="dxa"/>
            <w:tcBorders/>
            <w:tcMar>
              <w:top w:w="0" w:type="dxa"/>
              <w:left w:w="0" w:type="dxa"/>
              <w:bottom w:w="0" w:type="dxa"/>
              <w:right w:w="0" w:type="dxa"/>
            </w:tcMar>
            <w:vAlign w:val="center"/>
          </w:tcPr>
          <w:p>
            <w:pPr>
              <w:pStyle w:val="TableContents"/>
              <w:bidi w:val="0"/>
              <w:spacing w:before="0" w:after="283"/>
              <w:jc w:val="left"/>
              <w:rPr/>
            </w:pPr>
            <w:r>
              <w:rPr/>
            </w:r>
          </w:p>
        </w:tc>
        <w:tc>
          <w:tcPr>
            <w:tcW w:w="1531" w:type="dxa"/>
            <w:tcBorders/>
            <w:tcMar>
              <w:top w:w="0" w:type="dxa"/>
              <w:left w:w="0" w:type="dxa"/>
              <w:bottom w:w="0" w:type="dxa"/>
              <w:right w:w="0" w:type="dxa"/>
            </w:tcMar>
            <w:vAlign w:val="center"/>
          </w:tcPr>
          <w:p>
            <w:pPr>
              <w:pStyle w:val="TableContents"/>
              <w:bidi w:val="0"/>
              <w:spacing w:before="0" w:after="283"/>
              <w:jc w:val="right"/>
              <w:rPr/>
            </w:pPr>
            <w:r>
              <w:rPr/>
              <w:t>(1,000,000</w:t>
            </w:r>
          </w:p>
        </w:tc>
        <w:tc>
          <w:tcPr>
            <w:tcW w:w="181" w:type="dxa"/>
            <w:tcBorders/>
            <w:tcMar>
              <w:top w:w="0" w:type="dxa"/>
              <w:left w:w="0" w:type="dxa"/>
              <w:bottom w:w="0" w:type="dxa"/>
              <w:right w:w="0" w:type="dxa"/>
            </w:tcMar>
            <w:vAlign w:val="center"/>
          </w:tcPr>
          <w:p>
            <w:pPr>
              <w:pStyle w:val="TableContents"/>
              <w:bidi w:val="0"/>
              <w:spacing w:before="0" w:after="283"/>
              <w:jc w:val="left"/>
              <w:rPr/>
            </w:pPr>
            <w:r>
              <w:rPr/>
              <w:t>)</w:t>
            </w:r>
          </w:p>
        </w:tc>
        <w:tc>
          <w:tcPr>
            <w:tcW w:w="109" w:type="dxa"/>
            <w:tcBorders/>
            <w:tcMar>
              <w:top w:w="0" w:type="dxa"/>
              <w:left w:w="0" w:type="dxa"/>
              <w:bottom w:w="0" w:type="dxa"/>
              <w:right w:w="0" w:type="dxa"/>
            </w:tcMar>
            <w:vAlign w:val="center"/>
          </w:tcPr>
          <w:p>
            <w:pPr>
              <w:pStyle w:val="TableContents"/>
              <w:bidi w:val="0"/>
              <w:spacing w:before="0" w:after="283"/>
              <w:jc w:val="left"/>
              <w:rPr/>
            </w:pPr>
            <w:r>
              <w:rPr/>
            </w:r>
          </w:p>
        </w:tc>
        <w:tc>
          <w:tcPr>
            <w:tcW w:w="261" w:type="dxa"/>
            <w:tcBorders/>
            <w:tcMar>
              <w:top w:w="0" w:type="dxa"/>
              <w:left w:w="0" w:type="dxa"/>
              <w:bottom w:w="0" w:type="dxa"/>
              <w:right w:w="0" w:type="dxa"/>
            </w:tcMar>
            <w:vAlign w:val="center"/>
          </w:tcPr>
          <w:p>
            <w:pPr>
              <w:pStyle w:val="TableContents"/>
              <w:bidi w:val="0"/>
              <w:spacing w:before="0" w:after="283"/>
              <w:jc w:val="left"/>
              <w:rPr/>
            </w:pPr>
            <w:r>
              <w:rPr/>
            </w:r>
          </w:p>
        </w:tc>
        <w:tc>
          <w:tcPr>
            <w:tcW w:w="505" w:type="dxa"/>
            <w:tcBorders/>
            <w:tcMar>
              <w:top w:w="0" w:type="dxa"/>
              <w:left w:w="0" w:type="dxa"/>
              <w:bottom w:w="0" w:type="dxa"/>
              <w:right w:w="0" w:type="dxa"/>
            </w:tcMar>
            <w:vAlign w:val="center"/>
          </w:tcPr>
          <w:p>
            <w:pPr>
              <w:pStyle w:val="TableContents"/>
              <w:bidi w:val="0"/>
              <w:spacing w:before="0" w:after="283"/>
              <w:jc w:val="right"/>
              <w:rPr/>
            </w:pPr>
            <w:r>
              <w:rPr/>
              <w:t>—</w:t>
            </w:r>
          </w:p>
        </w:tc>
        <w:tc>
          <w:tcPr>
            <w:tcW w:w="109" w:type="dxa"/>
            <w:tcBorders/>
            <w:tcMar>
              <w:top w:w="0" w:type="dxa"/>
              <w:left w:w="0" w:type="dxa"/>
              <w:bottom w:w="0" w:type="dxa"/>
              <w:right w:w="0" w:type="dxa"/>
            </w:tcMar>
            <w:vAlign w:val="center"/>
          </w:tcPr>
          <w:p>
            <w:pPr>
              <w:pStyle w:val="TableContents"/>
              <w:bidi w:val="0"/>
              <w:spacing w:before="0" w:after="283"/>
              <w:jc w:val="left"/>
              <w:rPr/>
            </w:pPr>
            <w:r>
              <w:rPr/>
            </w:r>
          </w:p>
        </w:tc>
        <w:tc>
          <w:tcPr>
            <w:tcW w:w="109" w:type="dxa"/>
            <w:tcBorders/>
            <w:tcMar>
              <w:top w:w="0" w:type="dxa"/>
              <w:left w:w="0" w:type="dxa"/>
              <w:bottom w:w="0" w:type="dxa"/>
              <w:right w:w="0" w:type="dxa"/>
            </w:tcMar>
            <w:vAlign w:val="center"/>
          </w:tcPr>
          <w:p>
            <w:pPr>
              <w:pStyle w:val="TableContents"/>
              <w:bidi w:val="0"/>
              <w:spacing w:before="0" w:after="283"/>
              <w:jc w:val="left"/>
              <w:rPr/>
            </w:pPr>
            <w:r>
              <w:rPr/>
            </w:r>
          </w:p>
        </w:tc>
        <w:tc>
          <w:tcPr>
            <w:tcW w:w="247" w:type="dxa"/>
            <w:tcBorders/>
            <w:tcMar>
              <w:top w:w="0" w:type="dxa"/>
              <w:left w:w="0" w:type="dxa"/>
              <w:bottom w:w="0" w:type="dxa"/>
              <w:right w:w="0" w:type="dxa"/>
            </w:tcMar>
            <w:vAlign w:val="center"/>
          </w:tcPr>
          <w:p>
            <w:pPr>
              <w:pStyle w:val="TableContents"/>
              <w:bidi w:val="0"/>
              <w:spacing w:before="0" w:after="283"/>
              <w:jc w:val="left"/>
              <w:rPr/>
            </w:pPr>
            <w:r>
              <w:rPr/>
            </w:r>
          </w:p>
        </w:tc>
        <w:tc>
          <w:tcPr>
            <w:tcW w:w="969" w:type="dxa"/>
            <w:tcBorders/>
            <w:tcMar>
              <w:top w:w="0" w:type="dxa"/>
              <w:left w:w="0" w:type="dxa"/>
              <w:bottom w:w="0" w:type="dxa"/>
              <w:right w:w="0" w:type="dxa"/>
            </w:tcMar>
            <w:vAlign w:val="center"/>
          </w:tcPr>
          <w:p>
            <w:pPr>
              <w:pStyle w:val="TableContents"/>
              <w:bidi w:val="0"/>
              <w:spacing w:before="0" w:after="283"/>
              <w:jc w:val="right"/>
              <w:rPr/>
            </w:pPr>
            <w:r>
              <w:rPr/>
              <w:t>—</w:t>
            </w:r>
          </w:p>
        </w:tc>
        <w:tc>
          <w:tcPr>
            <w:tcW w:w="109" w:type="dxa"/>
            <w:tcBorders/>
            <w:tcMar>
              <w:top w:w="0" w:type="dxa"/>
              <w:left w:w="0" w:type="dxa"/>
              <w:bottom w:w="0" w:type="dxa"/>
              <w:right w:w="0" w:type="dxa"/>
            </w:tcMar>
            <w:vAlign w:val="center"/>
          </w:tcPr>
          <w:p>
            <w:pPr>
              <w:pStyle w:val="TableContents"/>
              <w:bidi w:val="0"/>
              <w:spacing w:before="0" w:after="283"/>
              <w:jc w:val="left"/>
              <w:rPr/>
            </w:pPr>
            <w:r>
              <w:rPr/>
            </w:r>
          </w:p>
        </w:tc>
        <w:tc>
          <w:tcPr>
            <w:tcW w:w="109" w:type="dxa"/>
            <w:tcBorders/>
            <w:tcMar>
              <w:top w:w="0" w:type="dxa"/>
              <w:left w:w="0" w:type="dxa"/>
              <w:bottom w:w="0" w:type="dxa"/>
              <w:right w:w="0" w:type="dxa"/>
            </w:tcMar>
            <w:vAlign w:val="center"/>
          </w:tcPr>
          <w:p>
            <w:pPr>
              <w:pStyle w:val="TableContents"/>
              <w:bidi w:val="0"/>
              <w:spacing w:before="0" w:after="283"/>
              <w:jc w:val="left"/>
              <w:rPr/>
            </w:pPr>
            <w:r>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r>
          </w:p>
        </w:tc>
        <w:tc>
          <w:tcPr>
            <w:tcW w:w="901" w:type="dxa"/>
            <w:tcBorders/>
            <w:tcMar>
              <w:top w:w="0" w:type="dxa"/>
              <w:left w:w="0" w:type="dxa"/>
              <w:bottom w:w="0" w:type="dxa"/>
              <w:right w:w="0" w:type="dxa"/>
            </w:tcMar>
            <w:vAlign w:val="center"/>
          </w:tcPr>
          <w:p>
            <w:pPr>
              <w:pStyle w:val="TableContents"/>
              <w:bidi w:val="0"/>
              <w:spacing w:before="0" w:after="283"/>
              <w:jc w:val="right"/>
              <w:rPr/>
            </w:pPr>
            <w:r>
              <w:rPr/>
              <w:t>(113.9</w:t>
            </w:r>
          </w:p>
        </w:tc>
        <w:tc>
          <w:tcPr>
            <w:tcW w:w="226" w:type="dxa"/>
            <w:tcBorders/>
            <w:tcMar>
              <w:top w:w="0" w:type="dxa"/>
              <w:left w:w="0" w:type="dxa"/>
              <w:bottom w:w="0" w:type="dxa"/>
              <w:right w:w="0" w:type="dxa"/>
            </w:tcMar>
            <w:vAlign w:val="center"/>
          </w:tcPr>
          <w:p>
            <w:pPr>
              <w:pStyle w:val="TableContents"/>
              <w:bidi w:val="0"/>
              <w:spacing w:before="0" w:after="283"/>
              <w:jc w:val="left"/>
              <w:rPr/>
            </w:pPr>
            <w:r>
              <w:rPr/>
              <w:t>)</w:t>
            </w:r>
          </w:p>
        </w:tc>
      </w:tr>
      <w:tr>
        <w:trPr/>
        <w:tc>
          <w:tcPr>
            <w:tcW w:w="3451" w:type="dxa"/>
            <w:tcBorders/>
            <w:shd w:fill="CCEEFF" w:val="clear"/>
            <w:vAlign w:val="center"/>
          </w:tcPr>
          <w:p>
            <w:pPr>
              <w:pStyle w:val="TableContents"/>
              <w:bidi w:val="0"/>
              <w:spacing w:before="0" w:after="283"/>
              <w:jc w:val="left"/>
              <w:rPr/>
            </w:pPr>
            <w:r>
              <w:rPr/>
              <w:t>Balance as of June 30, 2024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pPr>
            <w:r>
              <w:rPr/>
            </w:r>
          </w:p>
        </w:tc>
        <w:tc>
          <w:tcPr>
            <w:tcW w:w="1531" w:type="dxa"/>
            <w:tcBorders/>
            <w:shd w:fill="CCEEFF" w:val="clear"/>
            <w:tcMar>
              <w:top w:w="0" w:type="dxa"/>
              <w:left w:w="0" w:type="dxa"/>
              <w:bottom w:w="0" w:type="dxa"/>
              <w:right w:w="0" w:type="dxa"/>
            </w:tcMar>
            <w:vAlign w:val="center"/>
          </w:tcPr>
          <w:p>
            <w:pPr>
              <w:pStyle w:val="TableContents"/>
              <w:bidi w:val="0"/>
              <w:spacing w:before="0" w:after="283"/>
              <w:jc w:val="right"/>
              <w:rPr/>
            </w:pPr>
            <w:r>
              <w:rPr/>
              <w:t>44,907,350</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pPr>
            <w:r>
              <w:rPr/>
            </w:r>
          </w:p>
        </w:tc>
        <w:tc>
          <w:tcPr>
            <w:tcW w:w="261" w:type="dxa"/>
            <w:tcBorders/>
            <w:shd w:fill="CCEEFF" w:val="clear"/>
            <w:tcMar>
              <w:top w:w="0" w:type="dxa"/>
              <w:left w:w="0" w:type="dxa"/>
              <w:bottom w:w="0" w:type="dxa"/>
              <w:right w:w="0" w:type="dxa"/>
            </w:tcM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right"/>
              <w:rPr/>
            </w:pPr>
            <w:r>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pPr>
            <w:r>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pPr>
            <w:r>
              <w:rPr/>
            </w:r>
          </w:p>
        </w:tc>
        <w:tc>
          <w:tcPr>
            <w:tcW w:w="247" w:type="dxa"/>
            <w:tcBorders/>
            <w:shd w:fill="CCEEFF" w:val="clear"/>
            <w:tcMar>
              <w:top w:w="0" w:type="dxa"/>
              <w:left w:w="0" w:type="dxa"/>
              <w:bottom w:w="0" w:type="dxa"/>
              <w:right w:w="0" w:type="dxa"/>
            </w:tcM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969" w:type="dxa"/>
            <w:tcBorders/>
            <w:shd w:fill="CCEEFF" w:val="clear"/>
            <w:tcMar>
              <w:top w:w="0" w:type="dxa"/>
              <w:left w:w="0" w:type="dxa"/>
              <w:bottom w:w="0" w:type="dxa"/>
              <w:right w:w="0" w:type="dxa"/>
            </w:tcMar>
            <w:vAlign w:val="center"/>
          </w:tcPr>
          <w:p>
            <w:pPr>
              <w:pStyle w:val="TableContents"/>
              <w:bidi w:val="0"/>
              <w:spacing w:before="0" w:after="283"/>
              <w:jc w:val="right"/>
              <w:rPr/>
            </w:pPr>
            <w:r>
              <w:rPr/>
              <w:t>1,336.9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pPr>
            <w:r>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pPr>
            <w:r>
              <w:rPr/>
            </w:r>
          </w:p>
        </w:tc>
        <w:tc>
          <w:tcPr>
            <w:tcW w:w="211" w:type="dxa"/>
            <w:tcBorders/>
            <w:shd w:fill="CCEEFF" w:val="clear"/>
            <w:tcMar>
              <w:top w:w="0" w:type="dxa"/>
              <w:left w:w="0" w:type="dxa"/>
              <w:bottom w:w="0" w:type="dxa"/>
              <w:right w:w="0" w:type="dxa"/>
            </w:tcM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901" w:type="dxa"/>
            <w:tcBorders/>
            <w:shd w:fill="CCEEFF" w:val="clear"/>
            <w:tcMar>
              <w:top w:w="0" w:type="dxa"/>
              <w:left w:w="0" w:type="dxa"/>
              <w:bottom w:w="0" w:type="dxa"/>
              <w:right w:w="0" w:type="dxa"/>
            </w:tcMar>
            <w:vAlign w:val="center"/>
          </w:tcPr>
          <w:p>
            <w:pPr>
              <w:pStyle w:val="TableContents"/>
              <w:bidi w:val="0"/>
              <w:spacing w:before="0" w:after="283"/>
              <w:jc w:val="right"/>
              <w:rPr/>
            </w:pPr>
            <w:r>
              <w:rPr/>
              <w:t>(1,603.5</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w:t>
            </w:r>
          </w:p>
        </w:tc>
      </w:tr>
    </w:tbl>
    <w:p>
      <w:pPr>
        <w:pStyle w:val="TextBody"/>
        <w:widowControl/>
        <w:bidi w:val="0"/>
        <w:spacing w:lineRule="atLeast" w:line="240"/>
        <w:jc w:val="left"/>
        <w:rPr>
          <w:rFonts w:ascii="Times New Roman" w:hAnsi="Times New Roman" w:eastAsia="Times New Roman" w:cs="Times New Roman"/>
          <w:b w:val="false"/>
          <w:b w:val="false"/>
          <w:bCs w:val="false"/>
          <w:i w:val="false"/>
          <w:i w:val="false"/>
          <w:iCs w:val="false"/>
          <w:caps w:val="false"/>
          <w:smallCaps w:val="false"/>
          <w:color w:val="000000"/>
          <w:spacing w:val="0"/>
          <w:sz w:val="20"/>
          <w:szCs w:val="20"/>
        </w:rPr>
      </w:pPr>
      <w:r>
        <w:rPr>
          <w:rFonts w:eastAsia="Times New Roman" w:cs="Times New Roman" w:ascii="Times New Roman" w:hAnsi="Times New Roman"/>
          <w:b w:val="false"/>
          <w:bCs w:val="false"/>
          <w:i w:val="false"/>
          <w:iCs w:val="false"/>
          <w:caps w:val="false"/>
          <w:smallCaps w:val="false"/>
          <w:color w:val="000000"/>
          <w:spacing w:val="0"/>
          <w:sz w:val="20"/>
          <w:szCs w:val="20"/>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widowControl/>
        <w:bidi w:val="0"/>
        <w:spacing w:lineRule="atLeast" w:line="240" w:before="0" w:after="0"/>
        <w:jc w:val="left"/>
        <w:rPr>
          <w:rFonts w:ascii="Times New Roman" w:hAnsi="Times New Roman" w:eastAsia="Times New Roman" w:cs="Times New Roman"/>
          <w:b w:val="false"/>
          <w:b w:val="false"/>
          <w:bCs w:val="false"/>
          <w:i w:val="false"/>
          <w:i w:val="false"/>
          <w:iCs w:val="false"/>
          <w:caps w:val="false"/>
          <w:smallCaps w:val="false"/>
          <w:color w:val="000000"/>
          <w:spacing w:val="0"/>
          <w:sz w:val="20"/>
          <w:szCs w:val="20"/>
        </w:rPr>
      </w:pPr>
      <w:r>
        <w:rPr>
          <w:rFonts w:eastAsia="Times New Roman" w:cs="Times New Roman" w:ascii="Times New Roman" w:hAnsi="Times New Roman"/>
          <w:b w:val="false"/>
          <w:bCs w:val="false"/>
          <w:i w:val="false"/>
          <w:iCs w:val="false"/>
          <w:caps w:val="false"/>
          <w:smallCaps w:val="false"/>
          <w:color w:val="000000"/>
          <w:spacing w:val="0"/>
          <w:sz w:val="20"/>
          <w:szCs w:val="20"/>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4</w:t>
            </w:r>
          </w:p>
        </w:tc>
      </w:tr>
    </w:tbl>
    <w:p>
      <w:pPr>
        <w:pStyle w:val="HorizontalLine"/>
        <w:widowControl/>
        <w:bidi w:val="0"/>
        <w:spacing w:lineRule="atLeast" w:line="240"/>
        <w:jc w:val="left"/>
        <w:rPr/>
      </w:pPr>
      <w:r>
        <w:rPr/>
      </w:r>
    </w:p>
    <w:p>
      <w:pPr>
        <w:pStyle w:val="TextBody"/>
        <w:widowControl/>
        <w:bidi w:val="0"/>
        <w:spacing w:lineRule="atLeast" w:line="240" w:before="0" w:after="0"/>
        <w:jc w:val="left"/>
        <w:rPr/>
      </w:pPr>
      <w:r>
        <w:rPr/>
      </w:r>
    </w:p>
    <w:p>
      <w:pPr>
        <w:pStyle w:val="TextBody"/>
        <w:widowControl/>
        <w:bidi w:val="0"/>
        <w:spacing w:lineRule="atLeast" w:line="240"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bidi w:val="0"/>
        <w:spacing w:lineRule="atLeast" w:line="240" w:before="0" w:after="0"/>
        <w:ind w:left="0" w:right="0" w:hanging="0"/>
        <w:jc w:val="left"/>
        <w:rPr>
          <w:caps w:val="false"/>
          <w:smallCaps w:val="false"/>
          <w:color w:val="000000"/>
          <w:spacing w:val="0"/>
        </w:rPr>
      </w:pPr>
      <w:r>
        <w:rPr>
          <w:caps w:val="false"/>
          <w:smallCaps w:val="false"/>
          <w:color w:val="000000"/>
          <w:spacing w:val="0"/>
        </w:rPr>
        <w:t> </w:t>
      </w:r>
      <w:r>
        <w:rPr>
          <w:rFonts w:ascii="times new roman;times" w:hAnsi="times new roman;times"/>
          <w:b/>
          <w:i w:val="false"/>
          <w:caps w:val="false"/>
          <w:smallCaps w:val="false"/>
          <w:color w:val="000000"/>
          <w:spacing w:val="0"/>
          <w:sz w:val="20"/>
        </w:rPr>
        <w:t>EURONET WORLDWIDE, INC. AND SUBSIDIARIES</w:t>
      </w:r>
    </w:p>
    <w:p>
      <w:pPr>
        <w:pStyle w:val="TextBody"/>
        <w:widowControl/>
        <w:bidi w:val="0"/>
        <w:spacing w:lineRule="atLeast" w:line="240" w:before="0" w:after="0"/>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CONSOLIDATED STATEMENTS OF CHANGES IN EQUITY</w:t>
      </w:r>
    </w:p>
    <w:p>
      <w:pPr>
        <w:pStyle w:val="TextBody"/>
        <w:widowControl/>
        <w:bidi w:val="0"/>
        <w:spacing w:lineRule="atLeast" w:line="240" w:before="0" w:after="0"/>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(Unaudited, in millions, except share data)</w:t>
      </w:r>
    </w:p>
    <w:p>
      <w:pPr>
        <w:pStyle w:val="TextBody"/>
        <w:widowControl/>
        <w:bidi w:val="0"/>
        <w:spacing w:lineRule="atLeast" w:line="240"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8646" w:type="dxa"/>
        <w:jc w:val="left"/>
        <w:tblInd w:w="0" w:type="dxa"/>
        <w:tblLayout w:type="fixed"/>
        <w:tblCellMar>
          <w:top w:w="0" w:type="dxa"/>
          <w:left w:w="0" w:type="dxa"/>
          <w:bottom w:w="0" w:type="dxa"/>
          <w:right w:w="0" w:type="dxa"/>
        </w:tblCellMar>
      </w:tblPr>
      <w:tblGrid>
        <w:gridCol w:w="3365"/>
        <w:gridCol w:w="232"/>
        <w:gridCol w:w="1182"/>
        <w:gridCol w:w="23"/>
        <w:gridCol w:w="60"/>
        <w:gridCol w:w="276"/>
        <w:gridCol w:w="1213"/>
        <w:gridCol w:w="95"/>
        <w:gridCol w:w="60"/>
        <w:gridCol w:w="302"/>
        <w:gridCol w:w="813"/>
        <w:gridCol w:w="95"/>
        <w:gridCol w:w="60"/>
        <w:gridCol w:w="125"/>
        <w:gridCol w:w="635"/>
        <w:gridCol w:w="110"/>
      </w:tblGrid>
      <w:tr>
        <w:trPr/>
        <w:tc>
          <w:tcPr>
            <w:tcW w:w="3365" w:type="dxa"/>
            <w:tcBorders/>
            <w:vAlign w:val="bottom"/>
          </w:tcPr>
          <w:p>
            <w:pPr>
              <w:pStyle w:val="TableContents"/>
              <w:bidi w:val="0"/>
              <w:spacing w:before="0" w:after="0"/>
              <w:jc w:val="left"/>
              <w:rPr/>
            </w:pPr>
            <w:r>
              <w:rPr/>
              <w:t> </w:t>
            </w:r>
          </w:p>
        </w:tc>
        <w:tc>
          <w:tcPr>
            <w:tcW w:w="1414" w:type="dxa"/>
            <w:gridSpan w:val="2"/>
            <w:tcBorders/>
            <w:vAlign w:val="bottom"/>
          </w:tcPr>
          <w:p>
            <w:pPr>
              <w:pStyle w:val="TableContents"/>
              <w:bidi w:val="0"/>
              <w:spacing w:before="0" w:after="0"/>
              <w:jc w:val="center"/>
              <w:rPr/>
            </w:pPr>
            <w:r>
              <w:rPr/>
              <w:t> </w:t>
            </w:r>
            <w:r>
              <w:rPr>
                <w:rFonts w:ascii="times new roman;times" w:hAnsi="times new roman;times"/>
                <w:b/>
                <w:sz w:val="16"/>
              </w:rPr>
              <w:t>Retained Earnings</w:t>
            </w:r>
          </w:p>
        </w:tc>
        <w:tc>
          <w:tcPr>
            <w:tcW w:w="23" w:type="dxa"/>
            <w:tcBorders/>
            <w:vAlign w:val="bottom"/>
          </w:tcPr>
          <w:p>
            <w:pPr>
              <w:pStyle w:val="TableContents"/>
              <w:bidi w:val="0"/>
              <w:spacing w:before="0" w:after="0"/>
              <w:jc w:val="center"/>
              <w:rPr>
                <w:sz w:val="16"/>
              </w:rPr>
            </w:pPr>
            <w:r>
              <w:rPr>
                <w:sz w:val="16"/>
              </w:rPr>
            </w:r>
          </w:p>
        </w:tc>
        <w:tc>
          <w:tcPr>
            <w:tcW w:w="60" w:type="dxa"/>
            <w:tcBorders/>
            <w:vAlign w:val="bottom"/>
          </w:tcPr>
          <w:p>
            <w:pPr>
              <w:pStyle w:val="TableContents"/>
              <w:bidi w:val="0"/>
              <w:spacing w:before="0" w:after="0"/>
              <w:jc w:val="left"/>
              <w:rPr/>
            </w:pPr>
            <w:r>
              <w:rPr/>
              <w:t> </w:t>
            </w:r>
          </w:p>
        </w:tc>
        <w:tc>
          <w:tcPr>
            <w:tcW w:w="1489" w:type="dxa"/>
            <w:gridSpan w:val="2"/>
            <w:tcBorders/>
            <w:vAlign w:val="bottom"/>
          </w:tcPr>
          <w:p>
            <w:pPr>
              <w:pStyle w:val="TableContents"/>
              <w:bidi w:val="0"/>
              <w:spacing w:before="0" w:after="0"/>
              <w:jc w:val="center"/>
              <w:rPr>
                <w:rFonts w:ascii="times new roman;times" w:hAnsi="times new roman;times"/>
                <w:b/>
                <w:sz w:val="16"/>
              </w:rPr>
            </w:pPr>
            <w:r>
              <w:rPr>
                <w:rFonts w:ascii="times new roman;times" w:hAnsi="times new roman;times"/>
                <w:b/>
                <w:sz w:val="16"/>
              </w:rPr>
              <w:t>Accumulated Other</w:t>
            </w:r>
          </w:p>
          <w:p>
            <w:pPr>
              <w:pStyle w:val="TableContents"/>
              <w:bidi w:val="0"/>
              <w:spacing w:before="0" w:after="0"/>
              <w:jc w:val="center"/>
              <w:rPr>
                <w:rFonts w:ascii="times new roman;times" w:hAnsi="times new roman;times"/>
                <w:b/>
                <w:sz w:val="16"/>
              </w:rPr>
            </w:pPr>
            <w:r>
              <w:rPr>
                <w:rFonts w:ascii="times new roman;times" w:hAnsi="times new roman;times"/>
                <w:b/>
                <w:sz w:val="16"/>
              </w:rPr>
              <w:t>Comprehensive Loss</w:t>
            </w:r>
          </w:p>
        </w:tc>
        <w:tc>
          <w:tcPr>
            <w:tcW w:w="95" w:type="dxa"/>
            <w:tcBorders/>
            <w:vAlign w:val="bottom"/>
          </w:tcPr>
          <w:p>
            <w:pPr>
              <w:pStyle w:val="TableContents"/>
              <w:bidi w:val="0"/>
              <w:spacing w:before="0" w:after="0"/>
              <w:jc w:val="center"/>
              <w:rPr>
                <w:sz w:val="16"/>
              </w:rPr>
            </w:pPr>
            <w:r>
              <w:rPr>
                <w:sz w:val="16"/>
              </w:rPr>
            </w:r>
          </w:p>
        </w:tc>
        <w:tc>
          <w:tcPr>
            <w:tcW w:w="60" w:type="dxa"/>
            <w:tcBorders/>
            <w:vAlign w:val="bottom"/>
          </w:tcPr>
          <w:p>
            <w:pPr>
              <w:pStyle w:val="TableContents"/>
              <w:bidi w:val="0"/>
              <w:spacing w:before="0" w:after="0"/>
              <w:jc w:val="left"/>
              <w:rPr/>
            </w:pPr>
            <w:r>
              <w:rPr/>
              <w:t> </w:t>
            </w:r>
          </w:p>
        </w:tc>
        <w:tc>
          <w:tcPr>
            <w:tcW w:w="1115" w:type="dxa"/>
            <w:gridSpan w:val="2"/>
            <w:tcBorders/>
            <w:vAlign w:val="bottom"/>
          </w:tcPr>
          <w:p>
            <w:pPr>
              <w:pStyle w:val="TableContents"/>
              <w:bidi w:val="0"/>
              <w:spacing w:before="0" w:after="0"/>
              <w:jc w:val="center"/>
              <w:rPr>
                <w:rFonts w:ascii="times new roman;times" w:hAnsi="times new roman;times"/>
                <w:b/>
                <w:sz w:val="16"/>
              </w:rPr>
            </w:pPr>
            <w:r>
              <w:rPr>
                <w:rFonts w:ascii="times new roman;times" w:hAnsi="times new roman;times"/>
                <w:b/>
                <w:sz w:val="16"/>
              </w:rPr>
              <w:t>Noncontrolling</w:t>
            </w:r>
          </w:p>
          <w:p>
            <w:pPr>
              <w:pStyle w:val="TableContents"/>
              <w:bidi w:val="0"/>
              <w:spacing w:before="0" w:after="0"/>
              <w:jc w:val="center"/>
              <w:rPr>
                <w:rFonts w:ascii="times new roman;times" w:hAnsi="times new roman;times"/>
                <w:b/>
                <w:sz w:val="16"/>
              </w:rPr>
            </w:pPr>
            <w:r>
              <w:rPr>
                <w:rFonts w:ascii="times new roman;times" w:hAnsi="times new roman;times"/>
                <w:b/>
                <w:sz w:val="16"/>
              </w:rPr>
              <w:t>Interests</w:t>
            </w:r>
          </w:p>
        </w:tc>
        <w:tc>
          <w:tcPr>
            <w:tcW w:w="95" w:type="dxa"/>
            <w:tcBorders/>
            <w:vAlign w:val="bottom"/>
          </w:tcPr>
          <w:p>
            <w:pPr>
              <w:pStyle w:val="TableContents"/>
              <w:bidi w:val="0"/>
              <w:spacing w:before="0" w:after="0"/>
              <w:jc w:val="center"/>
              <w:rPr>
                <w:sz w:val="16"/>
              </w:rPr>
            </w:pPr>
            <w:r>
              <w:rPr>
                <w:sz w:val="16"/>
              </w:rPr>
            </w:r>
          </w:p>
        </w:tc>
        <w:tc>
          <w:tcPr>
            <w:tcW w:w="60" w:type="dxa"/>
            <w:tcBorders/>
            <w:vAlign w:val="bottom"/>
          </w:tcPr>
          <w:p>
            <w:pPr>
              <w:pStyle w:val="TableContents"/>
              <w:bidi w:val="0"/>
              <w:spacing w:before="0" w:after="0"/>
              <w:jc w:val="left"/>
              <w:rPr/>
            </w:pPr>
            <w:r>
              <w:rPr/>
              <w:t> </w:t>
            </w:r>
          </w:p>
        </w:tc>
        <w:tc>
          <w:tcPr>
            <w:tcW w:w="760" w:type="dxa"/>
            <w:gridSpan w:val="2"/>
            <w:tcBorders/>
            <w:vAlign w:val="bottom"/>
          </w:tcPr>
          <w:p>
            <w:pPr>
              <w:pStyle w:val="TableContents"/>
              <w:bidi w:val="0"/>
              <w:spacing w:before="0" w:after="0"/>
              <w:jc w:val="center"/>
              <w:rPr>
                <w:rFonts w:ascii="times new roman;times" w:hAnsi="times new roman;times"/>
                <w:b/>
                <w:sz w:val="16"/>
              </w:rPr>
            </w:pPr>
            <w:r>
              <w:rPr>
                <w:rFonts w:ascii="times new roman;times" w:hAnsi="times new roman;times"/>
                <w:b/>
                <w:sz w:val="16"/>
              </w:rPr>
              <w:t>Total</w:t>
            </w:r>
          </w:p>
        </w:tc>
        <w:tc>
          <w:tcPr>
            <w:tcW w:w="110" w:type="dxa"/>
            <w:tcBorders/>
            <w:vAlign w:val="bottom"/>
          </w:tcPr>
          <w:p>
            <w:pPr>
              <w:pStyle w:val="TableContents"/>
              <w:bidi w:val="0"/>
              <w:spacing w:before="0" w:after="0"/>
              <w:jc w:val="center"/>
              <w:rPr>
                <w:sz w:val="16"/>
              </w:rPr>
            </w:pPr>
            <w:r>
              <w:rPr>
                <w:sz w:val="16"/>
              </w:rPr>
            </w:r>
          </w:p>
        </w:tc>
      </w:tr>
      <w:tr>
        <w:trPr/>
        <w:tc>
          <w:tcPr>
            <w:tcW w:w="3365" w:type="dxa"/>
            <w:tcBorders/>
            <w:shd w:fill="CCEEFF" w:val="clear"/>
            <w:vAlign w:val="bottom"/>
          </w:tcPr>
          <w:p>
            <w:pPr>
              <w:pStyle w:val="TableContents"/>
              <w:bidi w:val="0"/>
              <w:spacing w:before="0" w:after="0"/>
              <w:jc w:val="left"/>
              <w:rPr>
                <w:rFonts w:ascii="times new roman;times" w:hAnsi="times new roman;times"/>
                <w:sz w:val="20"/>
              </w:rPr>
            </w:pPr>
            <w:r>
              <w:rPr>
                <w:rFonts w:ascii="times new roman;times" w:hAnsi="times new roman;times"/>
                <w:sz w:val="20"/>
              </w:rPr>
              <w:t>Balance as of December 31, 2022</w:t>
            </w:r>
          </w:p>
        </w:tc>
        <w:tc>
          <w:tcPr>
            <w:tcW w:w="232" w:type="dxa"/>
            <w:tcBorders/>
            <w:shd w:fill="CCEE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1182" w:type="dxa"/>
            <w:tcBorders/>
            <w:shd w:fill="CCEEFF" w:val="clear"/>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1,348.3</w:t>
            </w:r>
          </w:p>
        </w:tc>
        <w:tc>
          <w:tcPr>
            <w:tcW w:w="23" w:type="dxa"/>
            <w:tcBorders/>
            <w:shd w:fill="CCEEFF" w:val="clear"/>
            <w:vAlign w:val="bottom"/>
          </w:tcPr>
          <w:p>
            <w:pPr>
              <w:pStyle w:val="TableContents"/>
              <w:bidi w:val="0"/>
              <w:spacing w:before="0" w:after="283"/>
              <w:ind w:left="0" w:right="0" w:hanging="0"/>
              <w:jc w:val="left"/>
              <w:rPr>
                <w:sz w:val="4"/>
                <w:szCs w:val="4"/>
              </w:rPr>
            </w:pPr>
            <w:r>
              <w:rPr>
                <w:sz w:val="4"/>
                <w:szCs w:val="4"/>
              </w:rPr>
            </w:r>
          </w:p>
        </w:tc>
        <w:tc>
          <w:tcPr>
            <w:tcW w:w="60" w:type="dxa"/>
            <w:tcBorders/>
            <w:shd w:fill="CCEEFF" w:val="clear"/>
            <w:vAlign w:val="bottom"/>
          </w:tcPr>
          <w:p>
            <w:pPr>
              <w:pStyle w:val="TableContents"/>
              <w:bidi w:val="0"/>
              <w:spacing w:before="0" w:after="0"/>
              <w:ind w:left="0" w:right="0" w:hanging="0"/>
              <w:jc w:val="left"/>
              <w:rPr/>
            </w:pPr>
            <w:r>
              <w:rPr/>
              <w:t> </w:t>
            </w:r>
          </w:p>
        </w:tc>
        <w:tc>
          <w:tcPr>
            <w:tcW w:w="276" w:type="dxa"/>
            <w:tcBorders/>
            <w:shd w:fill="CCEE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1213" w:type="dxa"/>
            <w:tcBorders/>
            <w:shd w:fill="CCEEFF" w:val="clear"/>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(251.0</w:t>
            </w:r>
          </w:p>
        </w:tc>
        <w:tc>
          <w:tcPr>
            <w:tcW w:w="95" w:type="dxa"/>
            <w:tcBorders/>
            <w:shd w:fill="CCEE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60" w:type="dxa"/>
            <w:tcBorders/>
            <w:shd w:fill="CCEEFF" w:val="clear"/>
            <w:vAlign w:val="bottom"/>
          </w:tcPr>
          <w:p>
            <w:pPr>
              <w:pStyle w:val="TableContents"/>
              <w:bidi w:val="0"/>
              <w:spacing w:before="0" w:after="0"/>
              <w:ind w:left="0" w:right="0" w:hanging="0"/>
              <w:jc w:val="left"/>
              <w:rPr/>
            </w:pPr>
            <w:r>
              <w:rPr/>
              <w:t> </w:t>
            </w:r>
          </w:p>
        </w:tc>
        <w:tc>
          <w:tcPr>
            <w:tcW w:w="302" w:type="dxa"/>
            <w:tcBorders/>
            <w:shd w:fill="CCEE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813" w:type="dxa"/>
            <w:tcBorders/>
            <w:shd w:fill="CCEEFF" w:val="clear"/>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(0.2</w:t>
            </w:r>
          </w:p>
        </w:tc>
        <w:tc>
          <w:tcPr>
            <w:tcW w:w="95" w:type="dxa"/>
            <w:tcBorders/>
            <w:shd w:fill="CCEE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635" w:type="dxa"/>
            <w:tcBorders/>
            <w:shd w:fill="CCEEFF" w:val="clear"/>
            <w:vAlign w:val="bottom"/>
          </w:tcPr>
          <w:p>
            <w:pPr>
              <w:pStyle w:val="TableContents"/>
              <w:bidi w:val="0"/>
              <w:spacing w:before="0" w:after="0"/>
              <w:jc w:val="right"/>
              <w:rPr>
                <w:rFonts w:ascii="times new roman;times" w:hAnsi="times new roman;times"/>
                <w:sz w:val="20"/>
              </w:rPr>
            </w:pPr>
            <w:r>
              <w:rPr>
                <w:rFonts w:ascii="times new roman;times" w:hAnsi="times new roman;times"/>
                <w:sz w:val="20"/>
              </w:rPr>
              <w:t>1,244.4</w:t>
            </w:r>
          </w:p>
        </w:tc>
        <w:tc>
          <w:tcPr>
            <w:tcW w:w="110" w:type="dxa"/>
            <w:tcBorders/>
            <w:shd w:fill="CCEEFF" w:val="clear"/>
            <w:vAlign w:val="bottom"/>
          </w:tcPr>
          <w:p>
            <w:pPr>
              <w:pStyle w:val="TableContents"/>
              <w:bidi w:val="0"/>
              <w:spacing w:before="0" w:after="283"/>
              <w:jc w:val="left"/>
              <w:rPr>
                <w:sz w:val="4"/>
                <w:szCs w:val="4"/>
              </w:rPr>
            </w:pPr>
            <w:r>
              <w:rPr>
                <w:sz w:val="4"/>
                <w:szCs w:val="4"/>
              </w:rPr>
            </w:r>
          </w:p>
        </w:tc>
      </w:tr>
      <w:tr>
        <w:trPr/>
        <w:tc>
          <w:tcPr>
            <w:tcW w:w="3365" w:type="dxa"/>
            <w:tcBorders/>
            <w:vAlign w:val="bottom"/>
          </w:tcPr>
          <w:p>
            <w:pPr>
              <w:pStyle w:val="TableContents"/>
              <w:bidi w:val="0"/>
              <w:spacing w:before="0" w:after="0"/>
              <w:jc w:val="left"/>
              <w:rPr>
                <w:rFonts w:ascii="times new roman;times" w:hAnsi="times new roman;times"/>
                <w:sz w:val="20"/>
              </w:rPr>
            </w:pPr>
            <w:r>
              <w:rPr>
                <w:rFonts w:ascii="times new roman;times" w:hAnsi="times new roman;times"/>
                <w:sz w:val="20"/>
              </w:rPr>
              <w:t>Net income (loss)</w:t>
            </w:r>
          </w:p>
        </w:tc>
        <w:tc>
          <w:tcPr>
            <w:tcW w:w="232" w:type="dxa"/>
            <w:tcBorders/>
            <w:vAlign w:val="bottom"/>
          </w:tcPr>
          <w:p>
            <w:pPr>
              <w:pStyle w:val="TableContents"/>
              <w:bidi w:val="0"/>
              <w:spacing w:before="0" w:after="283"/>
              <w:ind w:left="0" w:right="0" w:hanging="0"/>
              <w:jc w:val="left"/>
              <w:rPr>
                <w:sz w:val="4"/>
                <w:szCs w:val="4"/>
              </w:rPr>
            </w:pPr>
            <w:r>
              <w:rPr>
                <w:sz w:val="4"/>
                <w:szCs w:val="4"/>
              </w:rPr>
            </w:r>
          </w:p>
        </w:tc>
        <w:tc>
          <w:tcPr>
            <w:tcW w:w="1182" w:type="dxa"/>
            <w:tcBorders/>
            <w:vAlign w:val="bottom"/>
          </w:tcPr>
          <w:p>
            <w:pPr>
              <w:pStyle w:val="TableContents"/>
              <w:bidi w:val="0"/>
              <w:spacing w:before="0" w:after="0"/>
              <w:ind w:left="0" w:right="0" w:hanging="0"/>
              <w:jc w:val="right"/>
              <w:rPr>
                <w:sz w:val="20"/>
              </w:rPr>
            </w:pPr>
            <w:r>
              <w:rPr>
                <w:sz w:val="20"/>
              </w:rPr>
              <w:t>20.1</w:t>
            </w:r>
          </w:p>
        </w:tc>
        <w:tc>
          <w:tcPr>
            <w:tcW w:w="23" w:type="dxa"/>
            <w:tcBorders/>
            <w:vAlign w:val="bottom"/>
          </w:tcPr>
          <w:p>
            <w:pPr>
              <w:pStyle w:val="TableContents"/>
              <w:bidi w:val="0"/>
              <w:spacing w:before="0" w:after="283"/>
              <w:ind w:left="0" w:right="0" w:hanging="0"/>
              <w:jc w:val="left"/>
              <w:rPr>
                <w:sz w:val="4"/>
                <w:szCs w:val="4"/>
              </w:rPr>
            </w:pPr>
            <w:r>
              <w:rPr>
                <w:sz w:val="4"/>
                <w:szCs w:val="4"/>
              </w:rPr>
            </w:r>
          </w:p>
        </w:tc>
        <w:tc>
          <w:tcPr>
            <w:tcW w:w="60" w:type="dxa"/>
            <w:tcBorders/>
            <w:vAlign w:val="bottom"/>
          </w:tcPr>
          <w:p>
            <w:pPr>
              <w:pStyle w:val="TableContents"/>
              <w:bidi w:val="0"/>
              <w:spacing w:before="0" w:after="0"/>
              <w:ind w:left="0" w:right="0" w:hanging="0"/>
              <w:jc w:val="left"/>
              <w:rPr/>
            </w:pPr>
            <w:r>
              <w:rPr/>
              <w:t> </w:t>
            </w:r>
          </w:p>
        </w:tc>
        <w:tc>
          <w:tcPr>
            <w:tcW w:w="276" w:type="dxa"/>
            <w:tcBorders/>
            <w:vAlign w:val="bottom"/>
          </w:tcPr>
          <w:p>
            <w:pPr>
              <w:pStyle w:val="TableContents"/>
              <w:bidi w:val="0"/>
              <w:spacing w:before="0" w:after="0"/>
              <w:ind w:left="0" w:right="0" w:hanging="0"/>
              <w:jc w:val="left"/>
              <w:rPr/>
            </w:pPr>
            <w:r>
              <w:rPr/>
              <w:t> </w:t>
            </w:r>
          </w:p>
        </w:tc>
        <w:tc>
          <w:tcPr>
            <w:tcW w:w="1213" w:type="dxa"/>
            <w:tcBorders/>
            <w:vAlign w:val="bottom"/>
          </w:tcPr>
          <w:p>
            <w:pPr>
              <w:pStyle w:val="TableContents"/>
              <w:bidi w:val="0"/>
              <w:spacing w:before="0" w:after="0"/>
              <w:ind w:left="0" w:right="0" w:hanging="0"/>
              <w:jc w:val="right"/>
              <w:rPr/>
            </w:pPr>
            <w:r>
              <w:rPr/>
              <w:t>—</w:t>
            </w:r>
          </w:p>
        </w:tc>
        <w:tc>
          <w:tcPr>
            <w:tcW w:w="95" w:type="dxa"/>
            <w:tcBorders/>
            <w:vAlign w:val="bottom"/>
          </w:tcPr>
          <w:p>
            <w:pPr>
              <w:pStyle w:val="TableContents"/>
              <w:bidi w:val="0"/>
              <w:spacing w:before="0" w:after="283"/>
              <w:ind w:left="0" w:right="0" w:hanging="0"/>
              <w:jc w:val="left"/>
              <w:rPr>
                <w:sz w:val="4"/>
                <w:szCs w:val="4"/>
              </w:rPr>
            </w:pPr>
            <w:r>
              <w:rPr>
                <w:sz w:val="4"/>
                <w:szCs w:val="4"/>
              </w:rPr>
            </w:r>
          </w:p>
        </w:tc>
        <w:tc>
          <w:tcPr>
            <w:tcW w:w="60" w:type="dxa"/>
            <w:tcBorders/>
            <w:vAlign w:val="bottom"/>
          </w:tcPr>
          <w:p>
            <w:pPr>
              <w:pStyle w:val="TableContents"/>
              <w:bidi w:val="0"/>
              <w:spacing w:before="0" w:after="0"/>
              <w:ind w:left="0" w:right="0" w:hanging="0"/>
              <w:jc w:val="left"/>
              <w:rPr/>
            </w:pPr>
            <w:r>
              <w:rPr/>
              <w:t> </w:t>
            </w:r>
          </w:p>
        </w:tc>
        <w:tc>
          <w:tcPr>
            <w:tcW w:w="302" w:type="dxa"/>
            <w:tcBorders/>
            <w:vAlign w:val="bottom"/>
          </w:tcPr>
          <w:p>
            <w:pPr>
              <w:pStyle w:val="TableContents"/>
              <w:bidi w:val="0"/>
              <w:spacing w:before="0" w:after="283"/>
              <w:ind w:left="0" w:right="0" w:hanging="0"/>
              <w:jc w:val="left"/>
              <w:rPr>
                <w:sz w:val="4"/>
                <w:szCs w:val="4"/>
              </w:rPr>
            </w:pPr>
            <w:r>
              <w:rPr>
                <w:sz w:val="4"/>
                <w:szCs w:val="4"/>
              </w:rPr>
            </w:r>
          </w:p>
        </w:tc>
        <w:tc>
          <w:tcPr>
            <w:tcW w:w="813" w:type="dxa"/>
            <w:tcBorders/>
            <w:vAlign w:val="bottom"/>
          </w:tcPr>
          <w:p>
            <w:pPr>
              <w:pStyle w:val="TableContents"/>
              <w:bidi w:val="0"/>
              <w:spacing w:before="0" w:after="0"/>
              <w:ind w:left="0" w:right="0" w:hanging="0"/>
              <w:jc w:val="right"/>
              <w:rPr>
                <w:sz w:val="20"/>
              </w:rPr>
            </w:pPr>
            <w:r>
              <w:rPr>
                <w:sz w:val="20"/>
              </w:rPr>
              <w:t>(0.3</w:t>
            </w:r>
          </w:p>
        </w:tc>
        <w:tc>
          <w:tcPr>
            <w:tcW w:w="95" w:type="dxa"/>
            <w:tcBorders/>
            <w:vAlign w:val="bottom"/>
          </w:tcPr>
          <w:p>
            <w:pPr>
              <w:pStyle w:val="TableContents"/>
              <w:bidi w:val="0"/>
              <w:spacing w:before="0" w:after="0"/>
              <w:ind w:left="0" w:right="0" w:hanging="0"/>
              <w:jc w:val="left"/>
              <w:rPr/>
            </w:pPr>
            <w:r>
              <w:rPr/>
              <w:t>)</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right"/>
              <w:rPr>
                <w:sz w:val="20"/>
              </w:rPr>
            </w:pPr>
            <w:r>
              <w:rPr>
                <w:sz w:val="20"/>
              </w:rPr>
            </w:r>
          </w:p>
        </w:tc>
        <w:tc>
          <w:tcPr>
            <w:tcW w:w="635" w:type="dxa"/>
            <w:tcBorders/>
            <w:vAlign w:val="center"/>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19.8</w:t>
            </w:r>
          </w:p>
        </w:tc>
        <w:tc>
          <w:tcPr>
            <w:tcW w:w="110" w:type="dxa"/>
            <w:tcBorders/>
            <w:vAlign w:val="bottom"/>
          </w:tcPr>
          <w:p>
            <w:pPr>
              <w:pStyle w:val="TableContents"/>
              <w:bidi w:val="0"/>
              <w:spacing w:before="0" w:after="283"/>
              <w:jc w:val="left"/>
              <w:rPr>
                <w:sz w:val="4"/>
                <w:szCs w:val="4"/>
              </w:rPr>
            </w:pPr>
            <w:r>
              <w:rPr>
                <w:sz w:val="4"/>
                <w:szCs w:val="4"/>
              </w:rPr>
            </w:r>
          </w:p>
        </w:tc>
      </w:tr>
      <w:tr>
        <w:trPr/>
        <w:tc>
          <w:tcPr>
            <w:tcW w:w="3365" w:type="dxa"/>
            <w:tcBorders/>
            <w:shd w:fill="CCEEFF" w:val="clear"/>
            <w:vAlign w:val="bottom"/>
          </w:tcPr>
          <w:p>
            <w:pPr>
              <w:pStyle w:val="TableContents"/>
              <w:bidi w:val="0"/>
              <w:spacing w:before="0" w:after="0"/>
              <w:jc w:val="left"/>
              <w:rPr>
                <w:rFonts w:ascii="times new roman;times" w:hAnsi="times new roman;times"/>
                <w:sz w:val="20"/>
              </w:rPr>
            </w:pPr>
            <w:r>
              <w:rPr>
                <w:rFonts w:ascii="times new roman;times" w:hAnsi="times new roman;times"/>
                <w:sz w:val="20"/>
              </w:rPr>
              <w:t>Other comprehensive income</w:t>
            </w:r>
          </w:p>
        </w:tc>
        <w:tc>
          <w:tcPr>
            <w:tcW w:w="232" w:type="dxa"/>
            <w:tcBorders/>
            <w:shd w:fill="CCEEFF" w:val="clear"/>
            <w:vAlign w:val="bottom"/>
          </w:tcPr>
          <w:p>
            <w:pPr>
              <w:pStyle w:val="TableContents"/>
              <w:bidi w:val="0"/>
              <w:spacing w:before="0" w:after="0"/>
              <w:ind w:left="0" w:right="0" w:hanging="0"/>
              <w:jc w:val="left"/>
              <w:rPr/>
            </w:pPr>
            <w:r>
              <w:rPr/>
              <w:t> </w:t>
            </w:r>
          </w:p>
        </w:tc>
        <w:tc>
          <w:tcPr>
            <w:tcW w:w="1182" w:type="dxa"/>
            <w:tcBorders/>
            <w:shd w:fill="CCEEFF" w:val="clear"/>
            <w:vAlign w:val="bottom"/>
          </w:tcPr>
          <w:p>
            <w:pPr>
              <w:pStyle w:val="TableContents"/>
              <w:bidi w:val="0"/>
              <w:spacing w:before="0" w:after="0"/>
              <w:ind w:left="0" w:right="0" w:hanging="0"/>
              <w:jc w:val="right"/>
              <w:rPr/>
            </w:pPr>
            <w:r>
              <w:rPr/>
              <w:t>—</w:t>
            </w:r>
          </w:p>
        </w:tc>
        <w:tc>
          <w:tcPr>
            <w:tcW w:w="23" w:type="dxa"/>
            <w:tcBorders/>
            <w:shd w:fill="CCEEFF" w:val="clear"/>
            <w:vAlign w:val="bottom"/>
          </w:tcPr>
          <w:p>
            <w:pPr>
              <w:pStyle w:val="TableContents"/>
              <w:bidi w:val="0"/>
              <w:spacing w:before="0" w:after="283"/>
              <w:ind w:left="0" w:right="0" w:hanging="0"/>
              <w:jc w:val="left"/>
              <w:rPr>
                <w:sz w:val="4"/>
                <w:szCs w:val="4"/>
              </w:rPr>
            </w:pPr>
            <w:r>
              <w:rPr>
                <w:sz w:val="4"/>
                <w:szCs w:val="4"/>
              </w:rPr>
            </w:r>
          </w:p>
        </w:tc>
        <w:tc>
          <w:tcPr>
            <w:tcW w:w="60" w:type="dxa"/>
            <w:tcBorders/>
            <w:shd w:fill="CCEEFF" w:val="clear"/>
            <w:vAlign w:val="bottom"/>
          </w:tcPr>
          <w:p>
            <w:pPr>
              <w:pStyle w:val="TableContents"/>
              <w:bidi w:val="0"/>
              <w:spacing w:before="0" w:after="0"/>
              <w:ind w:left="0" w:right="0" w:hanging="0"/>
              <w:jc w:val="left"/>
              <w:rPr/>
            </w:pPr>
            <w:r>
              <w:rPr/>
              <w:t> </w:t>
            </w:r>
          </w:p>
        </w:tc>
        <w:tc>
          <w:tcPr>
            <w:tcW w:w="276" w:type="dxa"/>
            <w:tcBorders/>
            <w:shd w:fill="CCEEFF" w:val="clear"/>
            <w:vAlign w:val="bottom"/>
          </w:tcPr>
          <w:p>
            <w:pPr>
              <w:pStyle w:val="TableContents"/>
              <w:bidi w:val="0"/>
              <w:spacing w:before="0" w:after="283"/>
              <w:ind w:left="0" w:right="0" w:hanging="0"/>
              <w:jc w:val="left"/>
              <w:rPr>
                <w:sz w:val="4"/>
                <w:szCs w:val="4"/>
              </w:rPr>
            </w:pPr>
            <w:r>
              <w:rPr>
                <w:sz w:val="4"/>
                <w:szCs w:val="4"/>
              </w:rPr>
            </w:r>
          </w:p>
        </w:tc>
        <w:tc>
          <w:tcPr>
            <w:tcW w:w="1213" w:type="dxa"/>
            <w:tcBorders/>
            <w:shd w:fill="CCEEFF" w:val="clear"/>
            <w:vAlign w:val="bottom"/>
          </w:tcPr>
          <w:p>
            <w:pPr>
              <w:pStyle w:val="TableContents"/>
              <w:bidi w:val="0"/>
              <w:spacing w:before="0" w:after="0"/>
              <w:ind w:left="0" w:right="0" w:hanging="0"/>
              <w:jc w:val="right"/>
              <w:rPr>
                <w:sz w:val="20"/>
              </w:rPr>
            </w:pPr>
            <w:r>
              <w:rPr>
                <w:sz w:val="20"/>
              </w:rPr>
              <w:t>20.8</w:t>
            </w:r>
          </w:p>
        </w:tc>
        <w:tc>
          <w:tcPr>
            <w:tcW w:w="95" w:type="dxa"/>
            <w:tcBorders/>
            <w:shd w:fill="CCEEFF" w:val="clear"/>
            <w:vAlign w:val="bottom"/>
          </w:tcPr>
          <w:p>
            <w:pPr>
              <w:pStyle w:val="TableContents"/>
              <w:bidi w:val="0"/>
              <w:spacing w:before="0" w:after="283"/>
              <w:ind w:left="0" w:right="0" w:hanging="0"/>
              <w:jc w:val="left"/>
              <w:rPr>
                <w:sz w:val="4"/>
                <w:szCs w:val="4"/>
              </w:rPr>
            </w:pPr>
            <w:r>
              <w:rPr>
                <w:sz w:val="4"/>
                <w:szCs w:val="4"/>
              </w:rPr>
            </w:r>
          </w:p>
        </w:tc>
        <w:tc>
          <w:tcPr>
            <w:tcW w:w="60" w:type="dxa"/>
            <w:tcBorders/>
            <w:shd w:fill="CCEEFF" w:val="clear"/>
            <w:vAlign w:val="bottom"/>
          </w:tcPr>
          <w:p>
            <w:pPr>
              <w:pStyle w:val="TableContents"/>
              <w:bidi w:val="0"/>
              <w:spacing w:before="0" w:after="0"/>
              <w:ind w:left="0" w:right="0" w:hanging="0"/>
              <w:jc w:val="left"/>
              <w:rPr/>
            </w:pPr>
            <w:r>
              <w:rPr/>
              <w:t> </w:t>
            </w:r>
          </w:p>
        </w:tc>
        <w:tc>
          <w:tcPr>
            <w:tcW w:w="302" w:type="dxa"/>
            <w:tcBorders/>
            <w:shd w:fill="CCEEFF" w:val="clear"/>
            <w:vAlign w:val="bottom"/>
          </w:tcPr>
          <w:p>
            <w:pPr>
              <w:pStyle w:val="TableContents"/>
              <w:bidi w:val="0"/>
              <w:spacing w:before="0" w:after="283"/>
              <w:ind w:left="0" w:right="0" w:hanging="0"/>
              <w:jc w:val="left"/>
              <w:rPr>
                <w:sz w:val="4"/>
                <w:szCs w:val="4"/>
              </w:rPr>
            </w:pPr>
            <w:r>
              <w:rPr>
                <w:sz w:val="4"/>
                <w:szCs w:val="4"/>
              </w:rPr>
            </w:r>
          </w:p>
        </w:tc>
        <w:tc>
          <w:tcPr>
            <w:tcW w:w="813" w:type="dxa"/>
            <w:tcBorders/>
            <w:shd w:fill="CCEEFF" w:val="clear"/>
            <w:vAlign w:val="bottom"/>
          </w:tcPr>
          <w:p>
            <w:pPr>
              <w:pStyle w:val="TableContents"/>
              <w:bidi w:val="0"/>
              <w:spacing w:before="0" w:after="0"/>
              <w:ind w:left="0" w:right="0" w:hanging="0"/>
              <w:jc w:val="right"/>
              <w:rPr>
                <w:sz w:val="20"/>
              </w:rPr>
            </w:pPr>
            <w:r>
              <w:rPr>
                <w:sz w:val="20"/>
              </w:rPr>
              <w:t>0.1</w:t>
            </w:r>
          </w:p>
        </w:tc>
        <w:tc>
          <w:tcPr>
            <w:tcW w:w="95" w:type="dxa"/>
            <w:tcBorders/>
            <w:shd w:fill="CCEEFF" w:val="clear"/>
            <w:vAlign w:val="bottom"/>
          </w:tcPr>
          <w:p>
            <w:pPr>
              <w:pStyle w:val="TableContents"/>
              <w:bidi w:val="0"/>
              <w:spacing w:before="0" w:after="283"/>
              <w:ind w:left="0" w:right="0" w:hanging="0"/>
              <w:jc w:val="left"/>
              <w:rPr>
                <w:sz w:val="4"/>
                <w:szCs w:val="4"/>
              </w:rPr>
            </w:pPr>
            <w:r>
              <w:rPr>
                <w:sz w:val="4"/>
                <w:szCs w:val="4"/>
              </w:rPr>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right"/>
              <w:rPr>
                <w:sz w:val="20"/>
              </w:rPr>
            </w:pPr>
            <w:r>
              <w:rPr>
                <w:sz w:val="20"/>
              </w:rPr>
            </w:r>
          </w:p>
        </w:tc>
        <w:tc>
          <w:tcPr>
            <w:tcW w:w="635" w:type="dxa"/>
            <w:tcBorders/>
            <w:shd w:fill="CCEEFF" w:val="clear"/>
            <w:vAlign w:val="center"/>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20.9</w:t>
            </w:r>
          </w:p>
        </w:tc>
        <w:tc>
          <w:tcPr>
            <w:tcW w:w="110" w:type="dxa"/>
            <w:tcBorders/>
            <w:shd w:fill="CCEEFF" w:val="clear"/>
            <w:vAlign w:val="bottom"/>
          </w:tcPr>
          <w:p>
            <w:pPr>
              <w:pStyle w:val="TableContents"/>
              <w:bidi w:val="0"/>
              <w:spacing w:before="0" w:after="283"/>
              <w:jc w:val="left"/>
              <w:rPr>
                <w:sz w:val="4"/>
                <w:szCs w:val="4"/>
              </w:rPr>
            </w:pPr>
            <w:r>
              <w:rPr>
                <w:sz w:val="4"/>
                <w:szCs w:val="4"/>
              </w:rPr>
            </w:r>
          </w:p>
        </w:tc>
      </w:tr>
      <w:tr>
        <w:trPr/>
        <w:tc>
          <w:tcPr>
            <w:tcW w:w="3365" w:type="dxa"/>
            <w:tcBorders/>
            <w:vAlign w:val="bottom"/>
          </w:tcPr>
          <w:p>
            <w:pPr>
              <w:pStyle w:val="TableContents"/>
              <w:bidi w:val="0"/>
              <w:spacing w:before="0" w:after="0"/>
              <w:jc w:val="left"/>
              <w:rPr>
                <w:rFonts w:ascii="times new roman;times" w:hAnsi="times new roman;times"/>
                <w:sz w:val="20"/>
              </w:rPr>
            </w:pPr>
            <w:r>
              <w:rPr>
                <w:rFonts w:ascii="times new roman;times" w:hAnsi="times new roman;times"/>
                <w:sz w:val="20"/>
              </w:rPr>
              <w:t>Stock issued under employee stock plans</w:t>
            </w:r>
          </w:p>
        </w:tc>
        <w:tc>
          <w:tcPr>
            <w:tcW w:w="232" w:type="dxa"/>
            <w:tcBorders/>
            <w:vAlign w:val="bottom"/>
          </w:tcPr>
          <w:p>
            <w:pPr>
              <w:pStyle w:val="TableContents"/>
              <w:bidi w:val="0"/>
              <w:spacing w:before="0" w:after="0"/>
              <w:ind w:left="0" w:right="0" w:hanging="0"/>
              <w:jc w:val="left"/>
              <w:rPr/>
            </w:pPr>
            <w:r>
              <w:rPr/>
              <w:t> </w:t>
            </w:r>
          </w:p>
        </w:tc>
        <w:tc>
          <w:tcPr>
            <w:tcW w:w="1182" w:type="dxa"/>
            <w:tcBorders/>
            <w:vAlign w:val="bottom"/>
          </w:tcPr>
          <w:p>
            <w:pPr>
              <w:pStyle w:val="TableContents"/>
              <w:bidi w:val="0"/>
              <w:spacing w:before="0" w:after="0"/>
              <w:ind w:left="0" w:right="0" w:hanging="0"/>
              <w:jc w:val="right"/>
              <w:rPr/>
            </w:pPr>
            <w:r>
              <w:rPr/>
              <w:t>—</w:t>
            </w:r>
          </w:p>
        </w:tc>
        <w:tc>
          <w:tcPr>
            <w:tcW w:w="23" w:type="dxa"/>
            <w:tcBorders/>
            <w:vAlign w:val="bottom"/>
          </w:tcPr>
          <w:p>
            <w:pPr>
              <w:pStyle w:val="TableContents"/>
              <w:bidi w:val="0"/>
              <w:spacing w:before="0" w:after="283"/>
              <w:ind w:left="0" w:right="0" w:hanging="0"/>
              <w:jc w:val="left"/>
              <w:rPr>
                <w:sz w:val="4"/>
                <w:szCs w:val="4"/>
              </w:rPr>
            </w:pPr>
            <w:r>
              <w:rPr>
                <w:sz w:val="4"/>
                <w:szCs w:val="4"/>
              </w:rPr>
            </w:r>
          </w:p>
        </w:tc>
        <w:tc>
          <w:tcPr>
            <w:tcW w:w="60" w:type="dxa"/>
            <w:tcBorders/>
            <w:vAlign w:val="bottom"/>
          </w:tcPr>
          <w:p>
            <w:pPr>
              <w:pStyle w:val="TableContents"/>
              <w:bidi w:val="0"/>
              <w:spacing w:before="0" w:after="0"/>
              <w:ind w:left="0" w:right="0" w:hanging="0"/>
              <w:jc w:val="left"/>
              <w:rPr/>
            </w:pPr>
            <w:r>
              <w:rPr/>
              <w:t> </w:t>
            </w:r>
          </w:p>
        </w:tc>
        <w:tc>
          <w:tcPr>
            <w:tcW w:w="276" w:type="dxa"/>
            <w:tcBorders/>
            <w:vAlign w:val="bottom"/>
          </w:tcPr>
          <w:p>
            <w:pPr>
              <w:pStyle w:val="TableContents"/>
              <w:bidi w:val="0"/>
              <w:spacing w:before="0" w:after="0"/>
              <w:ind w:left="0" w:right="0" w:hanging="0"/>
              <w:jc w:val="left"/>
              <w:rPr/>
            </w:pPr>
            <w:r>
              <w:rPr/>
              <w:t> </w:t>
            </w:r>
          </w:p>
        </w:tc>
        <w:tc>
          <w:tcPr>
            <w:tcW w:w="1213" w:type="dxa"/>
            <w:tcBorders/>
            <w:vAlign w:val="bottom"/>
          </w:tcPr>
          <w:p>
            <w:pPr>
              <w:pStyle w:val="TableContents"/>
              <w:bidi w:val="0"/>
              <w:spacing w:before="0" w:after="0"/>
              <w:ind w:left="0" w:right="0" w:hanging="0"/>
              <w:jc w:val="right"/>
              <w:rPr/>
            </w:pPr>
            <w:r>
              <w:rPr/>
              <w:t>—</w:t>
            </w:r>
          </w:p>
        </w:tc>
        <w:tc>
          <w:tcPr>
            <w:tcW w:w="95" w:type="dxa"/>
            <w:tcBorders/>
            <w:vAlign w:val="bottom"/>
          </w:tcPr>
          <w:p>
            <w:pPr>
              <w:pStyle w:val="TableContents"/>
              <w:bidi w:val="0"/>
              <w:spacing w:before="0" w:after="283"/>
              <w:ind w:left="0" w:right="0" w:hanging="0"/>
              <w:jc w:val="left"/>
              <w:rPr>
                <w:sz w:val="4"/>
                <w:szCs w:val="4"/>
              </w:rPr>
            </w:pPr>
            <w:r>
              <w:rPr>
                <w:sz w:val="4"/>
                <w:szCs w:val="4"/>
              </w:rPr>
            </w:r>
          </w:p>
        </w:tc>
        <w:tc>
          <w:tcPr>
            <w:tcW w:w="60" w:type="dxa"/>
            <w:tcBorders/>
            <w:vAlign w:val="bottom"/>
          </w:tcPr>
          <w:p>
            <w:pPr>
              <w:pStyle w:val="TableContents"/>
              <w:bidi w:val="0"/>
              <w:spacing w:before="0" w:after="0"/>
              <w:ind w:left="0" w:right="0" w:hanging="0"/>
              <w:jc w:val="left"/>
              <w:rPr/>
            </w:pPr>
            <w:r>
              <w:rPr/>
              <w:t> </w:t>
            </w:r>
          </w:p>
        </w:tc>
        <w:tc>
          <w:tcPr>
            <w:tcW w:w="302" w:type="dxa"/>
            <w:tcBorders/>
            <w:vAlign w:val="bottom"/>
          </w:tcPr>
          <w:p>
            <w:pPr>
              <w:pStyle w:val="TableContents"/>
              <w:bidi w:val="0"/>
              <w:spacing w:before="0" w:after="0"/>
              <w:ind w:left="0" w:right="0" w:hanging="0"/>
              <w:jc w:val="left"/>
              <w:rPr/>
            </w:pPr>
            <w:r>
              <w:rPr/>
              <w:t> </w:t>
            </w:r>
          </w:p>
        </w:tc>
        <w:tc>
          <w:tcPr>
            <w:tcW w:w="813" w:type="dxa"/>
            <w:tcBorders/>
            <w:vAlign w:val="bottom"/>
          </w:tcPr>
          <w:p>
            <w:pPr>
              <w:pStyle w:val="TableContents"/>
              <w:bidi w:val="0"/>
              <w:spacing w:before="0" w:after="0"/>
              <w:ind w:left="0" w:right="0" w:hanging="0"/>
              <w:jc w:val="right"/>
              <w:rPr/>
            </w:pPr>
            <w:r>
              <w:rPr/>
              <w:t>—</w:t>
            </w:r>
          </w:p>
        </w:tc>
        <w:tc>
          <w:tcPr>
            <w:tcW w:w="95" w:type="dxa"/>
            <w:tcBorders/>
            <w:vAlign w:val="bottom"/>
          </w:tcPr>
          <w:p>
            <w:pPr>
              <w:pStyle w:val="TableContents"/>
              <w:bidi w:val="0"/>
              <w:spacing w:before="0" w:after="283"/>
              <w:ind w:left="0" w:right="0" w:hanging="0"/>
              <w:jc w:val="left"/>
              <w:rPr>
                <w:sz w:val="4"/>
                <w:szCs w:val="4"/>
              </w:rPr>
            </w:pPr>
            <w:r>
              <w:rPr>
                <w:sz w:val="4"/>
                <w:szCs w:val="4"/>
              </w:rPr>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right"/>
              <w:rPr>
                <w:sz w:val="20"/>
              </w:rPr>
            </w:pPr>
            <w:r>
              <w:rPr>
                <w:sz w:val="20"/>
              </w:rPr>
            </w:r>
          </w:p>
        </w:tc>
        <w:tc>
          <w:tcPr>
            <w:tcW w:w="635" w:type="dxa"/>
            <w:tcBorders/>
            <w:vAlign w:val="center"/>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1.0</w:t>
            </w:r>
          </w:p>
        </w:tc>
        <w:tc>
          <w:tcPr>
            <w:tcW w:w="110" w:type="dxa"/>
            <w:tcBorders/>
            <w:vAlign w:val="bottom"/>
          </w:tcPr>
          <w:p>
            <w:pPr>
              <w:pStyle w:val="TableContents"/>
              <w:bidi w:val="0"/>
              <w:spacing w:before="0" w:after="283"/>
              <w:jc w:val="left"/>
              <w:rPr>
                <w:sz w:val="4"/>
                <w:szCs w:val="4"/>
              </w:rPr>
            </w:pPr>
            <w:r>
              <w:rPr>
                <w:sz w:val="4"/>
                <w:szCs w:val="4"/>
              </w:rPr>
            </w:r>
          </w:p>
        </w:tc>
      </w:tr>
      <w:tr>
        <w:trPr/>
        <w:tc>
          <w:tcPr>
            <w:tcW w:w="3365" w:type="dxa"/>
            <w:tcBorders/>
            <w:shd w:fill="CCEEFF" w:val="clear"/>
            <w:vAlign w:val="bottom"/>
          </w:tcPr>
          <w:p>
            <w:pPr>
              <w:pStyle w:val="TableContents"/>
              <w:bidi w:val="0"/>
              <w:spacing w:before="0" w:after="0"/>
              <w:jc w:val="left"/>
              <w:rPr>
                <w:rFonts w:ascii="times new roman;times" w:hAnsi="times new roman;times"/>
                <w:sz w:val="20"/>
              </w:rPr>
            </w:pPr>
            <w:r>
              <w:rPr>
                <w:rFonts w:ascii="times new roman;times" w:hAnsi="times new roman;times"/>
                <w:sz w:val="20"/>
              </w:rPr>
              <w:t>Share-based compensation</w:t>
            </w:r>
          </w:p>
        </w:tc>
        <w:tc>
          <w:tcPr>
            <w:tcW w:w="232" w:type="dxa"/>
            <w:tcBorders/>
            <w:shd w:fill="CCEEFF" w:val="clear"/>
            <w:vAlign w:val="bottom"/>
          </w:tcPr>
          <w:p>
            <w:pPr>
              <w:pStyle w:val="TableContents"/>
              <w:bidi w:val="0"/>
              <w:spacing w:before="0" w:after="0"/>
              <w:ind w:left="0" w:right="0" w:hanging="0"/>
              <w:jc w:val="left"/>
              <w:rPr/>
            </w:pPr>
            <w:r>
              <w:rPr/>
              <w:t> </w:t>
            </w:r>
          </w:p>
        </w:tc>
        <w:tc>
          <w:tcPr>
            <w:tcW w:w="1182" w:type="dxa"/>
            <w:tcBorders/>
            <w:shd w:fill="CCEEFF" w:val="clear"/>
            <w:vAlign w:val="bottom"/>
          </w:tcPr>
          <w:p>
            <w:pPr>
              <w:pStyle w:val="TableContents"/>
              <w:bidi w:val="0"/>
              <w:spacing w:before="0" w:after="0"/>
              <w:ind w:left="0" w:right="0" w:hanging="0"/>
              <w:jc w:val="right"/>
              <w:rPr/>
            </w:pPr>
            <w:r>
              <w:rPr/>
              <w:t>—</w:t>
            </w:r>
          </w:p>
        </w:tc>
        <w:tc>
          <w:tcPr>
            <w:tcW w:w="23" w:type="dxa"/>
            <w:tcBorders/>
            <w:shd w:fill="CCEEFF" w:val="clear"/>
            <w:vAlign w:val="bottom"/>
          </w:tcPr>
          <w:p>
            <w:pPr>
              <w:pStyle w:val="TableContents"/>
              <w:bidi w:val="0"/>
              <w:spacing w:before="0" w:after="283"/>
              <w:ind w:left="0" w:right="0" w:hanging="0"/>
              <w:jc w:val="left"/>
              <w:rPr>
                <w:sz w:val="4"/>
                <w:szCs w:val="4"/>
              </w:rPr>
            </w:pPr>
            <w:r>
              <w:rPr>
                <w:sz w:val="4"/>
                <w:szCs w:val="4"/>
              </w:rPr>
            </w:r>
          </w:p>
        </w:tc>
        <w:tc>
          <w:tcPr>
            <w:tcW w:w="60" w:type="dxa"/>
            <w:tcBorders/>
            <w:shd w:fill="CCEEFF" w:val="clear"/>
            <w:vAlign w:val="bottom"/>
          </w:tcPr>
          <w:p>
            <w:pPr>
              <w:pStyle w:val="TableContents"/>
              <w:bidi w:val="0"/>
              <w:spacing w:before="0" w:after="0"/>
              <w:ind w:left="0" w:right="0" w:hanging="0"/>
              <w:jc w:val="left"/>
              <w:rPr/>
            </w:pPr>
            <w:r>
              <w:rPr/>
              <w:t> </w:t>
            </w:r>
          </w:p>
        </w:tc>
        <w:tc>
          <w:tcPr>
            <w:tcW w:w="276" w:type="dxa"/>
            <w:tcBorders/>
            <w:shd w:fill="CCEEFF" w:val="clear"/>
            <w:vAlign w:val="bottom"/>
          </w:tcPr>
          <w:p>
            <w:pPr>
              <w:pStyle w:val="TableContents"/>
              <w:bidi w:val="0"/>
              <w:spacing w:before="0" w:after="0"/>
              <w:ind w:left="0" w:right="0" w:hanging="0"/>
              <w:jc w:val="left"/>
              <w:rPr/>
            </w:pPr>
            <w:r>
              <w:rPr/>
              <w:t> </w:t>
            </w:r>
          </w:p>
        </w:tc>
        <w:tc>
          <w:tcPr>
            <w:tcW w:w="1213" w:type="dxa"/>
            <w:tcBorders/>
            <w:shd w:fill="CCEEFF" w:val="clear"/>
            <w:vAlign w:val="bottom"/>
          </w:tcPr>
          <w:p>
            <w:pPr>
              <w:pStyle w:val="TableContents"/>
              <w:bidi w:val="0"/>
              <w:spacing w:before="0" w:after="0"/>
              <w:ind w:left="0" w:right="0" w:hanging="0"/>
              <w:jc w:val="right"/>
              <w:rPr/>
            </w:pPr>
            <w:r>
              <w:rPr/>
              <w:t>—</w:t>
            </w:r>
          </w:p>
        </w:tc>
        <w:tc>
          <w:tcPr>
            <w:tcW w:w="95" w:type="dxa"/>
            <w:tcBorders/>
            <w:shd w:fill="CCEEFF" w:val="clear"/>
            <w:vAlign w:val="bottom"/>
          </w:tcPr>
          <w:p>
            <w:pPr>
              <w:pStyle w:val="TableContents"/>
              <w:bidi w:val="0"/>
              <w:spacing w:before="0" w:after="283"/>
              <w:ind w:left="0" w:right="0" w:hanging="0"/>
              <w:jc w:val="left"/>
              <w:rPr>
                <w:sz w:val="4"/>
                <w:szCs w:val="4"/>
              </w:rPr>
            </w:pPr>
            <w:r>
              <w:rPr>
                <w:sz w:val="4"/>
                <w:szCs w:val="4"/>
              </w:rPr>
            </w:r>
          </w:p>
        </w:tc>
        <w:tc>
          <w:tcPr>
            <w:tcW w:w="60" w:type="dxa"/>
            <w:tcBorders/>
            <w:shd w:fill="CCEEFF" w:val="clear"/>
            <w:vAlign w:val="bottom"/>
          </w:tcPr>
          <w:p>
            <w:pPr>
              <w:pStyle w:val="TableContents"/>
              <w:bidi w:val="0"/>
              <w:spacing w:before="0" w:after="0"/>
              <w:ind w:left="0" w:right="0" w:hanging="0"/>
              <w:jc w:val="left"/>
              <w:rPr/>
            </w:pPr>
            <w:r>
              <w:rPr/>
              <w:t> </w:t>
            </w:r>
          </w:p>
        </w:tc>
        <w:tc>
          <w:tcPr>
            <w:tcW w:w="302" w:type="dxa"/>
            <w:tcBorders/>
            <w:shd w:fill="CCEEFF" w:val="clear"/>
            <w:vAlign w:val="bottom"/>
          </w:tcPr>
          <w:p>
            <w:pPr>
              <w:pStyle w:val="TableContents"/>
              <w:bidi w:val="0"/>
              <w:spacing w:before="0" w:after="0"/>
              <w:ind w:left="0" w:right="0" w:hanging="0"/>
              <w:jc w:val="left"/>
              <w:rPr/>
            </w:pPr>
            <w:r>
              <w:rPr/>
              <w:t> </w:t>
            </w:r>
          </w:p>
        </w:tc>
        <w:tc>
          <w:tcPr>
            <w:tcW w:w="813" w:type="dxa"/>
            <w:tcBorders/>
            <w:shd w:fill="CCEEFF" w:val="clear"/>
            <w:vAlign w:val="bottom"/>
          </w:tcPr>
          <w:p>
            <w:pPr>
              <w:pStyle w:val="TableContents"/>
              <w:bidi w:val="0"/>
              <w:spacing w:before="0" w:after="0"/>
              <w:ind w:left="0" w:right="0" w:hanging="0"/>
              <w:jc w:val="right"/>
              <w:rPr/>
            </w:pPr>
            <w:r>
              <w:rPr/>
              <w:t>—</w:t>
            </w:r>
          </w:p>
        </w:tc>
        <w:tc>
          <w:tcPr>
            <w:tcW w:w="95" w:type="dxa"/>
            <w:tcBorders/>
            <w:shd w:fill="CCEEFF" w:val="clear"/>
            <w:vAlign w:val="bottom"/>
          </w:tcPr>
          <w:p>
            <w:pPr>
              <w:pStyle w:val="TableContents"/>
              <w:bidi w:val="0"/>
              <w:spacing w:before="0" w:after="283"/>
              <w:ind w:left="0" w:right="0" w:hanging="0"/>
              <w:jc w:val="left"/>
              <w:rPr>
                <w:sz w:val="4"/>
                <w:szCs w:val="4"/>
              </w:rPr>
            </w:pPr>
            <w:r>
              <w:rPr>
                <w:sz w:val="4"/>
                <w:szCs w:val="4"/>
              </w:rPr>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right"/>
              <w:rPr>
                <w:sz w:val="20"/>
              </w:rPr>
            </w:pPr>
            <w:r>
              <w:rPr>
                <w:sz w:val="20"/>
              </w:rPr>
            </w:r>
          </w:p>
        </w:tc>
        <w:tc>
          <w:tcPr>
            <w:tcW w:w="635" w:type="dxa"/>
            <w:tcBorders/>
            <w:shd w:fill="CCEEFF" w:val="clear"/>
            <w:vAlign w:val="center"/>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14.3</w:t>
            </w:r>
          </w:p>
        </w:tc>
        <w:tc>
          <w:tcPr>
            <w:tcW w:w="110" w:type="dxa"/>
            <w:tcBorders/>
            <w:shd w:fill="CCEEFF" w:val="clear"/>
            <w:vAlign w:val="bottom"/>
          </w:tcPr>
          <w:p>
            <w:pPr>
              <w:pStyle w:val="TableContents"/>
              <w:bidi w:val="0"/>
              <w:spacing w:before="0" w:after="283"/>
              <w:jc w:val="left"/>
              <w:rPr>
                <w:sz w:val="4"/>
                <w:szCs w:val="4"/>
              </w:rPr>
            </w:pPr>
            <w:r>
              <w:rPr>
                <w:sz w:val="4"/>
                <w:szCs w:val="4"/>
              </w:rPr>
            </w:r>
          </w:p>
        </w:tc>
      </w:tr>
      <w:tr>
        <w:trPr/>
        <w:tc>
          <w:tcPr>
            <w:tcW w:w="3365" w:type="dxa"/>
            <w:tcBorders/>
            <w:vAlign w:val="bottom"/>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Repurchase of shares</w:t>
            </w:r>
          </w:p>
        </w:tc>
        <w:tc>
          <w:tcPr>
            <w:tcW w:w="232" w:type="dxa"/>
            <w:tcBorders/>
            <w:vAlign w:val="bottom"/>
          </w:tcPr>
          <w:p>
            <w:pPr>
              <w:pStyle w:val="TableContents"/>
              <w:bidi w:val="0"/>
              <w:spacing w:before="0" w:after="283"/>
              <w:ind w:left="0" w:right="0" w:hanging="0"/>
              <w:jc w:val="left"/>
              <w:rPr>
                <w:sz w:val="4"/>
                <w:szCs w:val="4"/>
              </w:rPr>
            </w:pPr>
            <w:r>
              <w:rPr>
                <w:sz w:val="4"/>
                <w:szCs w:val="4"/>
              </w:rPr>
            </w:r>
          </w:p>
        </w:tc>
        <w:tc>
          <w:tcPr>
            <w:tcW w:w="1182" w:type="dxa"/>
            <w:tcBorders/>
            <w:vAlign w:val="bottom"/>
          </w:tcPr>
          <w:p>
            <w:pPr>
              <w:pStyle w:val="TableContents"/>
              <w:bidi w:val="0"/>
              <w:spacing w:before="0" w:after="0"/>
              <w:ind w:left="0" w:right="0" w:hanging="0"/>
              <w:jc w:val="right"/>
              <w:rPr/>
            </w:pPr>
            <w:r>
              <w:rPr/>
              <w:t>—</w:t>
            </w:r>
          </w:p>
        </w:tc>
        <w:tc>
          <w:tcPr>
            <w:tcW w:w="23" w:type="dxa"/>
            <w:tcBorders/>
            <w:vAlign w:val="bottom"/>
          </w:tcPr>
          <w:p>
            <w:pPr>
              <w:pStyle w:val="TableContents"/>
              <w:bidi w:val="0"/>
              <w:spacing w:before="0" w:after="283"/>
              <w:ind w:left="0" w:right="0" w:hanging="0"/>
              <w:jc w:val="left"/>
              <w:rPr>
                <w:sz w:val="4"/>
                <w:szCs w:val="4"/>
              </w:rPr>
            </w:pPr>
            <w:r>
              <w:rPr>
                <w:sz w:val="4"/>
                <w:szCs w:val="4"/>
              </w:rPr>
            </w:r>
          </w:p>
        </w:tc>
        <w:tc>
          <w:tcPr>
            <w:tcW w:w="60" w:type="dxa"/>
            <w:tcBorders/>
            <w:vAlign w:val="bottom"/>
          </w:tcPr>
          <w:p>
            <w:pPr>
              <w:pStyle w:val="TableContents"/>
              <w:bidi w:val="0"/>
              <w:spacing w:before="0" w:after="283"/>
              <w:ind w:left="0" w:right="0" w:hanging="0"/>
              <w:jc w:val="left"/>
              <w:rPr>
                <w:sz w:val="4"/>
                <w:szCs w:val="4"/>
              </w:rPr>
            </w:pPr>
            <w:r>
              <w:rPr>
                <w:sz w:val="4"/>
                <w:szCs w:val="4"/>
              </w:rPr>
            </w:r>
          </w:p>
        </w:tc>
        <w:tc>
          <w:tcPr>
            <w:tcW w:w="276" w:type="dxa"/>
            <w:tcBorders/>
            <w:vAlign w:val="bottom"/>
          </w:tcPr>
          <w:p>
            <w:pPr>
              <w:pStyle w:val="TableContents"/>
              <w:bidi w:val="0"/>
              <w:spacing w:before="0" w:after="283"/>
              <w:ind w:left="0" w:right="0" w:hanging="0"/>
              <w:jc w:val="left"/>
              <w:rPr>
                <w:sz w:val="4"/>
                <w:szCs w:val="4"/>
              </w:rPr>
            </w:pPr>
            <w:r>
              <w:rPr>
                <w:sz w:val="4"/>
                <w:szCs w:val="4"/>
              </w:rPr>
            </w:r>
          </w:p>
        </w:tc>
        <w:tc>
          <w:tcPr>
            <w:tcW w:w="1213" w:type="dxa"/>
            <w:tcBorders/>
            <w:vAlign w:val="bottom"/>
          </w:tcPr>
          <w:p>
            <w:pPr>
              <w:pStyle w:val="TableContents"/>
              <w:bidi w:val="0"/>
              <w:spacing w:before="0" w:after="0"/>
              <w:ind w:left="0" w:right="0" w:hanging="0"/>
              <w:jc w:val="right"/>
              <w:rPr/>
            </w:pPr>
            <w:r>
              <w:rPr/>
              <w:t>—</w:t>
            </w:r>
          </w:p>
        </w:tc>
        <w:tc>
          <w:tcPr>
            <w:tcW w:w="95" w:type="dxa"/>
            <w:tcBorders/>
            <w:vAlign w:val="bottom"/>
          </w:tcPr>
          <w:p>
            <w:pPr>
              <w:pStyle w:val="TableContents"/>
              <w:bidi w:val="0"/>
              <w:spacing w:before="0" w:after="283"/>
              <w:ind w:left="0" w:right="0" w:hanging="0"/>
              <w:jc w:val="left"/>
              <w:rPr>
                <w:sz w:val="4"/>
                <w:szCs w:val="4"/>
              </w:rPr>
            </w:pPr>
            <w:r>
              <w:rPr>
                <w:sz w:val="4"/>
                <w:szCs w:val="4"/>
              </w:rPr>
            </w:r>
          </w:p>
        </w:tc>
        <w:tc>
          <w:tcPr>
            <w:tcW w:w="60" w:type="dxa"/>
            <w:tcBorders/>
            <w:vAlign w:val="bottom"/>
          </w:tcPr>
          <w:p>
            <w:pPr>
              <w:pStyle w:val="TableContents"/>
              <w:bidi w:val="0"/>
              <w:spacing w:before="0" w:after="283"/>
              <w:ind w:left="0" w:right="0" w:hanging="0"/>
              <w:jc w:val="left"/>
              <w:rPr>
                <w:sz w:val="4"/>
                <w:szCs w:val="4"/>
              </w:rPr>
            </w:pPr>
            <w:r>
              <w:rPr>
                <w:sz w:val="4"/>
                <w:szCs w:val="4"/>
              </w:rPr>
            </w:r>
          </w:p>
        </w:tc>
        <w:tc>
          <w:tcPr>
            <w:tcW w:w="302" w:type="dxa"/>
            <w:tcBorders/>
            <w:vAlign w:val="bottom"/>
          </w:tcPr>
          <w:p>
            <w:pPr>
              <w:pStyle w:val="TableContents"/>
              <w:bidi w:val="0"/>
              <w:spacing w:before="0" w:after="283"/>
              <w:ind w:left="0" w:right="0" w:hanging="0"/>
              <w:jc w:val="left"/>
              <w:rPr>
                <w:sz w:val="4"/>
                <w:szCs w:val="4"/>
              </w:rPr>
            </w:pPr>
            <w:r>
              <w:rPr>
                <w:sz w:val="4"/>
                <w:szCs w:val="4"/>
              </w:rPr>
            </w:r>
          </w:p>
        </w:tc>
        <w:tc>
          <w:tcPr>
            <w:tcW w:w="813" w:type="dxa"/>
            <w:tcBorders/>
            <w:vAlign w:val="bottom"/>
          </w:tcPr>
          <w:p>
            <w:pPr>
              <w:pStyle w:val="TableContents"/>
              <w:bidi w:val="0"/>
              <w:spacing w:before="0" w:after="0"/>
              <w:ind w:left="0" w:right="0" w:hanging="0"/>
              <w:jc w:val="right"/>
              <w:rPr/>
            </w:pPr>
            <w:r>
              <w:rPr/>
              <w:t>—</w:t>
            </w:r>
          </w:p>
        </w:tc>
        <w:tc>
          <w:tcPr>
            <w:tcW w:w="95" w:type="dxa"/>
            <w:tcBorders/>
            <w:vAlign w:val="bottom"/>
          </w:tcPr>
          <w:p>
            <w:pPr>
              <w:pStyle w:val="TableContents"/>
              <w:bidi w:val="0"/>
              <w:spacing w:before="0" w:after="283"/>
              <w:ind w:left="0" w:right="0" w:hanging="0"/>
              <w:jc w:val="left"/>
              <w:rPr>
                <w:sz w:val="4"/>
                <w:szCs w:val="4"/>
              </w:rPr>
            </w:pPr>
            <w:r>
              <w:rPr>
                <w:sz w:val="4"/>
                <w:szCs w:val="4"/>
              </w:rPr>
            </w:r>
          </w:p>
        </w:tc>
        <w:tc>
          <w:tcPr>
            <w:tcW w:w="60" w:type="dxa"/>
            <w:tcBorders/>
            <w:vAlign w:val="bottom"/>
          </w:tcPr>
          <w:p>
            <w:pPr>
              <w:pStyle w:val="TableContents"/>
              <w:bidi w:val="0"/>
              <w:spacing w:before="0" w:after="283"/>
              <w:ind w:left="0" w:right="0" w:hanging="0"/>
              <w:jc w:val="left"/>
              <w:rPr>
                <w:sz w:val="4"/>
                <w:szCs w:val="4"/>
              </w:rPr>
            </w:pPr>
            <w:r>
              <w:rPr>
                <w:sz w:val="4"/>
                <w:szCs w:val="4"/>
              </w:rPr>
            </w:r>
          </w:p>
        </w:tc>
        <w:tc>
          <w:tcPr>
            <w:tcW w:w="125" w:type="dxa"/>
            <w:tcBorders/>
            <w:vAlign w:val="bottom"/>
          </w:tcPr>
          <w:p>
            <w:pPr>
              <w:pStyle w:val="TableContents"/>
              <w:bidi w:val="0"/>
              <w:spacing w:before="0" w:after="0"/>
              <w:ind w:left="0" w:right="0" w:hanging="0"/>
              <w:jc w:val="right"/>
              <w:rPr>
                <w:sz w:val="20"/>
              </w:rPr>
            </w:pPr>
            <w:r>
              <w:rPr>
                <w:sz w:val="20"/>
              </w:rPr>
            </w:r>
          </w:p>
        </w:tc>
        <w:tc>
          <w:tcPr>
            <w:tcW w:w="635" w:type="dxa"/>
            <w:tcBorders/>
            <w:vAlign w:val="center"/>
          </w:tcPr>
          <w:p>
            <w:pPr>
              <w:pStyle w:val="TableContents"/>
              <w:widowControl/>
              <w:bidi w:val="0"/>
              <w:spacing w:before="0" w:after="0"/>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(28.3</w:t>
            </w:r>
          </w:p>
        </w:tc>
        <w:tc>
          <w:tcPr>
            <w:tcW w:w="110" w:type="dxa"/>
            <w:tcBorders/>
            <w:vAlign w:val="bottom"/>
          </w:tcPr>
          <w:p>
            <w:pPr>
              <w:pStyle w:val="TableContents"/>
              <w:bidi w:val="0"/>
              <w:spacing w:before="0" w:after="283"/>
              <w:ind w:left="0" w:right="0" w:hanging="0"/>
              <w:jc w:val="left"/>
              <w:rPr/>
            </w:pPr>
            <w:r>
              <w:rPr/>
              <w:t>)</w:t>
            </w:r>
          </w:p>
        </w:tc>
      </w:tr>
      <w:tr>
        <w:trPr/>
        <w:tc>
          <w:tcPr>
            <w:tcW w:w="3365" w:type="dxa"/>
            <w:tcBorders/>
            <w:shd w:fill="CCEE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Balance as of </w:t>
            </w:r>
            <w:r>
              <w:rPr>
                <w:rFonts w:ascii="times new roman;times" w:hAnsi="times new roman;times"/>
                <w:sz w:val="20"/>
              </w:rPr>
              <w:t>March 31, 2023</w:t>
            </w:r>
          </w:p>
        </w:tc>
        <w:tc>
          <w:tcPr>
            <w:tcW w:w="232" w:type="dxa"/>
            <w:tcBorders/>
            <w:shd w:fill="CCEEFF" w:val="clear"/>
            <w:vAlign w:val="bottom"/>
          </w:tcPr>
          <w:p>
            <w:pPr>
              <w:pStyle w:val="TableContents"/>
              <w:bidi w:val="0"/>
              <w:spacing w:before="0" w:after="283"/>
              <w:ind w:left="0" w:right="0" w:hanging="0"/>
              <w:jc w:val="left"/>
              <w:rPr>
                <w:sz w:val="4"/>
                <w:szCs w:val="4"/>
              </w:rPr>
            </w:pPr>
            <w:r>
              <w:rPr>
                <w:sz w:val="4"/>
                <w:szCs w:val="4"/>
              </w:rPr>
            </w:r>
          </w:p>
        </w:tc>
        <w:tc>
          <w:tcPr>
            <w:tcW w:w="1182" w:type="dxa"/>
            <w:tcBorders/>
            <w:shd w:fill="CCEEFF" w:val="clear"/>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1,368.4</w:t>
            </w:r>
          </w:p>
        </w:tc>
        <w:tc>
          <w:tcPr>
            <w:tcW w:w="23" w:type="dxa"/>
            <w:tcBorders/>
            <w:shd w:fill="CCEEFF" w:val="clear"/>
            <w:vAlign w:val="bottom"/>
          </w:tcPr>
          <w:p>
            <w:pPr>
              <w:pStyle w:val="TableContents"/>
              <w:bidi w:val="0"/>
              <w:spacing w:before="0" w:after="283"/>
              <w:ind w:left="0" w:right="0" w:hanging="0"/>
              <w:jc w:val="left"/>
              <w:rPr>
                <w:sz w:val="4"/>
                <w:szCs w:val="4"/>
              </w:rPr>
            </w:pPr>
            <w:r>
              <w:rPr>
                <w:sz w:val="4"/>
                <w:szCs w:val="4"/>
              </w:rPr>
            </w:r>
          </w:p>
        </w:tc>
        <w:tc>
          <w:tcPr>
            <w:tcW w:w="60" w:type="dxa"/>
            <w:tcBorders/>
            <w:shd w:fill="CCEEFF" w:val="clear"/>
            <w:vAlign w:val="bottom"/>
          </w:tcPr>
          <w:p>
            <w:pPr>
              <w:pStyle w:val="TableContents"/>
              <w:bidi w:val="0"/>
              <w:spacing w:before="0" w:after="0"/>
              <w:ind w:left="0" w:right="0" w:hanging="0"/>
              <w:jc w:val="left"/>
              <w:rPr/>
            </w:pPr>
            <w:r>
              <w:rPr/>
              <w:t> </w:t>
            </w:r>
          </w:p>
        </w:tc>
        <w:tc>
          <w:tcPr>
            <w:tcW w:w="276" w:type="dxa"/>
            <w:tcBorders/>
            <w:shd w:fill="CCEEFF" w:val="clear"/>
            <w:vAlign w:val="bottom"/>
          </w:tcPr>
          <w:p>
            <w:pPr>
              <w:pStyle w:val="TableContents"/>
              <w:bidi w:val="0"/>
              <w:spacing w:before="0" w:after="283"/>
              <w:ind w:left="0" w:right="0" w:hanging="0"/>
              <w:jc w:val="left"/>
              <w:rPr>
                <w:sz w:val="4"/>
                <w:szCs w:val="4"/>
              </w:rPr>
            </w:pPr>
            <w:r>
              <w:rPr>
                <w:sz w:val="4"/>
                <w:szCs w:val="4"/>
              </w:rPr>
            </w:r>
          </w:p>
        </w:tc>
        <w:tc>
          <w:tcPr>
            <w:tcW w:w="1213" w:type="dxa"/>
            <w:tcBorders/>
            <w:shd w:fill="CCEEFF" w:val="clear"/>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(230.2</w:t>
            </w:r>
          </w:p>
        </w:tc>
        <w:tc>
          <w:tcPr>
            <w:tcW w:w="95" w:type="dxa"/>
            <w:tcBorders/>
            <w:shd w:fill="CCEE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60" w:type="dxa"/>
            <w:tcBorders/>
            <w:shd w:fill="CCEEFF" w:val="clear"/>
            <w:vAlign w:val="bottom"/>
          </w:tcPr>
          <w:p>
            <w:pPr>
              <w:pStyle w:val="TableContents"/>
              <w:bidi w:val="0"/>
              <w:spacing w:before="0" w:after="0"/>
              <w:ind w:left="0" w:right="0" w:hanging="0"/>
              <w:jc w:val="left"/>
              <w:rPr/>
            </w:pPr>
            <w:r>
              <w:rPr/>
              <w:t> </w:t>
            </w:r>
          </w:p>
        </w:tc>
        <w:tc>
          <w:tcPr>
            <w:tcW w:w="302" w:type="dxa"/>
            <w:tcBorders/>
            <w:shd w:fill="CCEEFF" w:val="clear"/>
            <w:vAlign w:val="bottom"/>
          </w:tcPr>
          <w:p>
            <w:pPr>
              <w:pStyle w:val="TableContents"/>
              <w:bidi w:val="0"/>
              <w:spacing w:before="0" w:after="283"/>
              <w:ind w:left="0" w:right="0" w:hanging="0"/>
              <w:jc w:val="left"/>
              <w:rPr>
                <w:sz w:val="4"/>
                <w:szCs w:val="4"/>
              </w:rPr>
            </w:pPr>
            <w:r>
              <w:rPr>
                <w:sz w:val="4"/>
                <w:szCs w:val="4"/>
              </w:rPr>
            </w:r>
          </w:p>
        </w:tc>
        <w:tc>
          <w:tcPr>
            <w:tcW w:w="813" w:type="dxa"/>
            <w:tcBorders/>
            <w:shd w:fill="CCEEFF" w:val="clear"/>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(0.4</w:t>
            </w:r>
          </w:p>
        </w:tc>
        <w:tc>
          <w:tcPr>
            <w:tcW w:w="95" w:type="dxa"/>
            <w:tcBorders/>
            <w:shd w:fill="CCEE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283"/>
              <w:ind w:left="0" w:right="0" w:hanging="0"/>
              <w:jc w:val="left"/>
              <w:rPr>
                <w:sz w:val="4"/>
                <w:szCs w:val="4"/>
              </w:rPr>
            </w:pPr>
            <w:r>
              <w:rPr>
                <w:sz w:val="4"/>
                <w:szCs w:val="4"/>
              </w:rPr>
            </w:r>
          </w:p>
        </w:tc>
        <w:tc>
          <w:tcPr>
            <w:tcW w:w="635" w:type="dxa"/>
            <w:tcBorders/>
            <w:shd w:fill="CCEEFF" w:val="clear"/>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1,272.1</w:t>
            </w:r>
          </w:p>
        </w:tc>
        <w:tc>
          <w:tcPr>
            <w:tcW w:w="110" w:type="dxa"/>
            <w:tcBorders/>
            <w:shd w:fill="CCEEFF" w:val="clear"/>
            <w:vAlign w:val="bottom"/>
          </w:tcPr>
          <w:p>
            <w:pPr>
              <w:pStyle w:val="TableContents"/>
              <w:bidi w:val="0"/>
              <w:spacing w:before="0" w:after="283"/>
              <w:ind w:left="0" w:right="0" w:hanging="0"/>
              <w:jc w:val="left"/>
              <w:rPr>
                <w:sz w:val="4"/>
                <w:szCs w:val="4"/>
              </w:rPr>
            </w:pPr>
            <w:r>
              <w:rPr>
                <w:sz w:val="4"/>
                <w:szCs w:val="4"/>
              </w:rPr>
            </w:r>
          </w:p>
        </w:tc>
      </w:tr>
      <w:tr>
        <w:trPr/>
        <w:tc>
          <w:tcPr>
            <w:tcW w:w="3365" w:type="dxa"/>
            <w:tcBorders/>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Net income (loss)</w:t>
            </w:r>
          </w:p>
        </w:tc>
        <w:tc>
          <w:tcPr>
            <w:tcW w:w="232" w:type="dxa"/>
            <w:tcBorders/>
            <w:vAlign w:val="center"/>
          </w:tcPr>
          <w:p>
            <w:pPr>
              <w:pStyle w:val="TableContents"/>
              <w:bidi w:val="0"/>
              <w:spacing w:before="0" w:after="283"/>
              <w:ind w:left="0" w:right="0" w:hanging="0"/>
              <w:jc w:val="left"/>
              <w:rPr/>
            </w:pPr>
            <w:r>
              <w:rPr/>
            </w:r>
          </w:p>
        </w:tc>
        <w:tc>
          <w:tcPr>
            <w:tcW w:w="1182" w:type="dxa"/>
            <w:tcBorders/>
            <w:vAlign w:val="center"/>
          </w:tcPr>
          <w:p>
            <w:pPr>
              <w:pStyle w:val="TableContents"/>
              <w:bidi w:val="0"/>
              <w:spacing w:before="0" w:after="0"/>
              <w:ind w:left="0" w:right="0" w:hanging="0"/>
              <w:jc w:val="right"/>
              <w:rPr>
                <w:sz w:val="20"/>
              </w:rPr>
            </w:pPr>
            <w:r>
              <w:rPr>
                <w:sz w:val="20"/>
              </w:rPr>
              <w:t>86.1</w:t>
            </w:r>
          </w:p>
        </w:tc>
        <w:tc>
          <w:tcPr>
            <w:tcW w:w="23" w:type="dxa"/>
            <w:tcBorders/>
            <w:vAlign w:val="center"/>
          </w:tcPr>
          <w:p>
            <w:pPr>
              <w:pStyle w:val="TableContents"/>
              <w:bidi w:val="0"/>
              <w:spacing w:before="0" w:after="283"/>
              <w:ind w:left="0" w:right="0" w:hanging="0"/>
              <w:jc w:val="left"/>
              <w:rPr/>
            </w:pPr>
            <w:r>
              <w:rPr/>
            </w:r>
          </w:p>
        </w:tc>
        <w:tc>
          <w:tcPr>
            <w:tcW w:w="60" w:type="dxa"/>
            <w:tcBorders/>
            <w:vAlign w:val="center"/>
          </w:tcPr>
          <w:p>
            <w:pPr>
              <w:pStyle w:val="TableContents"/>
              <w:bidi w:val="0"/>
              <w:spacing w:before="0" w:after="0"/>
              <w:ind w:left="0" w:right="0" w:hanging="0"/>
              <w:jc w:val="left"/>
              <w:rPr>
                <w:sz w:val="20"/>
              </w:rPr>
            </w:pPr>
            <w:r>
              <w:rPr>
                <w:sz w:val="20"/>
              </w:rPr>
            </w:r>
          </w:p>
        </w:tc>
        <w:tc>
          <w:tcPr>
            <w:tcW w:w="276" w:type="dxa"/>
            <w:tcBorders/>
            <w:vAlign w:val="center"/>
          </w:tcPr>
          <w:p>
            <w:pPr>
              <w:pStyle w:val="TableContents"/>
              <w:bidi w:val="0"/>
              <w:spacing w:before="0" w:after="283"/>
              <w:ind w:left="0" w:right="0" w:hanging="0"/>
              <w:jc w:val="left"/>
              <w:rPr/>
            </w:pPr>
            <w:r>
              <w:rPr/>
            </w:r>
          </w:p>
        </w:tc>
        <w:tc>
          <w:tcPr>
            <w:tcW w:w="1213" w:type="dxa"/>
            <w:tcBorders/>
            <w:vAlign w:val="center"/>
          </w:tcPr>
          <w:p>
            <w:pPr>
              <w:pStyle w:val="TableContents"/>
              <w:bidi w:val="0"/>
              <w:spacing w:before="0" w:after="0"/>
              <w:ind w:left="0" w:right="0" w:hanging="0"/>
              <w:jc w:val="right"/>
              <w:rPr/>
            </w:pPr>
            <w:r>
              <w:rPr/>
              <w:t>—</w:t>
            </w:r>
          </w:p>
        </w:tc>
        <w:tc>
          <w:tcPr>
            <w:tcW w:w="95" w:type="dxa"/>
            <w:tcBorders/>
            <w:vAlign w:val="center"/>
          </w:tcPr>
          <w:p>
            <w:pPr>
              <w:pStyle w:val="TableContents"/>
              <w:bidi w:val="0"/>
              <w:spacing w:before="0" w:after="283"/>
              <w:ind w:left="0" w:right="0" w:hanging="0"/>
              <w:jc w:val="left"/>
              <w:rPr/>
            </w:pPr>
            <w:r>
              <w:rPr/>
            </w:r>
          </w:p>
        </w:tc>
        <w:tc>
          <w:tcPr>
            <w:tcW w:w="60" w:type="dxa"/>
            <w:tcBorders/>
            <w:vAlign w:val="center"/>
          </w:tcPr>
          <w:p>
            <w:pPr>
              <w:pStyle w:val="TableContents"/>
              <w:bidi w:val="0"/>
              <w:spacing w:before="0" w:after="0"/>
              <w:ind w:left="0" w:right="0" w:hanging="0"/>
              <w:jc w:val="left"/>
              <w:rPr>
                <w:sz w:val="20"/>
              </w:rPr>
            </w:pPr>
            <w:r>
              <w:rPr>
                <w:sz w:val="20"/>
              </w:rPr>
            </w:r>
          </w:p>
        </w:tc>
        <w:tc>
          <w:tcPr>
            <w:tcW w:w="302" w:type="dxa"/>
            <w:tcBorders/>
            <w:vAlign w:val="center"/>
          </w:tcPr>
          <w:p>
            <w:pPr>
              <w:pStyle w:val="TableContents"/>
              <w:bidi w:val="0"/>
              <w:spacing w:before="0" w:after="283"/>
              <w:ind w:left="0" w:right="0" w:hanging="0"/>
              <w:jc w:val="left"/>
              <w:rPr/>
            </w:pPr>
            <w:r>
              <w:rPr/>
            </w:r>
          </w:p>
        </w:tc>
        <w:tc>
          <w:tcPr>
            <w:tcW w:w="813" w:type="dxa"/>
            <w:tcBorders/>
            <w:vAlign w:val="center"/>
          </w:tcPr>
          <w:p>
            <w:pPr>
              <w:pStyle w:val="TableContents"/>
              <w:bidi w:val="0"/>
              <w:spacing w:before="0" w:after="0"/>
              <w:ind w:left="0" w:right="0" w:hanging="0"/>
              <w:jc w:val="right"/>
              <w:rPr>
                <w:sz w:val="20"/>
              </w:rPr>
            </w:pPr>
            <w:r>
              <w:rPr>
                <w:sz w:val="20"/>
              </w:rPr>
              <w:t>(0.1</w:t>
            </w:r>
          </w:p>
        </w:tc>
        <w:tc>
          <w:tcPr>
            <w:tcW w:w="95" w:type="dxa"/>
            <w:tcBorders/>
            <w:vAlign w:val="center"/>
          </w:tcPr>
          <w:p>
            <w:pPr>
              <w:pStyle w:val="TableContents"/>
              <w:bidi w:val="0"/>
              <w:spacing w:before="0" w:after="0"/>
              <w:ind w:left="0" w:right="0" w:hanging="0"/>
              <w:jc w:val="left"/>
              <w:rPr/>
            </w:pPr>
            <w:r>
              <w:rPr/>
              <w:t>)</w:t>
            </w:r>
          </w:p>
        </w:tc>
        <w:tc>
          <w:tcPr>
            <w:tcW w:w="60" w:type="dxa"/>
            <w:tcBorders/>
            <w:vAlign w:val="center"/>
          </w:tcPr>
          <w:p>
            <w:pPr>
              <w:pStyle w:val="TableContents"/>
              <w:bidi w:val="0"/>
              <w:spacing w:before="0" w:after="0"/>
              <w:ind w:left="0" w:right="0" w:hanging="0"/>
              <w:jc w:val="left"/>
              <w:rPr>
                <w:sz w:val="20"/>
              </w:rPr>
            </w:pPr>
            <w:r>
              <w:rPr>
                <w:sz w:val="20"/>
              </w:rPr>
            </w:r>
          </w:p>
        </w:tc>
        <w:tc>
          <w:tcPr>
            <w:tcW w:w="125" w:type="dxa"/>
            <w:tcBorders/>
            <w:vAlign w:val="center"/>
          </w:tcPr>
          <w:p>
            <w:pPr>
              <w:pStyle w:val="TableContents"/>
              <w:bidi w:val="0"/>
              <w:spacing w:before="0" w:after="283"/>
              <w:ind w:left="0" w:right="0" w:hanging="0"/>
              <w:jc w:val="left"/>
              <w:rPr/>
            </w:pPr>
            <w:r>
              <w:rPr/>
            </w:r>
          </w:p>
        </w:tc>
        <w:tc>
          <w:tcPr>
            <w:tcW w:w="635" w:type="dxa"/>
            <w:tcBorders/>
            <w:vAlign w:val="center"/>
          </w:tcPr>
          <w:p>
            <w:pPr>
              <w:pStyle w:val="TableContents"/>
              <w:bidi w:val="0"/>
              <w:spacing w:before="0" w:after="0"/>
              <w:ind w:left="0" w:right="0" w:hanging="0"/>
              <w:jc w:val="right"/>
              <w:rPr>
                <w:sz w:val="20"/>
              </w:rPr>
            </w:pPr>
            <w:r>
              <w:rPr>
                <w:sz w:val="20"/>
              </w:rPr>
              <w:t>86.0</w:t>
            </w:r>
          </w:p>
        </w:tc>
        <w:tc>
          <w:tcPr>
            <w:tcW w:w="110" w:type="dxa"/>
            <w:tcBorders/>
            <w:vAlign w:val="center"/>
          </w:tcPr>
          <w:p>
            <w:pPr>
              <w:pStyle w:val="TableContents"/>
              <w:bidi w:val="0"/>
              <w:spacing w:before="0" w:after="283"/>
              <w:ind w:left="0" w:right="0" w:hanging="0"/>
              <w:jc w:val="left"/>
              <w:rPr/>
            </w:pPr>
            <w:r>
              <w:rPr/>
            </w:r>
          </w:p>
        </w:tc>
      </w:tr>
      <w:tr>
        <w:trPr/>
        <w:tc>
          <w:tcPr>
            <w:tcW w:w="3365" w:type="dxa"/>
            <w:tcBorders/>
            <w:shd w:fill="CCEEFF" w:val="clear"/>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Other comprehensive income</w:t>
            </w:r>
          </w:p>
        </w:tc>
        <w:tc>
          <w:tcPr>
            <w:tcW w:w="232" w:type="dxa"/>
            <w:tcBorders/>
            <w:shd w:fill="CCEEFF" w:val="clear"/>
            <w:vAlign w:val="center"/>
          </w:tcPr>
          <w:p>
            <w:pPr>
              <w:pStyle w:val="TableContents"/>
              <w:bidi w:val="0"/>
              <w:spacing w:before="0" w:after="283"/>
              <w:ind w:left="0" w:right="0" w:hanging="0"/>
              <w:jc w:val="left"/>
              <w:rPr/>
            </w:pPr>
            <w:r>
              <w:rPr/>
            </w:r>
          </w:p>
        </w:tc>
        <w:tc>
          <w:tcPr>
            <w:tcW w:w="1182"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283"/>
              <w:ind w:left="0" w:right="0" w:hanging="0"/>
              <w:jc w:val="left"/>
              <w:rPr/>
            </w:pPr>
            <w:r>
              <w:rPr/>
            </w:r>
          </w:p>
        </w:tc>
        <w:tc>
          <w:tcPr>
            <w:tcW w:w="60" w:type="dxa"/>
            <w:tcBorders/>
            <w:shd w:fill="CCEEFF" w:val="clear"/>
            <w:vAlign w:val="center"/>
          </w:tcPr>
          <w:p>
            <w:pPr>
              <w:pStyle w:val="TableContents"/>
              <w:bidi w:val="0"/>
              <w:spacing w:before="0" w:after="0"/>
              <w:ind w:left="0" w:right="0" w:hanging="0"/>
              <w:jc w:val="left"/>
              <w:rPr>
                <w:sz w:val="20"/>
              </w:rPr>
            </w:pPr>
            <w:r>
              <w:rPr>
                <w:sz w:val="20"/>
              </w:rPr>
            </w:r>
          </w:p>
        </w:tc>
        <w:tc>
          <w:tcPr>
            <w:tcW w:w="276" w:type="dxa"/>
            <w:tcBorders/>
            <w:shd w:fill="CCEEFF" w:val="clear"/>
            <w:vAlign w:val="center"/>
          </w:tcPr>
          <w:p>
            <w:pPr>
              <w:pStyle w:val="TableContents"/>
              <w:bidi w:val="0"/>
              <w:spacing w:before="0" w:after="283"/>
              <w:ind w:left="0" w:right="0" w:hanging="0"/>
              <w:jc w:val="left"/>
              <w:rPr/>
            </w:pPr>
            <w:r>
              <w:rPr/>
            </w:r>
          </w:p>
        </w:tc>
        <w:tc>
          <w:tcPr>
            <w:tcW w:w="1213" w:type="dxa"/>
            <w:tcBorders/>
            <w:shd w:fill="CCEEFF" w:val="clear"/>
            <w:vAlign w:val="center"/>
          </w:tcPr>
          <w:p>
            <w:pPr>
              <w:pStyle w:val="TableContents"/>
              <w:bidi w:val="0"/>
              <w:spacing w:before="0" w:after="0"/>
              <w:ind w:left="0" w:right="0" w:hanging="0"/>
              <w:jc w:val="right"/>
              <w:rPr>
                <w:sz w:val="20"/>
              </w:rPr>
            </w:pPr>
            <w:r>
              <w:rPr>
                <w:sz w:val="20"/>
              </w:rPr>
              <w:t>10.0</w:t>
            </w:r>
          </w:p>
        </w:tc>
        <w:tc>
          <w:tcPr>
            <w:tcW w:w="95" w:type="dxa"/>
            <w:tcBorders/>
            <w:shd w:fill="CCEEFF" w:val="clear"/>
            <w:vAlign w:val="center"/>
          </w:tcPr>
          <w:p>
            <w:pPr>
              <w:pStyle w:val="TableContents"/>
              <w:bidi w:val="0"/>
              <w:spacing w:before="0" w:after="283"/>
              <w:ind w:left="0" w:right="0" w:hanging="0"/>
              <w:jc w:val="left"/>
              <w:rPr/>
            </w:pPr>
            <w:r>
              <w:rPr/>
            </w:r>
          </w:p>
        </w:tc>
        <w:tc>
          <w:tcPr>
            <w:tcW w:w="60" w:type="dxa"/>
            <w:tcBorders/>
            <w:shd w:fill="CCEEFF" w:val="clear"/>
            <w:vAlign w:val="center"/>
          </w:tcPr>
          <w:p>
            <w:pPr>
              <w:pStyle w:val="TableContents"/>
              <w:bidi w:val="0"/>
              <w:spacing w:before="0" w:after="0"/>
              <w:ind w:left="0" w:right="0" w:hanging="0"/>
              <w:jc w:val="left"/>
              <w:rPr>
                <w:sz w:val="20"/>
              </w:rPr>
            </w:pPr>
            <w:r>
              <w:rPr>
                <w:sz w:val="20"/>
              </w:rPr>
            </w:r>
          </w:p>
        </w:tc>
        <w:tc>
          <w:tcPr>
            <w:tcW w:w="302" w:type="dxa"/>
            <w:tcBorders/>
            <w:shd w:fill="CCEEFF" w:val="clear"/>
            <w:vAlign w:val="center"/>
          </w:tcPr>
          <w:p>
            <w:pPr>
              <w:pStyle w:val="TableContents"/>
              <w:bidi w:val="0"/>
              <w:spacing w:before="0" w:after="283"/>
              <w:ind w:left="0" w:right="0" w:hanging="0"/>
              <w:jc w:val="left"/>
              <w:rPr/>
            </w:pPr>
            <w:r>
              <w:rPr/>
            </w:r>
          </w:p>
        </w:tc>
        <w:tc>
          <w:tcPr>
            <w:tcW w:w="813" w:type="dxa"/>
            <w:tcBorders/>
            <w:shd w:fill="CCEEFF" w:val="clear"/>
            <w:vAlign w:val="center"/>
          </w:tcPr>
          <w:p>
            <w:pPr>
              <w:pStyle w:val="TableContents"/>
              <w:bidi w:val="0"/>
              <w:spacing w:before="0" w:after="0"/>
              <w:ind w:left="0" w:right="0" w:hanging="0"/>
              <w:jc w:val="right"/>
              <w:rPr/>
            </w:pPr>
            <w:r>
              <w:rPr/>
              <w:t>—</w:t>
            </w:r>
          </w:p>
        </w:tc>
        <w:tc>
          <w:tcPr>
            <w:tcW w:w="95" w:type="dxa"/>
            <w:tcBorders/>
            <w:shd w:fill="CCEEFF" w:val="clear"/>
            <w:vAlign w:val="center"/>
          </w:tcPr>
          <w:p>
            <w:pPr>
              <w:pStyle w:val="TableContents"/>
              <w:bidi w:val="0"/>
              <w:spacing w:before="0" w:after="283"/>
              <w:ind w:left="0" w:right="0" w:hanging="0"/>
              <w:jc w:val="left"/>
              <w:rPr/>
            </w:pPr>
            <w:r>
              <w:rPr/>
            </w:r>
          </w:p>
        </w:tc>
        <w:tc>
          <w:tcPr>
            <w:tcW w:w="60" w:type="dxa"/>
            <w:tcBorders/>
            <w:shd w:fill="CCEEFF" w:val="clear"/>
            <w:vAlign w:val="center"/>
          </w:tcPr>
          <w:p>
            <w:pPr>
              <w:pStyle w:val="TableContents"/>
              <w:bidi w:val="0"/>
              <w:spacing w:before="0" w:after="0"/>
              <w:ind w:left="0" w:right="0" w:hanging="0"/>
              <w:jc w:val="left"/>
              <w:rPr>
                <w:sz w:val="20"/>
              </w:rPr>
            </w:pPr>
            <w:r>
              <w:rPr>
                <w:sz w:val="20"/>
              </w:rPr>
            </w:r>
          </w:p>
        </w:tc>
        <w:tc>
          <w:tcPr>
            <w:tcW w:w="125" w:type="dxa"/>
            <w:tcBorders/>
            <w:shd w:fill="CCEEFF" w:val="clear"/>
            <w:vAlign w:val="center"/>
          </w:tcPr>
          <w:p>
            <w:pPr>
              <w:pStyle w:val="TableContents"/>
              <w:bidi w:val="0"/>
              <w:spacing w:before="0" w:after="283"/>
              <w:ind w:left="0" w:right="0" w:hanging="0"/>
              <w:jc w:val="left"/>
              <w:rPr/>
            </w:pPr>
            <w:r>
              <w:rPr/>
            </w:r>
          </w:p>
        </w:tc>
        <w:tc>
          <w:tcPr>
            <w:tcW w:w="635" w:type="dxa"/>
            <w:tcBorders/>
            <w:shd w:fill="CCEEFF" w:val="clear"/>
            <w:vAlign w:val="center"/>
          </w:tcPr>
          <w:p>
            <w:pPr>
              <w:pStyle w:val="TableContents"/>
              <w:bidi w:val="0"/>
              <w:spacing w:before="0" w:after="0"/>
              <w:ind w:left="0" w:right="0" w:hanging="0"/>
              <w:jc w:val="right"/>
              <w:rPr>
                <w:sz w:val="20"/>
              </w:rPr>
            </w:pPr>
            <w:r>
              <w:rPr>
                <w:sz w:val="20"/>
              </w:rPr>
              <w:t>10.0</w:t>
            </w:r>
          </w:p>
        </w:tc>
        <w:tc>
          <w:tcPr>
            <w:tcW w:w="110" w:type="dxa"/>
            <w:tcBorders/>
            <w:shd w:fill="CCEEFF" w:val="clear"/>
            <w:vAlign w:val="center"/>
          </w:tcPr>
          <w:p>
            <w:pPr>
              <w:pStyle w:val="TableContents"/>
              <w:bidi w:val="0"/>
              <w:spacing w:before="0" w:after="283"/>
              <w:ind w:left="0" w:right="0" w:hanging="0"/>
              <w:jc w:val="left"/>
              <w:rPr/>
            </w:pPr>
            <w:r>
              <w:rPr/>
            </w:r>
          </w:p>
        </w:tc>
      </w:tr>
      <w:tr>
        <w:trPr/>
        <w:tc>
          <w:tcPr>
            <w:tcW w:w="3365" w:type="dxa"/>
            <w:tcBorders/>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Stock issued under employee stock plans</w:t>
            </w:r>
          </w:p>
        </w:tc>
        <w:tc>
          <w:tcPr>
            <w:tcW w:w="232" w:type="dxa"/>
            <w:tcBorders/>
            <w:vAlign w:val="center"/>
          </w:tcPr>
          <w:p>
            <w:pPr>
              <w:pStyle w:val="TableContents"/>
              <w:bidi w:val="0"/>
              <w:spacing w:before="0" w:after="283"/>
              <w:ind w:left="0" w:right="0" w:hanging="0"/>
              <w:jc w:val="left"/>
              <w:rPr/>
            </w:pPr>
            <w:r>
              <w:rPr/>
            </w:r>
          </w:p>
        </w:tc>
        <w:tc>
          <w:tcPr>
            <w:tcW w:w="1182" w:type="dxa"/>
            <w:tcBorders/>
            <w:vAlign w:val="center"/>
          </w:tcPr>
          <w:p>
            <w:pPr>
              <w:pStyle w:val="TableContents"/>
              <w:bidi w:val="0"/>
              <w:spacing w:before="0" w:after="0"/>
              <w:ind w:left="0" w:right="0" w:hanging="0"/>
              <w:jc w:val="right"/>
              <w:rPr/>
            </w:pPr>
            <w:r>
              <w:rPr/>
              <w:t>—</w:t>
            </w:r>
          </w:p>
        </w:tc>
        <w:tc>
          <w:tcPr>
            <w:tcW w:w="23" w:type="dxa"/>
            <w:tcBorders/>
            <w:vAlign w:val="center"/>
          </w:tcPr>
          <w:p>
            <w:pPr>
              <w:pStyle w:val="TableContents"/>
              <w:bidi w:val="0"/>
              <w:spacing w:before="0" w:after="283"/>
              <w:ind w:left="0" w:right="0" w:hanging="0"/>
              <w:jc w:val="left"/>
              <w:rPr/>
            </w:pPr>
            <w:r>
              <w:rPr/>
            </w:r>
          </w:p>
        </w:tc>
        <w:tc>
          <w:tcPr>
            <w:tcW w:w="60" w:type="dxa"/>
            <w:tcBorders/>
            <w:vAlign w:val="center"/>
          </w:tcPr>
          <w:p>
            <w:pPr>
              <w:pStyle w:val="TableContents"/>
              <w:bidi w:val="0"/>
              <w:spacing w:before="0" w:after="0"/>
              <w:ind w:left="0" w:right="0" w:hanging="0"/>
              <w:jc w:val="left"/>
              <w:rPr>
                <w:sz w:val="20"/>
              </w:rPr>
            </w:pPr>
            <w:r>
              <w:rPr>
                <w:sz w:val="20"/>
              </w:rPr>
            </w:r>
          </w:p>
        </w:tc>
        <w:tc>
          <w:tcPr>
            <w:tcW w:w="276" w:type="dxa"/>
            <w:tcBorders/>
            <w:vAlign w:val="center"/>
          </w:tcPr>
          <w:p>
            <w:pPr>
              <w:pStyle w:val="TableContents"/>
              <w:bidi w:val="0"/>
              <w:spacing w:before="0" w:after="283"/>
              <w:ind w:left="0" w:right="0" w:hanging="0"/>
              <w:jc w:val="left"/>
              <w:rPr/>
            </w:pPr>
            <w:r>
              <w:rPr/>
            </w:r>
          </w:p>
        </w:tc>
        <w:tc>
          <w:tcPr>
            <w:tcW w:w="1213" w:type="dxa"/>
            <w:tcBorders/>
            <w:vAlign w:val="center"/>
          </w:tcPr>
          <w:p>
            <w:pPr>
              <w:pStyle w:val="TableContents"/>
              <w:bidi w:val="0"/>
              <w:spacing w:before="0" w:after="0"/>
              <w:ind w:left="0" w:right="0" w:hanging="0"/>
              <w:jc w:val="right"/>
              <w:rPr/>
            </w:pPr>
            <w:r>
              <w:rPr/>
              <w:t>—</w:t>
            </w:r>
          </w:p>
        </w:tc>
        <w:tc>
          <w:tcPr>
            <w:tcW w:w="95" w:type="dxa"/>
            <w:tcBorders/>
            <w:vAlign w:val="center"/>
          </w:tcPr>
          <w:p>
            <w:pPr>
              <w:pStyle w:val="TableContents"/>
              <w:bidi w:val="0"/>
              <w:spacing w:before="0" w:after="283"/>
              <w:ind w:left="0" w:right="0" w:hanging="0"/>
              <w:jc w:val="left"/>
              <w:rPr/>
            </w:pPr>
            <w:r>
              <w:rPr/>
            </w:r>
          </w:p>
        </w:tc>
        <w:tc>
          <w:tcPr>
            <w:tcW w:w="60" w:type="dxa"/>
            <w:tcBorders/>
            <w:vAlign w:val="center"/>
          </w:tcPr>
          <w:p>
            <w:pPr>
              <w:pStyle w:val="TableContents"/>
              <w:bidi w:val="0"/>
              <w:spacing w:before="0" w:after="0"/>
              <w:ind w:left="0" w:right="0" w:hanging="0"/>
              <w:jc w:val="left"/>
              <w:rPr>
                <w:sz w:val="20"/>
              </w:rPr>
            </w:pPr>
            <w:r>
              <w:rPr>
                <w:sz w:val="20"/>
              </w:rPr>
            </w:r>
          </w:p>
        </w:tc>
        <w:tc>
          <w:tcPr>
            <w:tcW w:w="302" w:type="dxa"/>
            <w:tcBorders/>
            <w:vAlign w:val="center"/>
          </w:tcPr>
          <w:p>
            <w:pPr>
              <w:pStyle w:val="TableContents"/>
              <w:bidi w:val="0"/>
              <w:spacing w:before="0" w:after="283"/>
              <w:ind w:left="0" w:right="0" w:hanging="0"/>
              <w:jc w:val="left"/>
              <w:rPr/>
            </w:pPr>
            <w:r>
              <w:rPr/>
            </w:r>
          </w:p>
        </w:tc>
        <w:tc>
          <w:tcPr>
            <w:tcW w:w="813" w:type="dxa"/>
            <w:tcBorders/>
            <w:vAlign w:val="center"/>
          </w:tcPr>
          <w:p>
            <w:pPr>
              <w:pStyle w:val="TableContents"/>
              <w:bidi w:val="0"/>
              <w:spacing w:before="0" w:after="0"/>
              <w:ind w:left="0" w:right="0" w:hanging="0"/>
              <w:jc w:val="right"/>
              <w:rPr/>
            </w:pPr>
            <w:r>
              <w:rPr/>
              <w:t>—</w:t>
            </w:r>
          </w:p>
        </w:tc>
        <w:tc>
          <w:tcPr>
            <w:tcW w:w="95" w:type="dxa"/>
            <w:tcBorders/>
            <w:vAlign w:val="center"/>
          </w:tcPr>
          <w:p>
            <w:pPr>
              <w:pStyle w:val="TableContents"/>
              <w:bidi w:val="0"/>
              <w:spacing w:before="0" w:after="283"/>
              <w:ind w:left="0" w:right="0" w:hanging="0"/>
              <w:jc w:val="left"/>
              <w:rPr/>
            </w:pPr>
            <w:r>
              <w:rPr/>
            </w:r>
          </w:p>
        </w:tc>
        <w:tc>
          <w:tcPr>
            <w:tcW w:w="60" w:type="dxa"/>
            <w:tcBorders/>
            <w:vAlign w:val="center"/>
          </w:tcPr>
          <w:p>
            <w:pPr>
              <w:pStyle w:val="TableContents"/>
              <w:bidi w:val="0"/>
              <w:spacing w:before="0" w:after="0"/>
              <w:ind w:left="0" w:right="0" w:hanging="0"/>
              <w:jc w:val="left"/>
              <w:rPr>
                <w:sz w:val="20"/>
              </w:rPr>
            </w:pPr>
            <w:r>
              <w:rPr>
                <w:sz w:val="20"/>
              </w:rPr>
            </w:r>
          </w:p>
        </w:tc>
        <w:tc>
          <w:tcPr>
            <w:tcW w:w="125" w:type="dxa"/>
            <w:tcBorders/>
            <w:vAlign w:val="center"/>
          </w:tcPr>
          <w:p>
            <w:pPr>
              <w:pStyle w:val="TableContents"/>
              <w:bidi w:val="0"/>
              <w:spacing w:before="0" w:after="283"/>
              <w:ind w:left="0" w:right="0" w:hanging="0"/>
              <w:jc w:val="left"/>
              <w:rPr/>
            </w:pPr>
            <w:r>
              <w:rPr/>
            </w:r>
          </w:p>
        </w:tc>
        <w:tc>
          <w:tcPr>
            <w:tcW w:w="635" w:type="dxa"/>
            <w:tcBorders/>
            <w:vAlign w:val="center"/>
          </w:tcPr>
          <w:p>
            <w:pPr>
              <w:pStyle w:val="TableContents"/>
              <w:bidi w:val="0"/>
              <w:spacing w:before="0" w:after="0"/>
              <w:ind w:left="0" w:right="0" w:hanging="0"/>
              <w:jc w:val="right"/>
              <w:rPr>
                <w:sz w:val="20"/>
              </w:rPr>
            </w:pPr>
            <w:r>
              <w:rPr>
                <w:sz w:val="20"/>
              </w:rPr>
              <w:t>1.3</w:t>
            </w:r>
          </w:p>
        </w:tc>
        <w:tc>
          <w:tcPr>
            <w:tcW w:w="110" w:type="dxa"/>
            <w:tcBorders/>
            <w:vAlign w:val="center"/>
          </w:tcPr>
          <w:p>
            <w:pPr>
              <w:pStyle w:val="TableContents"/>
              <w:bidi w:val="0"/>
              <w:spacing w:before="0" w:after="283"/>
              <w:ind w:left="0" w:right="0" w:hanging="0"/>
              <w:jc w:val="left"/>
              <w:rPr/>
            </w:pPr>
            <w:r>
              <w:rPr/>
            </w:r>
          </w:p>
        </w:tc>
      </w:tr>
      <w:tr>
        <w:trPr/>
        <w:tc>
          <w:tcPr>
            <w:tcW w:w="3365" w:type="dxa"/>
            <w:tcBorders/>
            <w:shd w:fill="CCEEFF" w:val="clear"/>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Share-based compensation</w:t>
            </w:r>
          </w:p>
        </w:tc>
        <w:tc>
          <w:tcPr>
            <w:tcW w:w="232" w:type="dxa"/>
            <w:tcBorders/>
            <w:shd w:fill="CCEEFF" w:val="clear"/>
            <w:vAlign w:val="center"/>
          </w:tcPr>
          <w:p>
            <w:pPr>
              <w:pStyle w:val="TableContents"/>
              <w:bidi w:val="0"/>
              <w:spacing w:before="0" w:after="283"/>
              <w:ind w:left="0" w:right="0" w:hanging="0"/>
              <w:jc w:val="left"/>
              <w:rPr/>
            </w:pPr>
            <w:r>
              <w:rPr/>
            </w:r>
          </w:p>
        </w:tc>
        <w:tc>
          <w:tcPr>
            <w:tcW w:w="1182"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283"/>
              <w:ind w:left="0" w:right="0" w:hanging="0"/>
              <w:jc w:val="left"/>
              <w:rPr/>
            </w:pPr>
            <w:r>
              <w:rPr/>
            </w:r>
          </w:p>
        </w:tc>
        <w:tc>
          <w:tcPr>
            <w:tcW w:w="60" w:type="dxa"/>
            <w:tcBorders/>
            <w:shd w:fill="CCEEFF" w:val="clear"/>
            <w:vAlign w:val="center"/>
          </w:tcPr>
          <w:p>
            <w:pPr>
              <w:pStyle w:val="TableContents"/>
              <w:bidi w:val="0"/>
              <w:spacing w:before="0" w:after="0"/>
              <w:ind w:left="0" w:right="0" w:hanging="0"/>
              <w:jc w:val="left"/>
              <w:rPr>
                <w:sz w:val="20"/>
              </w:rPr>
            </w:pPr>
            <w:r>
              <w:rPr>
                <w:sz w:val="20"/>
              </w:rPr>
            </w:r>
          </w:p>
        </w:tc>
        <w:tc>
          <w:tcPr>
            <w:tcW w:w="276" w:type="dxa"/>
            <w:tcBorders/>
            <w:shd w:fill="CCEEFF" w:val="clear"/>
            <w:vAlign w:val="center"/>
          </w:tcPr>
          <w:p>
            <w:pPr>
              <w:pStyle w:val="TableContents"/>
              <w:bidi w:val="0"/>
              <w:spacing w:before="0" w:after="283"/>
              <w:ind w:left="0" w:right="0" w:hanging="0"/>
              <w:jc w:val="left"/>
              <w:rPr/>
            </w:pPr>
            <w:r>
              <w:rPr/>
            </w:r>
          </w:p>
        </w:tc>
        <w:tc>
          <w:tcPr>
            <w:tcW w:w="1213" w:type="dxa"/>
            <w:tcBorders/>
            <w:shd w:fill="CCEEFF" w:val="clear"/>
            <w:vAlign w:val="center"/>
          </w:tcPr>
          <w:p>
            <w:pPr>
              <w:pStyle w:val="TableContents"/>
              <w:bidi w:val="0"/>
              <w:spacing w:before="0" w:after="0"/>
              <w:ind w:left="0" w:right="0" w:hanging="0"/>
              <w:jc w:val="right"/>
              <w:rPr/>
            </w:pPr>
            <w:r>
              <w:rPr/>
              <w:t>—</w:t>
            </w:r>
          </w:p>
        </w:tc>
        <w:tc>
          <w:tcPr>
            <w:tcW w:w="95" w:type="dxa"/>
            <w:tcBorders/>
            <w:shd w:fill="CCEEFF" w:val="clear"/>
            <w:vAlign w:val="center"/>
          </w:tcPr>
          <w:p>
            <w:pPr>
              <w:pStyle w:val="TableContents"/>
              <w:bidi w:val="0"/>
              <w:spacing w:before="0" w:after="283"/>
              <w:ind w:left="0" w:right="0" w:hanging="0"/>
              <w:jc w:val="left"/>
              <w:rPr/>
            </w:pPr>
            <w:r>
              <w:rPr/>
            </w:r>
          </w:p>
        </w:tc>
        <w:tc>
          <w:tcPr>
            <w:tcW w:w="60" w:type="dxa"/>
            <w:tcBorders/>
            <w:shd w:fill="CCEEFF" w:val="clear"/>
            <w:vAlign w:val="center"/>
          </w:tcPr>
          <w:p>
            <w:pPr>
              <w:pStyle w:val="TableContents"/>
              <w:bidi w:val="0"/>
              <w:spacing w:before="0" w:after="0"/>
              <w:ind w:left="0" w:right="0" w:hanging="0"/>
              <w:jc w:val="left"/>
              <w:rPr>
                <w:sz w:val="20"/>
              </w:rPr>
            </w:pPr>
            <w:r>
              <w:rPr>
                <w:sz w:val="20"/>
              </w:rPr>
            </w:r>
          </w:p>
        </w:tc>
        <w:tc>
          <w:tcPr>
            <w:tcW w:w="302" w:type="dxa"/>
            <w:tcBorders/>
            <w:shd w:fill="CCEEFF" w:val="clear"/>
            <w:vAlign w:val="center"/>
          </w:tcPr>
          <w:p>
            <w:pPr>
              <w:pStyle w:val="TableContents"/>
              <w:bidi w:val="0"/>
              <w:spacing w:before="0" w:after="283"/>
              <w:ind w:left="0" w:right="0" w:hanging="0"/>
              <w:jc w:val="left"/>
              <w:rPr/>
            </w:pPr>
            <w:r>
              <w:rPr/>
            </w:r>
          </w:p>
        </w:tc>
        <w:tc>
          <w:tcPr>
            <w:tcW w:w="813" w:type="dxa"/>
            <w:tcBorders/>
            <w:shd w:fill="CCEEFF" w:val="clear"/>
            <w:vAlign w:val="center"/>
          </w:tcPr>
          <w:p>
            <w:pPr>
              <w:pStyle w:val="TableContents"/>
              <w:bidi w:val="0"/>
              <w:spacing w:before="0" w:after="0"/>
              <w:ind w:left="0" w:right="0" w:hanging="0"/>
              <w:jc w:val="right"/>
              <w:rPr/>
            </w:pPr>
            <w:r>
              <w:rPr/>
              <w:t>—</w:t>
            </w:r>
          </w:p>
        </w:tc>
        <w:tc>
          <w:tcPr>
            <w:tcW w:w="95" w:type="dxa"/>
            <w:tcBorders/>
            <w:shd w:fill="CCEEFF" w:val="clear"/>
            <w:vAlign w:val="center"/>
          </w:tcPr>
          <w:p>
            <w:pPr>
              <w:pStyle w:val="TableContents"/>
              <w:bidi w:val="0"/>
              <w:spacing w:before="0" w:after="283"/>
              <w:ind w:left="0" w:right="0" w:hanging="0"/>
              <w:jc w:val="left"/>
              <w:rPr/>
            </w:pPr>
            <w:r>
              <w:rPr/>
            </w:r>
          </w:p>
        </w:tc>
        <w:tc>
          <w:tcPr>
            <w:tcW w:w="60" w:type="dxa"/>
            <w:tcBorders/>
            <w:shd w:fill="CCEEFF" w:val="clear"/>
            <w:vAlign w:val="center"/>
          </w:tcPr>
          <w:p>
            <w:pPr>
              <w:pStyle w:val="TableContents"/>
              <w:bidi w:val="0"/>
              <w:spacing w:before="0" w:after="0"/>
              <w:ind w:left="0" w:right="0" w:hanging="0"/>
              <w:jc w:val="left"/>
              <w:rPr>
                <w:sz w:val="20"/>
              </w:rPr>
            </w:pPr>
            <w:r>
              <w:rPr>
                <w:sz w:val="20"/>
              </w:rPr>
            </w:r>
          </w:p>
        </w:tc>
        <w:tc>
          <w:tcPr>
            <w:tcW w:w="125" w:type="dxa"/>
            <w:tcBorders/>
            <w:shd w:fill="CCEEFF" w:val="clear"/>
            <w:vAlign w:val="center"/>
          </w:tcPr>
          <w:p>
            <w:pPr>
              <w:pStyle w:val="TableContents"/>
              <w:bidi w:val="0"/>
              <w:spacing w:before="0" w:after="283"/>
              <w:ind w:left="0" w:right="0" w:hanging="0"/>
              <w:jc w:val="left"/>
              <w:rPr/>
            </w:pPr>
            <w:r>
              <w:rPr/>
            </w:r>
          </w:p>
        </w:tc>
        <w:tc>
          <w:tcPr>
            <w:tcW w:w="635" w:type="dxa"/>
            <w:tcBorders/>
            <w:shd w:fill="CCEEFF" w:val="clear"/>
            <w:vAlign w:val="center"/>
          </w:tcPr>
          <w:p>
            <w:pPr>
              <w:pStyle w:val="TableContents"/>
              <w:bidi w:val="0"/>
              <w:spacing w:before="0" w:after="0"/>
              <w:ind w:left="0" w:right="0" w:hanging="0"/>
              <w:jc w:val="right"/>
              <w:rPr>
                <w:sz w:val="20"/>
              </w:rPr>
            </w:pPr>
            <w:r>
              <w:rPr>
                <w:sz w:val="20"/>
              </w:rPr>
              <w:t>12.4</w:t>
            </w:r>
          </w:p>
        </w:tc>
        <w:tc>
          <w:tcPr>
            <w:tcW w:w="110" w:type="dxa"/>
            <w:tcBorders/>
            <w:shd w:fill="CCEEFF" w:val="clear"/>
            <w:vAlign w:val="center"/>
          </w:tcPr>
          <w:p>
            <w:pPr>
              <w:pStyle w:val="TableContents"/>
              <w:bidi w:val="0"/>
              <w:spacing w:before="0" w:after="283"/>
              <w:ind w:left="0" w:right="0" w:hanging="0"/>
              <w:jc w:val="left"/>
              <w:rPr/>
            </w:pPr>
            <w:r>
              <w:rPr/>
            </w:r>
          </w:p>
        </w:tc>
      </w:tr>
      <w:tr>
        <w:trPr/>
        <w:tc>
          <w:tcPr>
            <w:tcW w:w="3365" w:type="dxa"/>
            <w:tcBorders/>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Repurchase of shares</w:t>
            </w:r>
          </w:p>
        </w:tc>
        <w:tc>
          <w:tcPr>
            <w:tcW w:w="232" w:type="dxa"/>
            <w:tcBorders/>
            <w:vAlign w:val="center"/>
          </w:tcPr>
          <w:p>
            <w:pPr>
              <w:pStyle w:val="TableContents"/>
              <w:bidi w:val="0"/>
              <w:spacing w:before="0" w:after="283"/>
              <w:ind w:left="0" w:right="0" w:hanging="0"/>
              <w:jc w:val="left"/>
              <w:rPr/>
            </w:pPr>
            <w:r>
              <w:rPr/>
            </w:r>
          </w:p>
        </w:tc>
        <w:tc>
          <w:tcPr>
            <w:tcW w:w="1182" w:type="dxa"/>
            <w:tcBorders/>
            <w:vAlign w:val="center"/>
          </w:tcPr>
          <w:p>
            <w:pPr>
              <w:pStyle w:val="TableContents"/>
              <w:bidi w:val="0"/>
              <w:spacing w:before="0" w:after="0"/>
              <w:ind w:left="0" w:right="0" w:hanging="0"/>
              <w:jc w:val="right"/>
              <w:rPr/>
            </w:pPr>
            <w:r>
              <w:rPr/>
              <w:t>—</w:t>
            </w:r>
          </w:p>
        </w:tc>
        <w:tc>
          <w:tcPr>
            <w:tcW w:w="23" w:type="dxa"/>
            <w:tcBorders/>
            <w:vAlign w:val="center"/>
          </w:tcPr>
          <w:p>
            <w:pPr>
              <w:pStyle w:val="TableContents"/>
              <w:bidi w:val="0"/>
              <w:spacing w:before="0" w:after="283"/>
              <w:ind w:left="0" w:right="0" w:hanging="0"/>
              <w:jc w:val="left"/>
              <w:rPr/>
            </w:pPr>
            <w:r>
              <w:rPr/>
            </w:r>
          </w:p>
        </w:tc>
        <w:tc>
          <w:tcPr>
            <w:tcW w:w="60" w:type="dxa"/>
            <w:tcBorders/>
            <w:vAlign w:val="center"/>
          </w:tcPr>
          <w:p>
            <w:pPr>
              <w:pStyle w:val="TableContents"/>
              <w:bidi w:val="0"/>
              <w:spacing w:before="0" w:after="0"/>
              <w:ind w:left="0" w:right="0" w:hanging="0"/>
              <w:jc w:val="left"/>
              <w:rPr>
                <w:sz w:val="20"/>
              </w:rPr>
            </w:pPr>
            <w:r>
              <w:rPr>
                <w:sz w:val="20"/>
              </w:rPr>
            </w:r>
          </w:p>
        </w:tc>
        <w:tc>
          <w:tcPr>
            <w:tcW w:w="276" w:type="dxa"/>
            <w:tcBorders/>
            <w:vAlign w:val="center"/>
          </w:tcPr>
          <w:p>
            <w:pPr>
              <w:pStyle w:val="TableContents"/>
              <w:bidi w:val="0"/>
              <w:spacing w:before="0" w:after="283"/>
              <w:ind w:left="0" w:right="0" w:hanging="0"/>
              <w:jc w:val="left"/>
              <w:rPr/>
            </w:pPr>
            <w:r>
              <w:rPr/>
            </w:r>
          </w:p>
        </w:tc>
        <w:tc>
          <w:tcPr>
            <w:tcW w:w="1213" w:type="dxa"/>
            <w:tcBorders/>
            <w:vAlign w:val="center"/>
          </w:tcPr>
          <w:p>
            <w:pPr>
              <w:pStyle w:val="TableContents"/>
              <w:bidi w:val="0"/>
              <w:spacing w:before="0" w:after="0"/>
              <w:ind w:left="0" w:right="0" w:hanging="0"/>
              <w:jc w:val="right"/>
              <w:rPr/>
            </w:pPr>
            <w:r>
              <w:rPr/>
              <w:t>—</w:t>
            </w:r>
          </w:p>
        </w:tc>
        <w:tc>
          <w:tcPr>
            <w:tcW w:w="95" w:type="dxa"/>
            <w:tcBorders/>
            <w:vAlign w:val="center"/>
          </w:tcPr>
          <w:p>
            <w:pPr>
              <w:pStyle w:val="TableContents"/>
              <w:bidi w:val="0"/>
              <w:spacing w:before="0" w:after="283"/>
              <w:ind w:left="0" w:right="0" w:hanging="0"/>
              <w:jc w:val="left"/>
              <w:rPr/>
            </w:pPr>
            <w:r>
              <w:rPr/>
            </w:r>
          </w:p>
        </w:tc>
        <w:tc>
          <w:tcPr>
            <w:tcW w:w="60" w:type="dxa"/>
            <w:tcBorders/>
            <w:vAlign w:val="center"/>
          </w:tcPr>
          <w:p>
            <w:pPr>
              <w:pStyle w:val="TableContents"/>
              <w:bidi w:val="0"/>
              <w:spacing w:before="0" w:after="0"/>
              <w:ind w:left="0" w:right="0" w:hanging="0"/>
              <w:jc w:val="left"/>
              <w:rPr>
                <w:sz w:val="20"/>
              </w:rPr>
            </w:pPr>
            <w:r>
              <w:rPr>
                <w:sz w:val="20"/>
              </w:rPr>
            </w:r>
          </w:p>
        </w:tc>
        <w:tc>
          <w:tcPr>
            <w:tcW w:w="302" w:type="dxa"/>
            <w:tcBorders/>
            <w:vAlign w:val="center"/>
          </w:tcPr>
          <w:p>
            <w:pPr>
              <w:pStyle w:val="TableContents"/>
              <w:bidi w:val="0"/>
              <w:spacing w:before="0" w:after="283"/>
              <w:ind w:left="0" w:right="0" w:hanging="0"/>
              <w:jc w:val="left"/>
              <w:rPr/>
            </w:pPr>
            <w:r>
              <w:rPr/>
            </w:r>
          </w:p>
        </w:tc>
        <w:tc>
          <w:tcPr>
            <w:tcW w:w="813" w:type="dxa"/>
            <w:tcBorders/>
            <w:vAlign w:val="center"/>
          </w:tcPr>
          <w:p>
            <w:pPr>
              <w:pStyle w:val="TableContents"/>
              <w:bidi w:val="0"/>
              <w:spacing w:before="0" w:after="0"/>
              <w:ind w:left="0" w:right="0" w:hanging="0"/>
              <w:jc w:val="right"/>
              <w:rPr/>
            </w:pPr>
            <w:r>
              <w:rPr/>
              <w:t>—</w:t>
            </w:r>
          </w:p>
        </w:tc>
        <w:tc>
          <w:tcPr>
            <w:tcW w:w="95" w:type="dxa"/>
            <w:tcBorders/>
            <w:vAlign w:val="center"/>
          </w:tcPr>
          <w:p>
            <w:pPr>
              <w:pStyle w:val="TableContents"/>
              <w:bidi w:val="0"/>
              <w:spacing w:before="0" w:after="283"/>
              <w:ind w:left="0" w:right="0" w:hanging="0"/>
              <w:jc w:val="left"/>
              <w:rPr/>
            </w:pPr>
            <w:r>
              <w:rPr/>
            </w:r>
          </w:p>
        </w:tc>
        <w:tc>
          <w:tcPr>
            <w:tcW w:w="60" w:type="dxa"/>
            <w:tcBorders/>
            <w:vAlign w:val="center"/>
          </w:tcPr>
          <w:p>
            <w:pPr>
              <w:pStyle w:val="TableContents"/>
              <w:bidi w:val="0"/>
              <w:spacing w:before="0" w:after="0"/>
              <w:ind w:left="0" w:right="0" w:hanging="0"/>
              <w:jc w:val="left"/>
              <w:rPr>
                <w:sz w:val="20"/>
              </w:rPr>
            </w:pPr>
            <w:r>
              <w:rPr>
                <w:sz w:val="20"/>
              </w:rPr>
            </w:r>
          </w:p>
        </w:tc>
        <w:tc>
          <w:tcPr>
            <w:tcW w:w="125" w:type="dxa"/>
            <w:tcBorders/>
            <w:vAlign w:val="center"/>
          </w:tcPr>
          <w:p>
            <w:pPr>
              <w:pStyle w:val="TableContents"/>
              <w:bidi w:val="0"/>
              <w:spacing w:before="0" w:after="283"/>
              <w:ind w:left="0" w:right="0" w:hanging="0"/>
              <w:jc w:val="left"/>
              <w:rPr/>
            </w:pPr>
            <w:r>
              <w:rPr/>
            </w:r>
          </w:p>
        </w:tc>
        <w:tc>
          <w:tcPr>
            <w:tcW w:w="635" w:type="dxa"/>
            <w:tcBorders/>
            <w:vAlign w:val="center"/>
          </w:tcPr>
          <w:p>
            <w:pPr>
              <w:pStyle w:val="TableContents"/>
              <w:bidi w:val="0"/>
              <w:spacing w:before="0" w:after="0"/>
              <w:ind w:left="0" w:right="0" w:hanging="0"/>
              <w:jc w:val="right"/>
              <w:rPr>
                <w:sz w:val="20"/>
              </w:rPr>
            </w:pPr>
            <w:r>
              <w:rPr>
                <w:sz w:val="20"/>
              </w:rPr>
              <w:t>(0.1</w:t>
            </w:r>
          </w:p>
        </w:tc>
        <w:tc>
          <w:tcPr>
            <w:tcW w:w="110" w:type="dxa"/>
            <w:tcBorders/>
            <w:vAlign w:val="center"/>
          </w:tcPr>
          <w:p>
            <w:pPr>
              <w:pStyle w:val="TableContents"/>
              <w:bidi w:val="0"/>
              <w:spacing w:before="0" w:after="0"/>
              <w:ind w:left="0" w:right="0" w:hanging="0"/>
              <w:jc w:val="left"/>
              <w:rPr/>
            </w:pPr>
            <w:r>
              <w:rPr/>
              <w:t>)</w:t>
            </w:r>
          </w:p>
        </w:tc>
      </w:tr>
      <w:tr>
        <w:trPr/>
        <w:tc>
          <w:tcPr>
            <w:tcW w:w="3365" w:type="dxa"/>
            <w:tcBorders/>
            <w:shd w:fill="CCEEFF" w:val="clear"/>
            <w:vAlign w:val="center"/>
          </w:tcPr>
          <w:p>
            <w:pPr>
              <w:pStyle w:val="TableContents"/>
              <w:bidi w:val="0"/>
              <w:spacing w:before="0" w:after="0"/>
              <w:ind w:left="0" w:right="0" w:hanging="0"/>
              <w:jc w:val="left"/>
              <w:rPr>
                <w:sz w:val="20"/>
              </w:rPr>
            </w:pPr>
            <w:r>
              <w:rPr>
                <w:sz w:val="20"/>
              </w:rPr>
              <w:t>Balance as of June 30, 2023</w:t>
            </w:r>
          </w:p>
        </w:tc>
        <w:tc>
          <w:tcPr>
            <w:tcW w:w="232" w:type="dxa"/>
            <w:tcBorders/>
            <w:shd w:fill="CCEEFF" w:val="clear"/>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1182" w:type="dxa"/>
            <w:tcBorders/>
            <w:shd w:fill="CCEEFF" w:val="clear"/>
            <w:vAlign w:val="center"/>
          </w:tcPr>
          <w:p>
            <w:pPr>
              <w:pStyle w:val="TableContents"/>
              <w:bidi w:val="0"/>
              <w:spacing w:before="0" w:after="0"/>
              <w:ind w:left="0" w:right="0" w:hanging="0"/>
              <w:jc w:val="right"/>
              <w:rPr>
                <w:sz w:val="20"/>
              </w:rPr>
            </w:pPr>
            <w:r>
              <w:rPr>
                <w:sz w:val="20"/>
              </w:rPr>
              <w:t>1,454.5</w:t>
            </w:r>
          </w:p>
        </w:tc>
        <w:tc>
          <w:tcPr>
            <w:tcW w:w="23" w:type="dxa"/>
            <w:tcBorders/>
            <w:shd w:fill="CCEEFF" w:val="clear"/>
            <w:vAlign w:val="center"/>
          </w:tcPr>
          <w:p>
            <w:pPr>
              <w:pStyle w:val="TableContents"/>
              <w:bidi w:val="0"/>
              <w:spacing w:before="0" w:after="283"/>
              <w:ind w:left="0" w:right="0" w:hanging="0"/>
              <w:jc w:val="left"/>
              <w:rPr/>
            </w:pPr>
            <w:r>
              <w:rPr/>
            </w:r>
          </w:p>
        </w:tc>
        <w:tc>
          <w:tcPr>
            <w:tcW w:w="60" w:type="dxa"/>
            <w:tcBorders/>
            <w:shd w:fill="CCEEFF" w:val="clear"/>
            <w:vAlign w:val="center"/>
          </w:tcPr>
          <w:p>
            <w:pPr>
              <w:pStyle w:val="TableContents"/>
              <w:bidi w:val="0"/>
              <w:spacing w:before="0" w:after="0"/>
              <w:ind w:left="0" w:right="0" w:hanging="0"/>
              <w:jc w:val="left"/>
              <w:rPr>
                <w:sz w:val="20"/>
              </w:rPr>
            </w:pPr>
            <w:r>
              <w:rPr>
                <w:sz w:val="20"/>
              </w:rPr>
            </w:r>
          </w:p>
        </w:tc>
        <w:tc>
          <w:tcPr>
            <w:tcW w:w="276" w:type="dxa"/>
            <w:tcBorders/>
            <w:shd w:fill="CCEEFF" w:val="clear"/>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1213" w:type="dxa"/>
            <w:tcBorders/>
            <w:shd w:fill="CCEEFF" w:val="clear"/>
            <w:vAlign w:val="center"/>
          </w:tcPr>
          <w:p>
            <w:pPr>
              <w:pStyle w:val="TableContents"/>
              <w:bidi w:val="0"/>
              <w:spacing w:before="0" w:after="0"/>
              <w:ind w:left="0" w:right="0" w:hanging="0"/>
              <w:jc w:val="right"/>
              <w:rPr>
                <w:sz w:val="20"/>
              </w:rPr>
            </w:pPr>
            <w:r>
              <w:rPr>
                <w:sz w:val="20"/>
              </w:rPr>
              <w:t>(220.2</w:t>
            </w:r>
          </w:p>
        </w:tc>
        <w:tc>
          <w:tcPr>
            <w:tcW w:w="95"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sz w:val="20"/>
              </w:rPr>
            </w:pPr>
            <w:r>
              <w:rPr>
                <w:sz w:val="20"/>
              </w:rPr>
            </w:r>
          </w:p>
        </w:tc>
        <w:tc>
          <w:tcPr>
            <w:tcW w:w="302" w:type="dxa"/>
            <w:tcBorders/>
            <w:shd w:fill="CCEEFF" w:val="clear"/>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813" w:type="dxa"/>
            <w:tcBorders/>
            <w:shd w:fill="CCEEFF" w:val="clear"/>
            <w:vAlign w:val="center"/>
          </w:tcPr>
          <w:p>
            <w:pPr>
              <w:pStyle w:val="TableContents"/>
              <w:bidi w:val="0"/>
              <w:spacing w:before="0" w:after="0"/>
              <w:ind w:left="0" w:right="0" w:hanging="0"/>
              <w:jc w:val="right"/>
              <w:rPr>
                <w:sz w:val="20"/>
              </w:rPr>
            </w:pPr>
            <w:r>
              <w:rPr>
                <w:sz w:val="20"/>
              </w:rPr>
              <w:t>(0.5</w:t>
            </w:r>
          </w:p>
        </w:tc>
        <w:tc>
          <w:tcPr>
            <w:tcW w:w="95"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sz w:val="20"/>
              </w:rPr>
            </w:pPr>
            <w:r>
              <w:rPr>
                <w:sz w:val="20"/>
              </w:rPr>
            </w:r>
          </w:p>
        </w:tc>
        <w:tc>
          <w:tcPr>
            <w:tcW w:w="125" w:type="dxa"/>
            <w:tcBorders/>
            <w:shd w:fill="CCEEFF" w:val="clear"/>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635" w:type="dxa"/>
            <w:tcBorders/>
            <w:shd w:fill="CCEEFF" w:val="clear"/>
            <w:vAlign w:val="center"/>
          </w:tcPr>
          <w:p>
            <w:pPr>
              <w:pStyle w:val="TableContents"/>
              <w:bidi w:val="0"/>
              <w:spacing w:before="0" w:after="0"/>
              <w:ind w:left="0" w:right="0" w:hanging="0"/>
              <w:jc w:val="right"/>
              <w:rPr>
                <w:sz w:val="20"/>
              </w:rPr>
            </w:pPr>
            <w:r>
              <w:rPr>
                <w:sz w:val="20"/>
              </w:rPr>
              <w:t>1,381.7</w:t>
            </w:r>
          </w:p>
        </w:tc>
        <w:tc>
          <w:tcPr>
            <w:tcW w:w="110" w:type="dxa"/>
            <w:tcBorders/>
            <w:shd w:fill="CCEEFF" w:val="clear"/>
            <w:vAlign w:val="center"/>
          </w:tcPr>
          <w:p>
            <w:pPr>
              <w:pStyle w:val="TableContents"/>
              <w:bidi w:val="0"/>
              <w:spacing w:before="0" w:after="283"/>
              <w:jc w:val="left"/>
              <w:rPr/>
            </w:pPr>
            <w:r>
              <w:rPr/>
            </w:r>
          </w:p>
        </w:tc>
      </w:tr>
    </w:tbl>
    <w:p>
      <w:pPr>
        <w:pStyle w:val="TextBody"/>
        <w:widowControl/>
        <w:bidi w:val="0"/>
        <w:spacing w:lineRule="atLeast" w:line="240"/>
        <w:jc w:val="left"/>
        <w:rPr>
          <w:caps w:val="false"/>
          <w:smallCaps w:val="false"/>
          <w:color w:val="000000"/>
          <w:spacing w:val="0"/>
        </w:rPr>
      </w:pPr>
      <w:r>
        <w:rPr>
          <w:caps w:val="false"/>
          <w:smallCaps w:val="false"/>
          <w:color w:val="000000"/>
          <w:spacing w:val="0"/>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widowControl/>
        <w:bidi w:val="0"/>
        <w:spacing w:lineRule="auto" w:line="288" w:before="0" w:after="0"/>
        <w:ind w:left="0" w:right="0" w:hanging="0"/>
        <w:jc w:val="left"/>
        <w:rPr>
          <w:caps w:val="false"/>
          <w:smallCaps w:val="false"/>
          <w:color w:val="000000"/>
          <w:spacing w:val="0"/>
        </w:rPr>
      </w:pPr>
      <w:r>
        <w:rPr>
          <w:caps w:val="false"/>
          <w:smallCaps w:val="false"/>
          <w:color w:val="000000"/>
          <w:spacing w:val="0"/>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9743" w:type="dxa"/>
        <w:jc w:val="left"/>
        <w:tblInd w:w="0" w:type="dxa"/>
        <w:tblLayout w:type="fixed"/>
        <w:tblCellMar>
          <w:top w:w="28" w:type="dxa"/>
          <w:left w:w="28" w:type="dxa"/>
          <w:bottom w:w="28" w:type="dxa"/>
          <w:right w:w="28" w:type="dxa"/>
        </w:tblCellMar>
      </w:tblPr>
      <w:tblGrid>
        <w:gridCol w:w="3451"/>
        <w:gridCol w:w="293"/>
        <w:gridCol w:w="1147"/>
        <w:gridCol w:w="109"/>
        <w:gridCol w:w="109"/>
        <w:gridCol w:w="375"/>
        <w:gridCol w:w="1200"/>
        <w:gridCol w:w="181"/>
        <w:gridCol w:w="109"/>
        <w:gridCol w:w="383"/>
        <w:gridCol w:w="818"/>
        <w:gridCol w:w="181"/>
        <w:gridCol w:w="109"/>
        <w:gridCol w:w="226"/>
        <w:gridCol w:w="826"/>
        <w:gridCol w:w="226"/>
      </w:tblGrid>
      <w:tr>
        <w:trPr/>
        <w:tc>
          <w:tcPr>
            <w:tcW w:w="3451" w:type="dxa"/>
            <w:tcBorders/>
            <w:vAlign w:val="bottom"/>
          </w:tcPr>
          <w:p>
            <w:pPr>
              <w:pStyle w:val="TableContents"/>
              <w:bidi w:val="0"/>
              <w:spacing w:before="0" w:after="283"/>
              <w:jc w:val="left"/>
              <w:rPr/>
            </w:pPr>
            <w:r>
              <w:rPr/>
            </w:r>
          </w:p>
        </w:tc>
        <w:tc>
          <w:tcPr>
            <w:tcW w:w="1440" w:type="dxa"/>
            <w:gridSpan w:val="2"/>
            <w:tcBorders/>
            <w:tcMar>
              <w:top w:w="0" w:type="dxa"/>
              <w:left w:w="0" w:type="dxa"/>
              <w:bottom w:w="0" w:type="dxa"/>
              <w:right w:w="0" w:type="dxa"/>
            </w:tcMar>
            <w:vAlign w:val="bottom"/>
          </w:tcPr>
          <w:p>
            <w:pPr>
              <w:pStyle w:val="TableContents"/>
              <w:widowControl/>
              <w:bidi w:val="0"/>
              <w:spacing w:before="0" w:after="283"/>
              <w:ind w:left="0" w:right="0" w:hanging="0"/>
              <w:jc w:val="center"/>
              <w:rPr>
                <w:rFonts w:ascii="times new roman;times" w:hAnsi="times new roman;times"/>
                <w:b/>
                <w:color w:val="000000"/>
                <w:spacing w:val="0"/>
                <w:sz w:val="16"/>
              </w:rPr>
            </w:pPr>
            <w:r>
              <w:rPr>
                <w:rFonts w:ascii="times new roman;times" w:hAnsi="times new roman;times"/>
                <w:b/>
                <w:color w:val="000000"/>
                <w:spacing w:val="0"/>
                <w:sz w:val="16"/>
              </w:rPr>
              <w:t>Retained Earnings</w:t>
            </w:r>
          </w:p>
        </w:tc>
        <w:tc>
          <w:tcPr>
            <w:tcW w:w="109" w:type="dxa"/>
            <w:tcBorders/>
            <w:vAlign w:val="bottom"/>
          </w:tcPr>
          <w:p>
            <w:pPr>
              <w:pStyle w:val="TableContents"/>
              <w:bidi w:val="0"/>
              <w:spacing w:before="0" w:after="283"/>
              <w:jc w:val="left"/>
              <w:rPr/>
            </w:pPr>
            <w:r>
              <w:rPr/>
            </w:r>
          </w:p>
        </w:tc>
        <w:tc>
          <w:tcPr>
            <w:tcW w:w="109" w:type="dxa"/>
            <w:tcBorders/>
            <w:vAlign w:val="bottom"/>
          </w:tcPr>
          <w:p>
            <w:pPr>
              <w:pStyle w:val="TableContents"/>
              <w:bidi w:val="0"/>
              <w:spacing w:before="0" w:after="283"/>
              <w:jc w:val="left"/>
              <w:rPr/>
            </w:pPr>
            <w:r>
              <w:rPr/>
            </w:r>
          </w:p>
        </w:tc>
        <w:tc>
          <w:tcPr>
            <w:tcW w:w="1575" w:type="dxa"/>
            <w:gridSpan w:val="2"/>
            <w:tcBorders/>
            <w:tcMar>
              <w:top w:w="0" w:type="dxa"/>
              <w:left w:w="0" w:type="dxa"/>
              <w:bottom w:w="0" w:type="dxa"/>
              <w:right w:w="0" w:type="dxa"/>
            </w:tcMar>
            <w:vAlign w:val="bottom"/>
          </w:tcPr>
          <w:p>
            <w:pPr>
              <w:pStyle w:val="TableContents"/>
              <w:bidi w:val="0"/>
              <w:spacing w:before="0" w:after="0"/>
              <w:jc w:val="center"/>
              <w:rPr>
                <w:rFonts w:ascii="times new roman;times" w:hAnsi="times new roman;times"/>
                <w:b/>
                <w:sz w:val="16"/>
              </w:rPr>
            </w:pPr>
            <w:r>
              <w:rPr>
                <w:rFonts w:ascii="times new roman;times" w:hAnsi="times new roman;times"/>
                <w:b/>
                <w:sz w:val="16"/>
              </w:rPr>
              <w:t>Accumulated Other</w:t>
            </w:r>
          </w:p>
          <w:p>
            <w:pPr>
              <w:pStyle w:val="TableContents"/>
              <w:bidi w:val="0"/>
              <w:spacing w:before="0" w:after="0"/>
              <w:jc w:val="center"/>
              <w:rPr>
                <w:rFonts w:ascii="times new roman;times" w:hAnsi="times new roman;times"/>
                <w:b/>
                <w:sz w:val="16"/>
              </w:rPr>
            </w:pPr>
            <w:r>
              <w:rPr>
                <w:rFonts w:ascii="times new roman;times" w:hAnsi="times new roman;times"/>
                <w:b/>
                <w:sz w:val="16"/>
              </w:rPr>
              <w:t>Comprehensive Loss</w:t>
            </w:r>
          </w:p>
        </w:tc>
        <w:tc>
          <w:tcPr>
            <w:tcW w:w="181" w:type="dxa"/>
            <w:tcBorders/>
            <w:vAlign w:val="bottom"/>
          </w:tcPr>
          <w:p>
            <w:pPr>
              <w:pStyle w:val="TableContents"/>
              <w:bidi w:val="0"/>
              <w:spacing w:before="0" w:after="283"/>
              <w:jc w:val="left"/>
              <w:rPr/>
            </w:pPr>
            <w:r>
              <w:rPr/>
            </w:r>
          </w:p>
        </w:tc>
        <w:tc>
          <w:tcPr>
            <w:tcW w:w="109" w:type="dxa"/>
            <w:tcBorders/>
            <w:vAlign w:val="bottom"/>
          </w:tcPr>
          <w:p>
            <w:pPr>
              <w:pStyle w:val="TableContents"/>
              <w:bidi w:val="0"/>
              <w:spacing w:before="0" w:after="283"/>
              <w:jc w:val="left"/>
              <w:rPr/>
            </w:pPr>
            <w:r>
              <w:rPr/>
            </w:r>
          </w:p>
        </w:tc>
        <w:tc>
          <w:tcPr>
            <w:tcW w:w="1201" w:type="dxa"/>
            <w:gridSpan w:val="2"/>
            <w:tcBorders/>
            <w:tcMar>
              <w:top w:w="0" w:type="dxa"/>
              <w:left w:w="0" w:type="dxa"/>
              <w:bottom w:w="0" w:type="dxa"/>
              <w:right w:w="0" w:type="dxa"/>
            </w:tcMar>
            <w:vAlign w:val="bottom"/>
          </w:tcPr>
          <w:p>
            <w:pPr>
              <w:pStyle w:val="TableContents"/>
              <w:bidi w:val="0"/>
              <w:spacing w:before="0" w:after="0"/>
              <w:jc w:val="center"/>
              <w:rPr>
                <w:rFonts w:ascii="times new roman;times" w:hAnsi="times new roman;times"/>
                <w:b/>
                <w:sz w:val="16"/>
              </w:rPr>
            </w:pPr>
            <w:r>
              <w:rPr>
                <w:rFonts w:ascii="times new roman;times" w:hAnsi="times new roman;times"/>
                <w:b/>
                <w:sz w:val="16"/>
              </w:rPr>
              <w:t>Noncontrolling</w:t>
            </w:r>
          </w:p>
          <w:p>
            <w:pPr>
              <w:pStyle w:val="TableContents"/>
              <w:bidi w:val="0"/>
              <w:spacing w:before="0" w:after="0"/>
              <w:jc w:val="center"/>
              <w:rPr>
                <w:rFonts w:ascii="times new roman;times" w:hAnsi="times new roman;times"/>
                <w:b/>
                <w:sz w:val="16"/>
              </w:rPr>
            </w:pPr>
            <w:r>
              <w:rPr>
                <w:rFonts w:ascii="times new roman;times" w:hAnsi="times new roman;times"/>
                <w:b/>
                <w:sz w:val="16"/>
              </w:rPr>
              <w:t>Interests</w:t>
            </w:r>
          </w:p>
        </w:tc>
        <w:tc>
          <w:tcPr>
            <w:tcW w:w="181" w:type="dxa"/>
            <w:tcBorders/>
            <w:vAlign w:val="bottom"/>
          </w:tcPr>
          <w:p>
            <w:pPr>
              <w:pStyle w:val="TableContents"/>
              <w:bidi w:val="0"/>
              <w:spacing w:before="0" w:after="283"/>
              <w:jc w:val="left"/>
              <w:rPr/>
            </w:pPr>
            <w:r>
              <w:rPr/>
            </w:r>
          </w:p>
        </w:tc>
        <w:tc>
          <w:tcPr>
            <w:tcW w:w="109" w:type="dxa"/>
            <w:tcBorders/>
            <w:vAlign w:val="bottom"/>
          </w:tcPr>
          <w:p>
            <w:pPr>
              <w:pStyle w:val="TableContents"/>
              <w:bidi w:val="0"/>
              <w:spacing w:before="0" w:after="283"/>
              <w:jc w:val="left"/>
              <w:rPr/>
            </w:pPr>
            <w:r>
              <w:rPr/>
            </w:r>
          </w:p>
        </w:tc>
        <w:tc>
          <w:tcPr>
            <w:tcW w:w="1052" w:type="dxa"/>
            <w:gridSpan w:val="2"/>
            <w:tcBorders/>
            <w:tcMar>
              <w:top w:w="0" w:type="dxa"/>
              <w:left w:w="0" w:type="dxa"/>
              <w:bottom w:w="0" w:type="dxa"/>
              <w:right w:w="0" w:type="dxa"/>
            </w:tcMar>
            <w:vAlign w:val="bottom"/>
          </w:tcPr>
          <w:p>
            <w:pPr>
              <w:pStyle w:val="TableContents"/>
              <w:bidi w:val="0"/>
              <w:spacing w:before="0" w:after="283"/>
              <w:jc w:val="center"/>
              <w:rPr>
                <w:b/>
                <w:sz w:val="16"/>
              </w:rPr>
            </w:pPr>
            <w:r>
              <w:rPr>
                <w:b/>
                <w:sz w:val="16"/>
              </w:rPr>
              <w:t>Total</w:t>
            </w:r>
          </w:p>
        </w:tc>
        <w:tc>
          <w:tcPr>
            <w:tcW w:w="226" w:type="dxa"/>
            <w:tcBorders/>
            <w:vAlign w:val="bottom"/>
          </w:tcPr>
          <w:p>
            <w:pPr>
              <w:pStyle w:val="TableContents"/>
              <w:bidi w:val="0"/>
              <w:spacing w:before="0" w:after="283"/>
              <w:jc w:val="left"/>
              <w:rPr/>
            </w:pPr>
            <w:r>
              <w:rPr/>
            </w:r>
          </w:p>
        </w:tc>
      </w:tr>
      <w:tr>
        <w:trPr/>
        <w:tc>
          <w:tcPr>
            <w:tcW w:w="3451" w:type="dxa"/>
            <w:tcBorders/>
            <w:shd w:fill="CCEEFF" w:val="clear"/>
            <w:vAlign w:val="bottom"/>
          </w:tcPr>
          <w:p>
            <w:pPr>
              <w:pStyle w:val="TableContents"/>
              <w:widowControl/>
              <w:bidi w:val="0"/>
              <w:spacing w:before="0" w:after="283"/>
              <w:ind w:left="0" w:right="0" w:hanging="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Balance as of December 31, 2023</w:t>
            </w:r>
          </w:p>
        </w:tc>
        <w:tc>
          <w:tcPr>
            <w:tcW w:w="293" w:type="dxa"/>
            <w:tcBorders/>
            <w:shd w:fill="CCEEFF" w:val="clear"/>
            <w:tcMar>
              <w:top w:w="0" w:type="dxa"/>
              <w:left w:w="0" w:type="dxa"/>
              <w:bottom w:w="0" w:type="dxa"/>
              <w:right w:w="0" w:type="dxa"/>
            </w:tcMar>
            <w:vAlign w:val="bottom"/>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1147" w:type="dxa"/>
            <w:tcBorders/>
            <w:shd w:fill="CCEEFF" w:val="clear"/>
            <w:tcMar>
              <w:top w:w="0" w:type="dxa"/>
              <w:left w:w="0" w:type="dxa"/>
              <w:bottom w:w="0" w:type="dxa"/>
              <w:right w:w="0" w:type="dxa"/>
            </w:tcMar>
            <w:vAlign w:val="bottom"/>
          </w:tcPr>
          <w:p>
            <w:pPr>
              <w:pStyle w:val="TableContents"/>
              <w:bidi w:val="0"/>
              <w:spacing w:before="0" w:after="283"/>
              <w:jc w:val="right"/>
              <w:rPr/>
            </w:pPr>
            <w:r>
              <w:rPr/>
              <w:t>1,627.9</w:t>
            </w:r>
          </w:p>
        </w:tc>
        <w:tc>
          <w:tcPr>
            <w:tcW w:w="109" w:type="dxa"/>
            <w:tcBorders/>
            <w:shd w:fill="CCEEFF" w:val="clear"/>
            <w:tcMar>
              <w:top w:w="0" w:type="dxa"/>
              <w:left w:w="0" w:type="dxa"/>
              <w:bottom w:w="0" w:type="dxa"/>
              <w:right w:w="0" w:type="dxa"/>
            </w:tcMar>
            <w:vAlign w:val="bottom"/>
          </w:tcPr>
          <w:p>
            <w:pPr>
              <w:pStyle w:val="TableContents"/>
              <w:bidi w:val="0"/>
              <w:spacing w:before="0" w:after="283"/>
              <w:jc w:val="left"/>
              <w:rPr/>
            </w:pPr>
            <w:r>
              <w:rPr/>
            </w:r>
          </w:p>
        </w:tc>
        <w:tc>
          <w:tcPr>
            <w:tcW w:w="109" w:type="dxa"/>
            <w:tcBorders/>
            <w:shd w:fill="CCEEFF" w:val="clear"/>
            <w:tcMar>
              <w:top w:w="0" w:type="dxa"/>
              <w:left w:w="0" w:type="dxa"/>
              <w:bottom w:w="0" w:type="dxa"/>
              <w:right w:w="0" w:type="dxa"/>
            </w:tcMar>
            <w:vAlign w:val="bottom"/>
          </w:tcPr>
          <w:p>
            <w:pPr>
              <w:pStyle w:val="TableContents"/>
              <w:bidi w:val="0"/>
              <w:spacing w:before="0" w:after="283"/>
              <w:jc w:val="left"/>
              <w:rPr/>
            </w:pPr>
            <w:r>
              <w:rPr/>
            </w:r>
          </w:p>
        </w:tc>
        <w:tc>
          <w:tcPr>
            <w:tcW w:w="375" w:type="dxa"/>
            <w:tcBorders/>
            <w:shd w:fill="CCEEFF" w:val="clear"/>
            <w:tcMar>
              <w:top w:w="0" w:type="dxa"/>
              <w:left w:w="0" w:type="dxa"/>
              <w:bottom w:w="0" w:type="dxa"/>
              <w:right w:w="0" w:type="dxa"/>
            </w:tcMar>
            <w:vAlign w:val="bottom"/>
          </w:tcPr>
          <w:p>
            <w:pPr>
              <w:pStyle w:val="TableContents"/>
              <w:bidi w:val="0"/>
              <w:spacing w:before="0" w:after="283"/>
              <w:jc w:val="left"/>
              <w:rPr/>
            </w:pPr>
            <w:r>
              <w:rPr/>
              <w:t>$</w:t>
            </w:r>
          </w:p>
        </w:tc>
        <w:tc>
          <w:tcPr>
            <w:tcW w:w="1200" w:type="dxa"/>
            <w:tcBorders/>
            <w:shd w:fill="CCEEFF" w:val="clear"/>
            <w:tcMar>
              <w:top w:w="0" w:type="dxa"/>
              <w:left w:w="0" w:type="dxa"/>
              <w:bottom w:w="0" w:type="dxa"/>
              <w:right w:w="0" w:type="dxa"/>
            </w:tcMar>
            <w:vAlign w:val="bottom"/>
          </w:tcPr>
          <w:p>
            <w:pPr>
              <w:pStyle w:val="TableContents"/>
              <w:bidi w:val="0"/>
              <w:spacing w:before="0" w:after="283"/>
              <w:jc w:val="right"/>
              <w:rPr/>
            </w:pPr>
            <w:r>
              <w:rPr/>
              <w:t>(203.2</w:t>
            </w:r>
          </w:p>
        </w:tc>
        <w:tc>
          <w:tcPr>
            <w:tcW w:w="181" w:type="dxa"/>
            <w:tcBorders/>
            <w:shd w:fill="CCEEFF" w:val="clear"/>
            <w:tcMar>
              <w:top w:w="0" w:type="dxa"/>
              <w:left w:w="0" w:type="dxa"/>
              <w:bottom w:w="0" w:type="dxa"/>
              <w:right w:w="0" w:type="dxa"/>
            </w:tcMar>
            <w:vAlign w:val="bottom"/>
          </w:tcPr>
          <w:p>
            <w:pPr>
              <w:pStyle w:val="TableContents"/>
              <w:bidi w:val="0"/>
              <w:spacing w:before="0" w:after="283"/>
              <w:jc w:val="left"/>
              <w:rPr/>
            </w:pPr>
            <w:r>
              <w:rPr/>
              <w:t>)</w:t>
            </w:r>
          </w:p>
        </w:tc>
        <w:tc>
          <w:tcPr>
            <w:tcW w:w="109" w:type="dxa"/>
            <w:tcBorders/>
            <w:shd w:fill="CCEEFF" w:val="clear"/>
            <w:tcMar>
              <w:top w:w="0" w:type="dxa"/>
              <w:left w:w="0" w:type="dxa"/>
              <w:bottom w:w="0" w:type="dxa"/>
              <w:right w:w="0" w:type="dxa"/>
            </w:tcMar>
            <w:vAlign w:val="bottom"/>
          </w:tcPr>
          <w:p>
            <w:pPr>
              <w:pStyle w:val="TableContents"/>
              <w:bidi w:val="0"/>
              <w:spacing w:before="0" w:after="283"/>
              <w:jc w:val="left"/>
              <w:rPr/>
            </w:pPr>
            <w:r>
              <w:rPr/>
            </w:r>
          </w:p>
        </w:tc>
        <w:tc>
          <w:tcPr>
            <w:tcW w:w="383" w:type="dxa"/>
            <w:tcBorders/>
            <w:shd w:fill="CCEEFF" w:val="clear"/>
            <w:tcMar>
              <w:top w:w="0" w:type="dxa"/>
              <w:left w:w="0" w:type="dxa"/>
              <w:bottom w:w="0" w:type="dxa"/>
              <w:right w:w="0" w:type="dxa"/>
            </w:tcMar>
            <w:vAlign w:val="bottom"/>
          </w:tcPr>
          <w:p>
            <w:pPr>
              <w:pStyle w:val="TableContents"/>
              <w:bidi w:val="0"/>
              <w:spacing w:before="0" w:after="283"/>
              <w:jc w:val="left"/>
              <w:rPr/>
            </w:pPr>
            <w:r>
              <w:rPr/>
              <w:t>$</w:t>
            </w:r>
          </w:p>
        </w:tc>
        <w:tc>
          <w:tcPr>
            <w:tcW w:w="818" w:type="dxa"/>
            <w:tcBorders/>
            <w:shd w:fill="CCEEFF" w:val="clear"/>
            <w:tcMar>
              <w:top w:w="0" w:type="dxa"/>
              <w:left w:w="0" w:type="dxa"/>
              <w:bottom w:w="0" w:type="dxa"/>
              <w:right w:w="0" w:type="dxa"/>
            </w:tcMar>
            <w:vAlign w:val="bottom"/>
          </w:tcPr>
          <w:p>
            <w:pPr>
              <w:pStyle w:val="TableContents"/>
              <w:bidi w:val="0"/>
              <w:spacing w:before="0" w:after="283"/>
              <w:jc w:val="right"/>
              <w:rPr/>
            </w:pPr>
            <w:r>
              <w:rPr/>
              <w:t>(0.2</w:t>
            </w:r>
          </w:p>
        </w:tc>
        <w:tc>
          <w:tcPr>
            <w:tcW w:w="181" w:type="dxa"/>
            <w:tcBorders/>
            <w:shd w:fill="CCEEFF" w:val="clear"/>
            <w:tcMar>
              <w:top w:w="0" w:type="dxa"/>
              <w:left w:w="0" w:type="dxa"/>
              <w:bottom w:w="0" w:type="dxa"/>
              <w:right w:w="0" w:type="dxa"/>
            </w:tcMar>
            <w:vAlign w:val="bottom"/>
          </w:tcPr>
          <w:p>
            <w:pPr>
              <w:pStyle w:val="TableContents"/>
              <w:bidi w:val="0"/>
              <w:spacing w:before="0" w:after="283"/>
              <w:jc w:val="left"/>
              <w:rPr/>
            </w:pPr>
            <w:r>
              <w:rPr/>
              <w:t>)</w:t>
            </w:r>
          </w:p>
        </w:tc>
        <w:tc>
          <w:tcPr>
            <w:tcW w:w="109" w:type="dxa"/>
            <w:tcBorders/>
            <w:shd w:fill="CCEEFF" w:val="clear"/>
            <w:tcMar>
              <w:top w:w="0" w:type="dxa"/>
              <w:left w:w="0" w:type="dxa"/>
              <w:bottom w:w="0" w:type="dxa"/>
              <w:right w:w="0" w:type="dxa"/>
            </w:tcMar>
            <w:vAlign w:val="bottom"/>
          </w:tcPr>
          <w:p>
            <w:pPr>
              <w:pStyle w:val="TableContents"/>
              <w:bidi w:val="0"/>
              <w:spacing w:before="0" w:after="283"/>
              <w:jc w:val="left"/>
              <w:rPr/>
            </w:pPr>
            <w:r>
              <w:rPr/>
            </w:r>
          </w:p>
        </w:tc>
        <w:tc>
          <w:tcPr>
            <w:tcW w:w="226" w:type="dxa"/>
            <w:tcBorders/>
            <w:shd w:fill="CCEEFF" w:val="clear"/>
            <w:tcMar>
              <w:top w:w="0" w:type="dxa"/>
              <w:left w:w="0" w:type="dxa"/>
              <w:bottom w:w="0" w:type="dxa"/>
              <w:right w:w="0" w:type="dxa"/>
            </w:tcMar>
            <w:vAlign w:val="bottom"/>
          </w:tcPr>
          <w:p>
            <w:pPr>
              <w:pStyle w:val="TableContents"/>
              <w:bidi w:val="0"/>
              <w:spacing w:before="0" w:after="283"/>
              <w:jc w:val="left"/>
              <w:rPr/>
            </w:pPr>
            <w:r>
              <w:rPr/>
              <w:t>$</w:t>
            </w:r>
          </w:p>
        </w:tc>
        <w:tc>
          <w:tcPr>
            <w:tcW w:w="826" w:type="dxa"/>
            <w:tcBorders/>
            <w:shd w:fill="CCEEFF" w:val="clear"/>
            <w:tcMar>
              <w:top w:w="0" w:type="dxa"/>
              <w:left w:w="0" w:type="dxa"/>
              <w:bottom w:w="0" w:type="dxa"/>
              <w:right w:w="0" w:type="dxa"/>
            </w:tcMar>
            <w:vAlign w:val="bottom"/>
          </w:tcPr>
          <w:p>
            <w:pPr>
              <w:pStyle w:val="TableContents"/>
              <w:bidi w:val="0"/>
              <w:spacing w:before="0" w:after="283"/>
              <w:jc w:val="right"/>
              <w:rPr/>
            </w:pPr>
            <w:r>
              <w:rPr/>
              <w:t>1,249.7</w:t>
            </w:r>
          </w:p>
        </w:tc>
        <w:tc>
          <w:tcPr>
            <w:tcW w:w="226" w:type="dxa"/>
            <w:tcBorders/>
            <w:shd w:fill="CCEEFF" w:val="clear"/>
            <w:tcMar>
              <w:top w:w="0" w:type="dxa"/>
              <w:left w:w="0" w:type="dxa"/>
              <w:bottom w:w="0" w:type="dxa"/>
              <w:right w:w="0" w:type="dxa"/>
            </w:tcMar>
            <w:vAlign w:val="bottom"/>
          </w:tcPr>
          <w:p>
            <w:pPr>
              <w:pStyle w:val="TableContents"/>
              <w:bidi w:val="0"/>
              <w:spacing w:before="0" w:after="283"/>
              <w:jc w:val="left"/>
              <w:rPr/>
            </w:pPr>
            <w:r>
              <w:rPr/>
            </w:r>
          </w:p>
        </w:tc>
      </w:tr>
      <w:tr>
        <w:trPr/>
        <w:tc>
          <w:tcPr>
            <w:tcW w:w="3451" w:type="dxa"/>
            <w:tcBorders/>
            <w:vAlign w:val="bottom"/>
          </w:tcPr>
          <w:p>
            <w:pPr>
              <w:pStyle w:val="TableContents"/>
              <w:widowControl/>
              <w:bidi w:val="0"/>
              <w:spacing w:before="0" w:after="283"/>
              <w:ind w:left="0" w:right="0" w:hanging="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Net income</w:t>
            </w:r>
          </w:p>
        </w:tc>
        <w:tc>
          <w:tcPr>
            <w:tcW w:w="293" w:type="dxa"/>
            <w:tcBorders/>
            <w:tcMar>
              <w:top w:w="0" w:type="dxa"/>
              <w:left w:w="0" w:type="dxa"/>
              <w:bottom w:w="0" w:type="dxa"/>
              <w:right w:w="0" w:type="dxa"/>
            </w:tcMar>
            <w:vAlign w:val="bottom"/>
          </w:tcPr>
          <w:p>
            <w:pPr>
              <w:pStyle w:val="TableContents"/>
              <w:bidi w:val="0"/>
              <w:spacing w:before="0" w:after="283"/>
              <w:jc w:val="left"/>
              <w:rPr/>
            </w:pPr>
            <w:r>
              <w:rPr/>
            </w:r>
          </w:p>
        </w:tc>
        <w:tc>
          <w:tcPr>
            <w:tcW w:w="1147" w:type="dxa"/>
            <w:tcBorders/>
            <w:tcMar>
              <w:top w:w="0" w:type="dxa"/>
              <w:left w:w="0" w:type="dxa"/>
              <w:bottom w:w="0" w:type="dxa"/>
              <w:right w:w="0" w:type="dxa"/>
            </w:tcMar>
            <w:vAlign w:val="bottom"/>
          </w:tcPr>
          <w:p>
            <w:pPr>
              <w:pStyle w:val="TableContents"/>
              <w:bidi w:val="0"/>
              <w:spacing w:before="0" w:after="283"/>
              <w:jc w:val="right"/>
              <w:rPr/>
            </w:pPr>
            <w:r>
              <w:rPr/>
              <w:t>26.2</w:t>
            </w:r>
          </w:p>
        </w:tc>
        <w:tc>
          <w:tcPr>
            <w:tcW w:w="109" w:type="dxa"/>
            <w:tcBorders/>
            <w:tcMar>
              <w:top w:w="0" w:type="dxa"/>
              <w:left w:w="0" w:type="dxa"/>
              <w:bottom w:w="0" w:type="dxa"/>
              <w:right w:w="0" w:type="dxa"/>
            </w:tcMar>
            <w:vAlign w:val="bottom"/>
          </w:tcPr>
          <w:p>
            <w:pPr>
              <w:pStyle w:val="TableContents"/>
              <w:bidi w:val="0"/>
              <w:spacing w:before="0" w:after="283"/>
              <w:jc w:val="left"/>
              <w:rPr/>
            </w:pPr>
            <w:r>
              <w:rPr/>
            </w:r>
          </w:p>
        </w:tc>
        <w:tc>
          <w:tcPr>
            <w:tcW w:w="109" w:type="dxa"/>
            <w:tcBorders/>
            <w:tcMar>
              <w:top w:w="0" w:type="dxa"/>
              <w:left w:w="0" w:type="dxa"/>
              <w:bottom w:w="0" w:type="dxa"/>
              <w:right w:w="0" w:type="dxa"/>
            </w:tcMar>
            <w:vAlign w:val="bottom"/>
          </w:tcPr>
          <w:p>
            <w:pPr>
              <w:pStyle w:val="TableContents"/>
              <w:bidi w:val="0"/>
              <w:spacing w:before="0" w:after="283"/>
              <w:jc w:val="left"/>
              <w:rPr/>
            </w:pPr>
            <w:r>
              <w:rPr/>
            </w:r>
          </w:p>
        </w:tc>
        <w:tc>
          <w:tcPr>
            <w:tcW w:w="375" w:type="dxa"/>
            <w:tcBorders/>
            <w:tcMar>
              <w:top w:w="0" w:type="dxa"/>
              <w:left w:w="0" w:type="dxa"/>
              <w:bottom w:w="0" w:type="dxa"/>
              <w:right w:w="0" w:type="dxa"/>
            </w:tcMar>
            <w:vAlign w:val="bottom"/>
          </w:tcPr>
          <w:p>
            <w:pPr>
              <w:pStyle w:val="TableContents"/>
              <w:bidi w:val="0"/>
              <w:spacing w:before="0" w:after="283"/>
              <w:jc w:val="left"/>
              <w:rPr/>
            </w:pPr>
            <w:r>
              <w:rPr/>
            </w:r>
          </w:p>
        </w:tc>
        <w:tc>
          <w:tcPr>
            <w:tcW w:w="1200" w:type="dxa"/>
            <w:tcBorders/>
            <w:tcMar>
              <w:top w:w="0" w:type="dxa"/>
              <w:left w:w="0" w:type="dxa"/>
              <w:bottom w:w="0" w:type="dxa"/>
              <w:right w:w="0" w:type="dxa"/>
            </w:tcMar>
            <w:vAlign w:val="bottom"/>
          </w:tcPr>
          <w:p>
            <w:pPr>
              <w:pStyle w:val="TableContents"/>
              <w:bidi w:val="0"/>
              <w:spacing w:before="0" w:after="283"/>
              <w:jc w:val="right"/>
              <w:rPr/>
            </w:pPr>
            <w:r>
              <w:rPr/>
              <w:t>—</w:t>
            </w:r>
          </w:p>
        </w:tc>
        <w:tc>
          <w:tcPr>
            <w:tcW w:w="181" w:type="dxa"/>
            <w:tcBorders/>
            <w:tcMar>
              <w:top w:w="0" w:type="dxa"/>
              <w:left w:w="0" w:type="dxa"/>
              <w:bottom w:w="0" w:type="dxa"/>
              <w:right w:w="0" w:type="dxa"/>
            </w:tcMar>
            <w:vAlign w:val="bottom"/>
          </w:tcPr>
          <w:p>
            <w:pPr>
              <w:pStyle w:val="TableContents"/>
              <w:bidi w:val="0"/>
              <w:spacing w:before="0" w:after="283"/>
              <w:jc w:val="left"/>
              <w:rPr/>
            </w:pPr>
            <w:r>
              <w:rPr/>
            </w:r>
          </w:p>
        </w:tc>
        <w:tc>
          <w:tcPr>
            <w:tcW w:w="109" w:type="dxa"/>
            <w:tcBorders/>
            <w:tcMar>
              <w:top w:w="0" w:type="dxa"/>
              <w:left w:w="0" w:type="dxa"/>
              <w:bottom w:w="0" w:type="dxa"/>
              <w:right w:w="0" w:type="dxa"/>
            </w:tcMar>
            <w:vAlign w:val="bottom"/>
          </w:tcPr>
          <w:p>
            <w:pPr>
              <w:pStyle w:val="TableContents"/>
              <w:bidi w:val="0"/>
              <w:spacing w:before="0" w:after="283"/>
              <w:jc w:val="left"/>
              <w:rPr/>
            </w:pPr>
            <w:r>
              <w:rPr/>
            </w:r>
          </w:p>
        </w:tc>
        <w:tc>
          <w:tcPr>
            <w:tcW w:w="383" w:type="dxa"/>
            <w:tcBorders/>
            <w:tcMar>
              <w:top w:w="0" w:type="dxa"/>
              <w:left w:w="0" w:type="dxa"/>
              <w:bottom w:w="0" w:type="dxa"/>
              <w:right w:w="0" w:type="dxa"/>
            </w:tcMar>
            <w:vAlign w:val="bottom"/>
          </w:tcPr>
          <w:p>
            <w:pPr>
              <w:pStyle w:val="TableContents"/>
              <w:bidi w:val="0"/>
              <w:spacing w:before="0" w:after="283"/>
              <w:jc w:val="left"/>
              <w:rPr/>
            </w:pPr>
            <w:r>
              <w:rPr/>
            </w:r>
          </w:p>
        </w:tc>
        <w:tc>
          <w:tcPr>
            <w:tcW w:w="818" w:type="dxa"/>
            <w:tcBorders/>
            <w:tcMar>
              <w:top w:w="0" w:type="dxa"/>
              <w:left w:w="0" w:type="dxa"/>
              <w:bottom w:w="0" w:type="dxa"/>
              <w:right w:w="0" w:type="dxa"/>
            </w:tcMar>
            <w:vAlign w:val="bottom"/>
          </w:tcPr>
          <w:p>
            <w:pPr>
              <w:pStyle w:val="TableContents"/>
              <w:bidi w:val="0"/>
              <w:spacing w:before="0" w:after="283"/>
              <w:jc w:val="right"/>
              <w:rPr/>
            </w:pPr>
            <w:r>
              <w:rPr/>
              <w:t>—</w:t>
            </w:r>
          </w:p>
        </w:tc>
        <w:tc>
          <w:tcPr>
            <w:tcW w:w="181" w:type="dxa"/>
            <w:tcBorders/>
            <w:tcMar>
              <w:top w:w="0" w:type="dxa"/>
              <w:left w:w="0" w:type="dxa"/>
              <w:bottom w:w="0" w:type="dxa"/>
              <w:right w:w="0" w:type="dxa"/>
            </w:tcMar>
            <w:vAlign w:val="bottom"/>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bottom"/>
          </w:tcPr>
          <w:p>
            <w:pPr>
              <w:pStyle w:val="TableContents"/>
              <w:bidi w:val="0"/>
              <w:spacing w:before="0" w:after="283"/>
              <w:jc w:val="left"/>
              <w:rPr/>
            </w:pPr>
            <w:r>
              <w:rPr/>
            </w:r>
          </w:p>
        </w:tc>
        <w:tc>
          <w:tcPr>
            <w:tcW w:w="226" w:type="dxa"/>
            <w:tcBorders/>
            <w:tcMar>
              <w:top w:w="0" w:type="dxa"/>
              <w:left w:w="0" w:type="dxa"/>
              <w:bottom w:w="0" w:type="dxa"/>
              <w:right w:w="0" w:type="dxa"/>
            </w:tcMar>
            <w:vAlign w:val="bottom"/>
          </w:tcPr>
          <w:p>
            <w:pPr>
              <w:pStyle w:val="TableContents"/>
              <w:bidi w:val="0"/>
              <w:spacing w:before="0" w:after="283"/>
              <w:jc w:val="left"/>
              <w:rPr/>
            </w:pPr>
            <w:r>
              <w:rPr/>
            </w:r>
          </w:p>
        </w:tc>
        <w:tc>
          <w:tcPr>
            <w:tcW w:w="826" w:type="dxa"/>
            <w:tcBorders/>
            <w:tcMar>
              <w:top w:w="0" w:type="dxa"/>
              <w:left w:w="0" w:type="dxa"/>
              <w:bottom w:w="0" w:type="dxa"/>
              <w:right w:w="0" w:type="dxa"/>
            </w:tcMar>
            <w:vAlign w:val="bottom"/>
          </w:tcPr>
          <w:p>
            <w:pPr>
              <w:pStyle w:val="TableContents"/>
              <w:bidi w:val="0"/>
              <w:spacing w:before="0" w:after="283"/>
              <w:jc w:val="right"/>
              <w:rPr/>
            </w:pPr>
            <w:r>
              <w:rPr/>
              <w:t>26.2</w:t>
            </w:r>
          </w:p>
        </w:tc>
        <w:tc>
          <w:tcPr>
            <w:tcW w:w="226" w:type="dxa"/>
            <w:tcBorders/>
            <w:tcMar>
              <w:top w:w="0" w:type="dxa"/>
              <w:left w:w="0" w:type="dxa"/>
              <w:bottom w:w="0" w:type="dxa"/>
              <w:right w:w="0" w:type="dxa"/>
            </w:tcMar>
            <w:vAlign w:val="bottom"/>
          </w:tcPr>
          <w:p>
            <w:pPr>
              <w:pStyle w:val="TableContents"/>
              <w:bidi w:val="0"/>
              <w:spacing w:before="0" w:after="283"/>
              <w:jc w:val="left"/>
              <w:rPr/>
            </w:pPr>
            <w:r>
              <w:rPr/>
            </w:r>
          </w:p>
        </w:tc>
      </w:tr>
      <w:tr>
        <w:trPr/>
        <w:tc>
          <w:tcPr>
            <w:tcW w:w="3451" w:type="dxa"/>
            <w:tcBorders/>
            <w:shd w:fill="CCEEFF" w:val="clear"/>
            <w:vAlign w:val="bottom"/>
          </w:tcPr>
          <w:p>
            <w:pPr>
              <w:pStyle w:val="TableContents"/>
              <w:bidi w:val="0"/>
              <w:spacing w:before="0" w:after="283"/>
              <w:jc w:val="left"/>
              <w:rPr/>
            </w:pPr>
            <w:r>
              <w:rPr/>
              <w:t>Other comprehensive loss</w:t>
            </w:r>
          </w:p>
        </w:tc>
        <w:tc>
          <w:tcPr>
            <w:tcW w:w="293" w:type="dxa"/>
            <w:tcBorders/>
            <w:shd w:fill="CCEEFF" w:val="clear"/>
            <w:tcMar>
              <w:top w:w="0" w:type="dxa"/>
              <w:left w:w="0" w:type="dxa"/>
              <w:bottom w:w="0" w:type="dxa"/>
              <w:right w:w="0" w:type="dxa"/>
            </w:tcMar>
            <w:vAlign w:val="bottom"/>
          </w:tcPr>
          <w:p>
            <w:pPr>
              <w:pStyle w:val="TableContents"/>
              <w:bidi w:val="0"/>
              <w:spacing w:before="0" w:after="283"/>
              <w:jc w:val="left"/>
              <w:rPr/>
            </w:pPr>
            <w:r>
              <w:rPr/>
            </w:r>
          </w:p>
        </w:tc>
        <w:tc>
          <w:tcPr>
            <w:tcW w:w="1147" w:type="dxa"/>
            <w:tcBorders/>
            <w:shd w:fill="CCEEFF" w:val="clear"/>
            <w:tcMar>
              <w:top w:w="0" w:type="dxa"/>
              <w:left w:w="0" w:type="dxa"/>
              <w:bottom w:w="0" w:type="dxa"/>
              <w:right w:w="0" w:type="dxa"/>
            </w:tcMar>
            <w:vAlign w:val="bottom"/>
          </w:tcPr>
          <w:p>
            <w:pPr>
              <w:pStyle w:val="TableContents"/>
              <w:bidi w:val="0"/>
              <w:spacing w:before="0" w:after="283"/>
              <w:jc w:val="right"/>
              <w:rPr/>
            </w:pPr>
            <w:r>
              <w:rPr/>
              <w:t>—</w:t>
            </w:r>
          </w:p>
        </w:tc>
        <w:tc>
          <w:tcPr>
            <w:tcW w:w="109" w:type="dxa"/>
            <w:tcBorders/>
            <w:shd w:fill="CCEEFF" w:val="clear"/>
            <w:tcMar>
              <w:top w:w="0" w:type="dxa"/>
              <w:left w:w="0" w:type="dxa"/>
              <w:bottom w:w="0" w:type="dxa"/>
              <w:right w:w="0" w:type="dxa"/>
            </w:tcMar>
            <w:vAlign w:val="bottom"/>
          </w:tcPr>
          <w:p>
            <w:pPr>
              <w:pStyle w:val="TableContents"/>
              <w:bidi w:val="0"/>
              <w:spacing w:before="0" w:after="283"/>
              <w:jc w:val="left"/>
              <w:rPr/>
            </w:pPr>
            <w:r>
              <w:rPr/>
            </w:r>
          </w:p>
        </w:tc>
        <w:tc>
          <w:tcPr>
            <w:tcW w:w="109" w:type="dxa"/>
            <w:tcBorders/>
            <w:shd w:fill="CCEEFF" w:val="clear"/>
            <w:tcMar>
              <w:top w:w="0" w:type="dxa"/>
              <w:left w:w="0" w:type="dxa"/>
              <w:bottom w:w="0" w:type="dxa"/>
              <w:right w:w="0" w:type="dxa"/>
            </w:tcMar>
            <w:vAlign w:val="bottom"/>
          </w:tcPr>
          <w:p>
            <w:pPr>
              <w:pStyle w:val="TableContents"/>
              <w:bidi w:val="0"/>
              <w:spacing w:before="0" w:after="283"/>
              <w:jc w:val="left"/>
              <w:rPr/>
            </w:pPr>
            <w:r>
              <w:rPr/>
            </w:r>
          </w:p>
        </w:tc>
        <w:tc>
          <w:tcPr>
            <w:tcW w:w="375" w:type="dxa"/>
            <w:tcBorders/>
            <w:shd w:fill="CCEEFF" w:val="clear"/>
            <w:tcMar>
              <w:top w:w="0" w:type="dxa"/>
              <w:left w:w="0" w:type="dxa"/>
              <w:bottom w:w="0" w:type="dxa"/>
              <w:right w:w="0" w:type="dxa"/>
            </w:tcMar>
            <w:vAlign w:val="bottom"/>
          </w:tcPr>
          <w:p>
            <w:pPr>
              <w:pStyle w:val="TableContents"/>
              <w:bidi w:val="0"/>
              <w:spacing w:before="0" w:after="283"/>
              <w:jc w:val="left"/>
              <w:rPr/>
            </w:pPr>
            <w:r>
              <w:rPr/>
            </w:r>
          </w:p>
        </w:tc>
        <w:tc>
          <w:tcPr>
            <w:tcW w:w="1200" w:type="dxa"/>
            <w:tcBorders/>
            <w:shd w:fill="CCEEFF" w:val="clear"/>
            <w:tcMar>
              <w:top w:w="0" w:type="dxa"/>
              <w:left w:w="0" w:type="dxa"/>
              <w:bottom w:w="0" w:type="dxa"/>
              <w:right w:w="0" w:type="dxa"/>
            </w:tcMar>
            <w:vAlign w:val="bottom"/>
          </w:tcPr>
          <w:p>
            <w:pPr>
              <w:pStyle w:val="TableContents"/>
              <w:bidi w:val="0"/>
              <w:spacing w:before="0" w:after="283"/>
              <w:jc w:val="right"/>
              <w:rPr/>
            </w:pPr>
            <w:r>
              <w:rPr/>
              <w:t>(45.0</w:t>
            </w:r>
          </w:p>
        </w:tc>
        <w:tc>
          <w:tcPr>
            <w:tcW w:w="181" w:type="dxa"/>
            <w:tcBorders/>
            <w:shd w:fill="CCEEFF" w:val="clear"/>
            <w:tcMar>
              <w:top w:w="0" w:type="dxa"/>
              <w:left w:w="0" w:type="dxa"/>
              <w:bottom w:w="0" w:type="dxa"/>
              <w:right w:w="0" w:type="dxa"/>
            </w:tcMar>
            <w:vAlign w:val="bottom"/>
          </w:tcPr>
          <w:p>
            <w:pPr>
              <w:pStyle w:val="TableContents"/>
              <w:bidi w:val="0"/>
              <w:spacing w:before="0" w:after="283"/>
              <w:jc w:val="left"/>
              <w:rPr/>
            </w:pPr>
            <w:r>
              <w:rPr/>
              <w:t>)</w:t>
            </w:r>
          </w:p>
        </w:tc>
        <w:tc>
          <w:tcPr>
            <w:tcW w:w="109" w:type="dxa"/>
            <w:tcBorders/>
            <w:shd w:fill="CCEEFF" w:val="clear"/>
            <w:tcMar>
              <w:top w:w="0" w:type="dxa"/>
              <w:left w:w="0" w:type="dxa"/>
              <w:bottom w:w="0" w:type="dxa"/>
              <w:right w:w="0" w:type="dxa"/>
            </w:tcMar>
            <w:vAlign w:val="bottom"/>
          </w:tcPr>
          <w:p>
            <w:pPr>
              <w:pStyle w:val="TableContents"/>
              <w:bidi w:val="0"/>
              <w:spacing w:before="0" w:after="283"/>
              <w:jc w:val="left"/>
              <w:rPr/>
            </w:pPr>
            <w:r>
              <w:rPr/>
            </w:r>
          </w:p>
        </w:tc>
        <w:tc>
          <w:tcPr>
            <w:tcW w:w="383" w:type="dxa"/>
            <w:tcBorders/>
            <w:shd w:fill="CCEEFF" w:val="clear"/>
            <w:tcMar>
              <w:top w:w="0" w:type="dxa"/>
              <w:left w:w="0" w:type="dxa"/>
              <w:bottom w:w="0" w:type="dxa"/>
              <w:right w:w="0" w:type="dxa"/>
            </w:tcMar>
            <w:vAlign w:val="bottom"/>
          </w:tcPr>
          <w:p>
            <w:pPr>
              <w:pStyle w:val="TableContents"/>
              <w:bidi w:val="0"/>
              <w:spacing w:before="0" w:after="283"/>
              <w:jc w:val="left"/>
              <w:rPr/>
            </w:pPr>
            <w:r>
              <w:rPr/>
            </w:r>
          </w:p>
        </w:tc>
        <w:tc>
          <w:tcPr>
            <w:tcW w:w="818" w:type="dxa"/>
            <w:tcBorders/>
            <w:shd w:fill="CCEEFF" w:val="clear"/>
            <w:tcMar>
              <w:top w:w="0" w:type="dxa"/>
              <w:left w:w="0" w:type="dxa"/>
              <w:bottom w:w="0" w:type="dxa"/>
              <w:right w:w="0" w:type="dxa"/>
            </w:tcMar>
            <w:vAlign w:val="bottom"/>
          </w:tcPr>
          <w:p>
            <w:pPr>
              <w:pStyle w:val="TableContents"/>
              <w:bidi w:val="0"/>
              <w:spacing w:before="0" w:after="283"/>
              <w:jc w:val="right"/>
              <w:rPr/>
            </w:pPr>
            <w:r>
              <w:rPr/>
              <w:t>—</w:t>
            </w:r>
          </w:p>
        </w:tc>
        <w:tc>
          <w:tcPr>
            <w:tcW w:w="181" w:type="dxa"/>
            <w:tcBorders/>
            <w:shd w:fill="CCEEFF" w:val="clear"/>
            <w:tcMar>
              <w:top w:w="0" w:type="dxa"/>
              <w:left w:w="0" w:type="dxa"/>
              <w:bottom w:w="0" w:type="dxa"/>
              <w:right w:w="0" w:type="dxa"/>
            </w:tcMar>
            <w:vAlign w:val="bottom"/>
          </w:tcPr>
          <w:p>
            <w:pPr>
              <w:pStyle w:val="TableContents"/>
              <w:bidi w:val="0"/>
              <w:spacing w:before="0" w:after="283"/>
              <w:jc w:val="left"/>
              <w:rPr/>
            </w:pPr>
            <w:r>
              <w:rPr/>
            </w:r>
          </w:p>
        </w:tc>
        <w:tc>
          <w:tcPr>
            <w:tcW w:w="109" w:type="dxa"/>
            <w:tcBorders/>
            <w:shd w:fill="CCEEFF" w:val="clear"/>
            <w:tcMar>
              <w:top w:w="0" w:type="dxa"/>
              <w:left w:w="0" w:type="dxa"/>
              <w:bottom w:w="0" w:type="dxa"/>
              <w:right w:w="0" w:type="dxa"/>
            </w:tcMar>
            <w:vAlign w:val="bottom"/>
          </w:tcPr>
          <w:p>
            <w:pPr>
              <w:pStyle w:val="TableContents"/>
              <w:bidi w:val="0"/>
              <w:spacing w:before="0" w:after="283"/>
              <w:jc w:val="left"/>
              <w:rPr/>
            </w:pPr>
            <w:r>
              <w:rPr/>
            </w:r>
          </w:p>
        </w:tc>
        <w:tc>
          <w:tcPr>
            <w:tcW w:w="226" w:type="dxa"/>
            <w:tcBorders/>
            <w:shd w:fill="CCEEFF" w:val="clear"/>
            <w:tcMar>
              <w:top w:w="0" w:type="dxa"/>
              <w:left w:w="0" w:type="dxa"/>
              <w:bottom w:w="0" w:type="dxa"/>
              <w:right w:w="0" w:type="dxa"/>
            </w:tcMar>
            <w:vAlign w:val="bottom"/>
          </w:tcPr>
          <w:p>
            <w:pPr>
              <w:pStyle w:val="TableContents"/>
              <w:bidi w:val="0"/>
              <w:spacing w:before="0" w:after="283"/>
              <w:jc w:val="left"/>
              <w:rPr/>
            </w:pPr>
            <w:r>
              <w:rPr/>
            </w:r>
          </w:p>
        </w:tc>
        <w:tc>
          <w:tcPr>
            <w:tcW w:w="826" w:type="dxa"/>
            <w:tcBorders/>
            <w:shd w:fill="CCEEFF" w:val="clear"/>
            <w:tcMar>
              <w:top w:w="0" w:type="dxa"/>
              <w:left w:w="0" w:type="dxa"/>
              <w:bottom w:w="0" w:type="dxa"/>
              <w:right w:w="0" w:type="dxa"/>
            </w:tcMar>
            <w:vAlign w:val="bottom"/>
          </w:tcPr>
          <w:p>
            <w:pPr>
              <w:pStyle w:val="TableContents"/>
              <w:bidi w:val="0"/>
              <w:spacing w:before="0" w:after="283"/>
              <w:jc w:val="right"/>
              <w:rPr/>
            </w:pPr>
            <w:r>
              <w:rPr/>
              <w:t>(45.0</w:t>
            </w:r>
          </w:p>
        </w:tc>
        <w:tc>
          <w:tcPr>
            <w:tcW w:w="226" w:type="dxa"/>
            <w:tcBorders/>
            <w:shd w:fill="CCEEFF" w:val="clear"/>
            <w:tcMar>
              <w:top w:w="0" w:type="dxa"/>
              <w:left w:w="0" w:type="dxa"/>
              <w:bottom w:w="0" w:type="dxa"/>
              <w:right w:w="0" w:type="dxa"/>
            </w:tcMar>
            <w:vAlign w:val="bottom"/>
          </w:tcPr>
          <w:p>
            <w:pPr>
              <w:pStyle w:val="TableContents"/>
              <w:bidi w:val="0"/>
              <w:spacing w:before="0" w:after="283"/>
              <w:jc w:val="left"/>
              <w:rPr/>
            </w:pPr>
            <w:r>
              <w:rPr/>
              <w:t>)</w:t>
            </w:r>
          </w:p>
        </w:tc>
      </w:tr>
      <w:tr>
        <w:trPr/>
        <w:tc>
          <w:tcPr>
            <w:tcW w:w="3451" w:type="dxa"/>
            <w:tcBorders/>
            <w:vAlign w:val="bottom"/>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Stock issued under employee stock plans</w:t>
            </w:r>
          </w:p>
        </w:tc>
        <w:tc>
          <w:tcPr>
            <w:tcW w:w="293" w:type="dxa"/>
            <w:tcBorders/>
            <w:tcMar>
              <w:top w:w="0" w:type="dxa"/>
              <w:left w:w="0" w:type="dxa"/>
              <w:bottom w:w="0" w:type="dxa"/>
              <w:right w:w="0" w:type="dxa"/>
            </w:tcMar>
            <w:vAlign w:val="bottom"/>
          </w:tcPr>
          <w:p>
            <w:pPr>
              <w:pStyle w:val="TableContents"/>
              <w:bidi w:val="0"/>
              <w:spacing w:before="0" w:after="283"/>
              <w:jc w:val="left"/>
              <w:rPr/>
            </w:pPr>
            <w:r>
              <w:rPr/>
            </w:r>
          </w:p>
        </w:tc>
        <w:tc>
          <w:tcPr>
            <w:tcW w:w="1147" w:type="dxa"/>
            <w:tcBorders/>
            <w:tcMar>
              <w:top w:w="0" w:type="dxa"/>
              <w:left w:w="0" w:type="dxa"/>
              <w:bottom w:w="0" w:type="dxa"/>
              <w:right w:w="0" w:type="dxa"/>
            </w:tcMar>
            <w:vAlign w:val="bottom"/>
          </w:tcPr>
          <w:p>
            <w:pPr>
              <w:pStyle w:val="TableContents"/>
              <w:bidi w:val="0"/>
              <w:spacing w:before="0" w:after="283"/>
              <w:jc w:val="right"/>
              <w:rPr/>
            </w:pPr>
            <w:r>
              <w:rPr/>
              <w:t>—</w:t>
            </w:r>
          </w:p>
        </w:tc>
        <w:tc>
          <w:tcPr>
            <w:tcW w:w="109" w:type="dxa"/>
            <w:tcBorders/>
            <w:tcMar>
              <w:top w:w="0" w:type="dxa"/>
              <w:left w:w="0" w:type="dxa"/>
              <w:bottom w:w="0" w:type="dxa"/>
              <w:right w:w="0" w:type="dxa"/>
            </w:tcMar>
            <w:vAlign w:val="bottom"/>
          </w:tcPr>
          <w:p>
            <w:pPr>
              <w:pStyle w:val="TableContents"/>
              <w:bidi w:val="0"/>
              <w:spacing w:before="0" w:after="283"/>
              <w:jc w:val="left"/>
              <w:rPr/>
            </w:pPr>
            <w:r>
              <w:rPr/>
            </w:r>
          </w:p>
        </w:tc>
        <w:tc>
          <w:tcPr>
            <w:tcW w:w="109" w:type="dxa"/>
            <w:tcBorders/>
            <w:tcMar>
              <w:top w:w="0" w:type="dxa"/>
              <w:left w:w="0" w:type="dxa"/>
              <w:bottom w:w="0" w:type="dxa"/>
              <w:right w:w="0" w:type="dxa"/>
            </w:tcMar>
            <w:vAlign w:val="bottom"/>
          </w:tcPr>
          <w:p>
            <w:pPr>
              <w:pStyle w:val="TableContents"/>
              <w:bidi w:val="0"/>
              <w:spacing w:before="0" w:after="283"/>
              <w:jc w:val="left"/>
              <w:rPr/>
            </w:pPr>
            <w:r>
              <w:rPr/>
            </w:r>
          </w:p>
        </w:tc>
        <w:tc>
          <w:tcPr>
            <w:tcW w:w="375" w:type="dxa"/>
            <w:tcBorders/>
            <w:tcMar>
              <w:top w:w="0" w:type="dxa"/>
              <w:left w:w="0" w:type="dxa"/>
              <w:bottom w:w="0" w:type="dxa"/>
              <w:right w:w="0" w:type="dxa"/>
            </w:tcMar>
            <w:vAlign w:val="bottom"/>
          </w:tcPr>
          <w:p>
            <w:pPr>
              <w:pStyle w:val="TableContents"/>
              <w:bidi w:val="0"/>
              <w:spacing w:before="0" w:after="283"/>
              <w:jc w:val="left"/>
              <w:rPr/>
            </w:pPr>
            <w:r>
              <w:rPr/>
            </w:r>
          </w:p>
        </w:tc>
        <w:tc>
          <w:tcPr>
            <w:tcW w:w="1200" w:type="dxa"/>
            <w:tcBorders/>
            <w:tcMar>
              <w:top w:w="0" w:type="dxa"/>
              <w:left w:w="0" w:type="dxa"/>
              <w:bottom w:w="0" w:type="dxa"/>
              <w:right w:w="0" w:type="dxa"/>
            </w:tcMar>
            <w:vAlign w:val="bottom"/>
          </w:tcPr>
          <w:p>
            <w:pPr>
              <w:pStyle w:val="TableContents"/>
              <w:bidi w:val="0"/>
              <w:spacing w:before="0" w:after="283"/>
              <w:jc w:val="right"/>
              <w:rPr/>
            </w:pPr>
            <w:r>
              <w:rPr/>
              <w:t>—</w:t>
            </w:r>
          </w:p>
        </w:tc>
        <w:tc>
          <w:tcPr>
            <w:tcW w:w="181" w:type="dxa"/>
            <w:tcBorders/>
            <w:tcMar>
              <w:top w:w="0" w:type="dxa"/>
              <w:left w:w="0" w:type="dxa"/>
              <w:bottom w:w="0" w:type="dxa"/>
              <w:right w:w="0" w:type="dxa"/>
            </w:tcMar>
            <w:vAlign w:val="bottom"/>
          </w:tcPr>
          <w:p>
            <w:pPr>
              <w:pStyle w:val="TableContents"/>
              <w:bidi w:val="0"/>
              <w:spacing w:before="0" w:after="283"/>
              <w:jc w:val="left"/>
              <w:rPr/>
            </w:pPr>
            <w:r>
              <w:rPr/>
            </w:r>
          </w:p>
        </w:tc>
        <w:tc>
          <w:tcPr>
            <w:tcW w:w="109" w:type="dxa"/>
            <w:tcBorders/>
            <w:tcMar>
              <w:top w:w="0" w:type="dxa"/>
              <w:left w:w="0" w:type="dxa"/>
              <w:bottom w:w="0" w:type="dxa"/>
              <w:right w:w="0" w:type="dxa"/>
            </w:tcMar>
            <w:vAlign w:val="bottom"/>
          </w:tcPr>
          <w:p>
            <w:pPr>
              <w:pStyle w:val="TableContents"/>
              <w:bidi w:val="0"/>
              <w:spacing w:before="0" w:after="283"/>
              <w:jc w:val="left"/>
              <w:rPr/>
            </w:pPr>
            <w:r>
              <w:rPr/>
            </w:r>
          </w:p>
        </w:tc>
        <w:tc>
          <w:tcPr>
            <w:tcW w:w="383" w:type="dxa"/>
            <w:tcBorders/>
            <w:tcMar>
              <w:top w:w="0" w:type="dxa"/>
              <w:left w:w="0" w:type="dxa"/>
              <w:bottom w:w="0" w:type="dxa"/>
              <w:right w:w="0" w:type="dxa"/>
            </w:tcMar>
            <w:vAlign w:val="bottom"/>
          </w:tcPr>
          <w:p>
            <w:pPr>
              <w:pStyle w:val="TableContents"/>
              <w:bidi w:val="0"/>
              <w:spacing w:before="0" w:after="283"/>
              <w:jc w:val="left"/>
              <w:rPr/>
            </w:pPr>
            <w:r>
              <w:rPr/>
            </w:r>
          </w:p>
        </w:tc>
        <w:tc>
          <w:tcPr>
            <w:tcW w:w="818" w:type="dxa"/>
            <w:tcBorders/>
            <w:tcMar>
              <w:top w:w="0" w:type="dxa"/>
              <w:left w:w="0" w:type="dxa"/>
              <w:bottom w:w="0" w:type="dxa"/>
              <w:right w:w="0" w:type="dxa"/>
            </w:tcMar>
            <w:vAlign w:val="bottom"/>
          </w:tcPr>
          <w:p>
            <w:pPr>
              <w:pStyle w:val="TableContents"/>
              <w:bidi w:val="0"/>
              <w:spacing w:before="0" w:after="283"/>
              <w:jc w:val="right"/>
              <w:rPr/>
            </w:pPr>
            <w:r>
              <w:rPr/>
              <w:t>—</w:t>
            </w:r>
          </w:p>
        </w:tc>
        <w:tc>
          <w:tcPr>
            <w:tcW w:w="181" w:type="dxa"/>
            <w:tcBorders/>
            <w:tcMar>
              <w:top w:w="0" w:type="dxa"/>
              <w:left w:w="0" w:type="dxa"/>
              <w:bottom w:w="0" w:type="dxa"/>
              <w:right w:w="0" w:type="dxa"/>
            </w:tcMar>
            <w:vAlign w:val="bottom"/>
          </w:tcPr>
          <w:p>
            <w:pPr>
              <w:pStyle w:val="TableContents"/>
              <w:bidi w:val="0"/>
              <w:spacing w:before="0" w:after="283"/>
              <w:jc w:val="left"/>
              <w:rPr/>
            </w:pPr>
            <w:r>
              <w:rPr/>
            </w:r>
          </w:p>
        </w:tc>
        <w:tc>
          <w:tcPr>
            <w:tcW w:w="109" w:type="dxa"/>
            <w:tcBorders/>
            <w:tcMar>
              <w:top w:w="0" w:type="dxa"/>
              <w:left w:w="0" w:type="dxa"/>
              <w:bottom w:w="0" w:type="dxa"/>
              <w:right w:w="0" w:type="dxa"/>
            </w:tcMar>
            <w:vAlign w:val="bottom"/>
          </w:tcPr>
          <w:p>
            <w:pPr>
              <w:pStyle w:val="TableContents"/>
              <w:bidi w:val="0"/>
              <w:spacing w:before="0" w:after="283"/>
              <w:jc w:val="left"/>
              <w:rPr/>
            </w:pPr>
            <w:r>
              <w:rPr/>
            </w:r>
          </w:p>
        </w:tc>
        <w:tc>
          <w:tcPr>
            <w:tcW w:w="226" w:type="dxa"/>
            <w:tcBorders/>
            <w:tcMar>
              <w:top w:w="0" w:type="dxa"/>
              <w:left w:w="0" w:type="dxa"/>
              <w:bottom w:w="0" w:type="dxa"/>
              <w:right w:w="0" w:type="dxa"/>
            </w:tcMar>
            <w:vAlign w:val="bottom"/>
          </w:tcPr>
          <w:p>
            <w:pPr>
              <w:pStyle w:val="TableContents"/>
              <w:bidi w:val="0"/>
              <w:spacing w:before="0" w:after="283"/>
              <w:jc w:val="left"/>
              <w:rPr/>
            </w:pPr>
            <w:r>
              <w:rPr/>
            </w:r>
          </w:p>
        </w:tc>
        <w:tc>
          <w:tcPr>
            <w:tcW w:w="826" w:type="dxa"/>
            <w:tcBorders/>
            <w:tcMar>
              <w:top w:w="0" w:type="dxa"/>
              <w:left w:w="0" w:type="dxa"/>
              <w:bottom w:w="0" w:type="dxa"/>
              <w:right w:w="0" w:type="dxa"/>
            </w:tcMar>
            <w:vAlign w:val="bottom"/>
          </w:tcPr>
          <w:p>
            <w:pPr>
              <w:pStyle w:val="TableContents"/>
              <w:bidi w:val="0"/>
              <w:spacing w:before="0" w:after="283"/>
              <w:jc w:val="right"/>
              <w:rPr/>
            </w:pPr>
            <w:r>
              <w:rPr/>
              <w:t>0.2</w:t>
            </w:r>
          </w:p>
        </w:tc>
        <w:tc>
          <w:tcPr>
            <w:tcW w:w="226" w:type="dxa"/>
            <w:tcBorders/>
            <w:tcMar>
              <w:top w:w="0" w:type="dxa"/>
              <w:left w:w="0" w:type="dxa"/>
              <w:bottom w:w="0" w:type="dxa"/>
              <w:right w:w="0" w:type="dxa"/>
            </w:tcMar>
            <w:vAlign w:val="bottom"/>
          </w:tcPr>
          <w:p>
            <w:pPr>
              <w:pStyle w:val="TableContents"/>
              <w:bidi w:val="0"/>
              <w:spacing w:before="0" w:after="283"/>
              <w:jc w:val="left"/>
              <w:rPr/>
            </w:pPr>
            <w:r>
              <w:rPr/>
            </w:r>
          </w:p>
        </w:tc>
      </w:tr>
      <w:tr>
        <w:trPr/>
        <w:tc>
          <w:tcPr>
            <w:tcW w:w="3451" w:type="dxa"/>
            <w:tcBorders/>
            <w:shd w:fill="CCEEFF" w:val="clear"/>
            <w:vAlign w:val="bottom"/>
          </w:tcPr>
          <w:p>
            <w:pPr>
              <w:pStyle w:val="TableContents"/>
              <w:bidi w:val="0"/>
              <w:spacing w:before="0" w:after="283"/>
              <w:jc w:val="left"/>
              <w:rPr/>
            </w:pPr>
            <w:r>
              <w:rPr/>
              <w:t>Share-based compensation</w:t>
            </w:r>
          </w:p>
        </w:tc>
        <w:tc>
          <w:tcPr>
            <w:tcW w:w="293" w:type="dxa"/>
            <w:tcBorders/>
            <w:shd w:fill="CCEEFF" w:val="clear"/>
            <w:tcMar>
              <w:top w:w="0" w:type="dxa"/>
              <w:left w:w="0" w:type="dxa"/>
              <w:bottom w:w="0" w:type="dxa"/>
              <w:right w:w="0" w:type="dxa"/>
            </w:tcMar>
            <w:vAlign w:val="bottom"/>
          </w:tcPr>
          <w:p>
            <w:pPr>
              <w:pStyle w:val="TableContents"/>
              <w:bidi w:val="0"/>
              <w:spacing w:before="0" w:after="283"/>
              <w:jc w:val="left"/>
              <w:rPr/>
            </w:pPr>
            <w:r>
              <w:rPr/>
            </w:r>
          </w:p>
        </w:tc>
        <w:tc>
          <w:tcPr>
            <w:tcW w:w="1147" w:type="dxa"/>
            <w:tcBorders/>
            <w:shd w:fill="CCEEFF" w:val="clear"/>
            <w:tcMar>
              <w:top w:w="0" w:type="dxa"/>
              <w:left w:w="0" w:type="dxa"/>
              <w:bottom w:w="0" w:type="dxa"/>
              <w:right w:w="0" w:type="dxa"/>
            </w:tcMar>
            <w:vAlign w:val="bottom"/>
          </w:tcPr>
          <w:p>
            <w:pPr>
              <w:pStyle w:val="TableContents"/>
              <w:bidi w:val="0"/>
              <w:spacing w:before="0" w:after="283"/>
              <w:jc w:val="right"/>
              <w:rPr/>
            </w:pPr>
            <w:r>
              <w:rPr/>
              <w:t>—</w:t>
            </w:r>
          </w:p>
        </w:tc>
        <w:tc>
          <w:tcPr>
            <w:tcW w:w="109" w:type="dxa"/>
            <w:tcBorders/>
            <w:shd w:fill="CCEEFF" w:val="clear"/>
            <w:tcMar>
              <w:top w:w="0" w:type="dxa"/>
              <w:left w:w="0" w:type="dxa"/>
              <w:bottom w:w="0" w:type="dxa"/>
              <w:right w:w="0" w:type="dxa"/>
            </w:tcMar>
            <w:vAlign w:val="bottom"/>
          </w:tcPr>
          <w:p>
            <w:pPr>
              <w:pStyle w:val="TableContents"/>
              <w:bidi w:val="0"/>
              <w:spacing w:before="0" w:after="283"/>
              <w:jc w:val="left"/>
              <w:rPr/>
            </w:pPr>
            <w:r>
              <w:rPr/>
            </w:r>
          </w:p>
        </w:tc>
        <w:tc>
          <w:tcPr>
            <w:tcW w:w="109" w:type="dxa"/>
            <w:tcBorders/>
            <w:shd w:fill="CCEEFF" w:val="clear"/>
            <w:tcMar>
              <w:top w:w="0" w:type="dxa"/>
              <w:left w:w="0" w:type="dxa"/>
              <w:bottom w:w="0" w:type="dxa"/>
              <w:right w:w="0" w:type="dxa"/>
            </w:tcMar>
            <w:vAlign w:val="bottom"/>
          </w:tcPr>
          <w:p>
            <w:pPr>
              <w:pStyle w:val="TableContents"/>
              <w:bidi w:val="0"/>
              <w:spacing w:before="0" w:after="283"/>
              <w:jc w:val="left"/>
              <w:rPr/>
            </w:pPr>
            <w:r>
              <w:rPr/>
            </w:r>
          </w:p>
        </w:tc>
        <w:tc>
          <w:tcPr>
            <w:tcW w:w="375" w:type="dxa"/>
            <w:tcBorders/>
            <w:shd w:fill="CCEEFF" w:val="clear"/>
            <w:tcMar>
              <w:top w:w="0" w:type="dxa"/>
              <w:left w:w="0" w:type="dxa"/>
              <w:bottom w:w="0" w:type="dxa"/>
              <w:right w:w="0" w:type="dxa"/>
            </w:tcMar>
            <w:vAlign w:val="bottom"/>
          </w:tcPr>
          <w:p>
            <w:pPr>
              <w:pStyle w:val="TableContents"/>
              <w:bidi w:val="0"/>
              <w:spacing w:before="0" w:after="283"/>
              <w:jc w:val="left"/>
              <w:rPr/>
            </w:pPr>
            <w:r>
              <w:rPr/>
            </w:r>
          </w:p>
        </w:tc>
        <w:tc>
          <w:tcPr>
            <w:tcW w:w="1200" w:type="dxa"/>
            <w:tcBorders/>
            <w:shd w:fill="CCEEFF" w:val="clear"/>
            <w:tcMar>
              <w:top w:w="0" w:type="dxa"/>
              <w:left w:w="0" w:type="dxa"/>
              <w:bottom w:w="0" w:type="dxa"/>
              <w:right w:w="0" w:type="dxa"/>
            </w:tcMar>
            <w:vAlign w:val="bottom"/>
          </w:tcPr>
          <w:p>
            <w:pPr>
              <w:pStyle w:val="TableContents"/>
              <w:bidi w:val="0"/>
              <w:spacing w:before="0" w:after="283"/>
              <w:jc w:val="right"/>
              <w:rPr/>
            </w:pPr>
            <w:r>
              <w:rPr/>
              <w:t>—</w:t>
            </w:r>
          </w:p>
        </w:tc>
        <w:tc>
          <w:tcPr>
            <w:tcW w:w="181" w:type="dxa"/>
            <w:tcBorders/>
            <w:shd w:fill="CCEEFF" w:val="clear"/>
            <w:tcMar>
              <w:top w:w="0" w:type="dxa"/>
              <w:left w:w="0" w:type="dxa"/>
              <w:bottom w:w="0" w:type="dxa"/>
              <w:right w:w="0" w:type="dxa"/>
            </w:tcMar>
            <w:vAlign w:val="bottom"/>
          </w:tcPr>
          <w:p>
            <w:pPr>
              <w:pStyle w:val="TableContents"/>
              <w:bidi w:val="0"/>
              <w:spacing w:before="0" w:after="283"/>
              <w:jc w:val="left"/>
              <w:rPr/>
            </w:pPr>
            <w:r>
              <w:rPr/>
            </w:r>
          </w:p>
        </w:tc>
        <w:tc>
          <w:tcPr>
            <w:tcW w:w="109" w:type="dxa"/>
            <w:tcBorders/>
            <w:shd w:fill="CCEEFF" w:val="clear"/>
            <w:tcMar>
              <w:top w:w="0" w:type="dxa"/>
              <w:left w:w="0" w:type="dxa"/>
              <w:bottom w:w="0" w:type="dxa"/>
              <w:right w:w="0" w:type="dxa"/>
            </w:tcMar>
            <w:vAlign w:val="bottom"/>
          </w:tcPr>
          <w:p>
            <w:pPr>
              <w:pStyle w:val="TableContents"/>
              <w:bidi w:val="0"/>
              <w:spacing w:before="0" w:after="283"/>
              <w:jc w:val="left"/>
              <w:rPr/>
            </w:pPr>
            <w:r>
              <w:rPr/>
            </w:r>
          </w:p>
        </w:tc>
        <w:tc>
          <w:tcPr>
            <w:tcW w:w="383" w:type="dxa"/>
            <w:tcBorders/>
            <w:shd w:fill="CCEEFF" w:val="clear"/>
            <w:tcMar>
              <w:top w:w="0" w:type="dxa"/>
              <w:left w:w="0" w:type="dxa"/>
              <w:bottom w:w="0" w:type="dxa"/>
              <w:right w:w="0" w:type="dxa"/>
            </w:tcMar>
            <w:vAlign w:val="bottom"/>
          </w:tcPr>
          <w:p>
            <w:pPr>
              <w:pStyle w:val="TableContents"/>
              <w:bidi w:val="0"/>
              <w:spacing w:before="0" w:after="283"/>
              <w:jc w:val="left"/>
              <w:rPr/>
            </w:pPr>
            <w:r>
              <w:rPr/>
            </w:r>
          </w:p>
        </w:tc>
        <w:tc>
          <w:tcPr>
            <w:tcW w:w="818" w:type="dxa"/>
            <w:tcBorders/>
            <w:shd w:fill="CCEEFF" w:val="clear"/>
            <w:tcMar>
              <w:top w:w="0" w:type="dxa"/>
              <w:left w:w="0" w:type="dxa"/>
              <w:bottom w:w="0" w:type="dxa"/>
              <w:right w:w="0" w:type="dxa"/>
            </w:tcMar>
            <w:vAlign w:val="bottom"/>
          </w:tcPr>
          <w:p>
            <w:pPr>
              <w:pStyle w:val="TableContents"/>
              <w:bidi w:val="0"/>
              <w:spacing w:before="0" w:after="283"/>
              <w:jc w:val="right"/>
              <w:rPr/>
            </w:pPr>
            <w:r>
              <w:rPr/>
              <w:t>—</w:t>
            </w:r>
          </w:p>
        </w:tc>
        <w:tc>
          <w:tcPr>
            <w:tcW w:w="181" w:type="dxa"/>
            <w:tcBorders/>
            <w:shd w:fill="CCEEFF" w:val="clear"/>
            <w:tcMar>
              <w:top w:w="0" w:type="dxa"/>
              <w:left w:w="0" w:type="dxa"/>
              <w:bottom w:w="0" w:type="dxa"/>
              <w:right w:w="0" w:type="dxa"/>
            </w:tcMar>
            <w:vAlign w:val="bottom"/>
          </w:tcPr>
          <w:p>
            <w:pPr>
              <w:pStyle w:val="TableContents"/>
              <w:bidi w:val="0"/>
              <w:spacing w:before="0" w:after="283"/>
              <w:jc w:val="left"/>
              <w:rPr/>
            </w:pPr>
            <w:r>
              <w:rPr/>
            </w:r>
          </w:p>
        </w:tc>
        <w:tc>
          <w:tcPr>
            <w:tcW w:w="109" w:type="dxa"/>
            <w:tcBorders/>
            <w:shd w:fill="CCEEFF" w:val="clear"/>
            <w:tcMar>
              <w:top w:w="0" w:type="dxa"/>
              <w:left w:w="0" w:type="dxa"/>
              <w:bottom w:w="0" w:type="dxa"/>
              <w:right w:w="0" w:type="dxa"/>
            </w:tcMar>
            <w:vAlign w:val="bottom"/>
          </w:tcPr>
          <w:p>
            <w:pPr>
              <w:pStyle w:val="TableContents"/>
              <w:bidi w:val="0"/>
              <w:spacing w:before="0" w:after="283"/>
              <w:jc w:val="left"/>
              <w:rPr/>
            </w:pPr>
            <w:r>
              <w:rPr/>
            </w:r>
          </w:p>
        </w:tc>
        <w:tc>
          <w:tcPr>
            <w:tcW w:w="226" w:type="dxa"/>
            <w:tcBorders/>
            <w:shd w:fill="CCEEFF" w:val="clear"/>
            <w:tcMar>
              <w:top w:w="0" w:type="dxa"/>
              <w:left w:w="0" w:type="dxa"/>
              <w:bottom w:w="0" w:type="dxa"/>
              <w:right w:w="0" w:type="dxa"/>
            </w:tcMar>
            <w:vAlign w:val="bottom"/>
          </w:tcPr>
          <w:p>
            <w:pPr>
              <w:pStyle w:val="TableContents"/>
              <w:bidi w:val="0"/>
              <w:spacing w:before="0" w:after="283"/>
              <w:jc w:val="left"/>
              <w:rPr/>
            </w:pPr>
            <w:r>
              <w:rPr/>
            </w:r>
          </w:p>
        </w:tc>
        <w:tc>
          <w:tcPr>
            <w:tcW w:w="826" w:type="dxa"/>
            <w:tcBorders/>
            <w:shd w:fill="CCEEFF" w:val="clear"/>
            <w:tcMar>
              <w:top w:w="0" w:type="dxa"/>
              <w:left w:w="0" w:type="dxa"/>
              <w:bottom w:w="0" w:type="dxa"/>
              <w:right w:w="0" w:type="dxa"/>
            </w:tcMar>
            <w:vAlign w:val="bottom"/>
          </w:tcPr>
          <w:p>
            <w:pPr>
              <w:pStyle w:val="TableContents"/>
              <w:bidi w:val="0"/>
              <w:spacing w:before="0" w:after="283"/>
              <w:jc w:val="right"/>
              <w:rPr/>
            </w:pPr>
            <w:r>
              <w:rPr/>
              <w:t>12.5</w:t>
            </w:r>
          </w:p>
        </w:tc>
        <w:tc>
          <w:tcPr>
            <w:tcW w:w="226" w:type="dxa"/>
            <w:tcBorders/>
            <w:shd w:fill="CCEEFF" w:val="clear"/>
            <w:tcMar>
              <w:top w:w="0" w:type="dxa"/>
              <w:left w:w="0" w:type="dxa"/>
              <w:bottom w:w="0" w:type="dxa"/>
              <w:right w:w="0" w:type="dxa"/>
            </w:tcMar>
            <w:vAlign w:val="bottom"/>
          </w:tcPr>
          <w:p>
            <w:pPr>
              <w:pStyle w:val="TableContents"/>
              <w:bidi w:val="0"/>
              <w:spacing w:before="0" w:after="283"/>
              <w:jc w:val="left"/>
              <w:rPr/>
            </w:pPr>
            <w:r>
              <w:rPr/>
            </w:r>
          </w:p>
        </w:tc>
      </w:tr>
      <w:tr>
        <w:trPr/>
        <w:tc>
          <w:tcPr>
            <w:tcW w:w="3451" w:type="dxa"/>
            <w:tcBorders/>
            <w:vAlign w:val="bottom"/>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Repurchase of shares</w:t>
            </w:r>
          </w:p>
        </w:tc>
        <w:tc>
          <w:tcPr>
            <w:tcW w:w="293" w:type="dxa"/>
            <w:tcBorders/>
            <w:tcMar>
              <w:top w:w="0" w:type="dxa"/>
              <w:left w:w="0" w:type="dxa"/>
              <w:bottom w:w="0" w:type="dxa"/>
              <w:right w:w="0" w:type="dxa"/>
            </w:tcMar>
            <w:vAlign w:val="bottom"/>
          </w:tcPr>
          <w:p>
            <w:pPr>
              <w:pStyle w:val="TableContents"/>
              <w:bidi w:val="0"/>
              <w:spacing w:before="0" w:after="283"/>
              <w:jc w:val="left"/>
              <w:rPr/>
            </w:pPr>
            <w:r>
              <w:rPr/>
            </w:r>
          </w:p>
        </w:tc>
        <w:tc>
          <w:tcPr>
            <w:tcW w:w="1147" w:type="dxa"/>
            <w:tcBorders/>
            <w:tcMar>
              <w:top w:w="0" w:type="dxa"/>
              <w:left w:w="0" w:type="dxa"/>
              <w:bottom w:w="0" w:type="dxa"/>
              <w:right w:w="0" w:type="dxa"/>
            </w:tcMar>
            <w:vAlign w:val="bottom"/>
          </w:tcPr>
          <w:p>
            <w:pPr>
              <w:pStyle w:val="TableContents"/>
              <w:bidi w:val="0"/>
              <w:spacing w:before="0" w:after="283"/>
              <w:jc w:val="right"/>
              <w:rPr/>
            </w:pPr>
            <w:r>
              <w:rPr/>
              <w:t>—</w:t>
            </w:r>
          </w:p>
        </w:tc>
        <w:tc>
          <w:tcPr>
            <w:tcW w:w="109" w:type="dxa"/>
            <w:tcBorders/>
            <w:tcMar>
              <w:top w:w="0" w:type="dxa"/>
              <w:left w:w="0" w:type="dxa"/>
              <w:bottom w:w="0" w:type="dxa"/>
              <w:right w:w="0" w:type="dxa"/>
            </w:tcMar>
            <w:vAlign w:val="bottom"/>
          </w:tcPr>
          <w:p>
            <w:pPr>
              <w:pStyle w:val="TableContents"/>
              <w:bidi w:val="0"/>
              <w:spacing w:before="0" w:after="283"/>
              <w:jc w:val="left"/>
              <w:rPr/>
            </w:pPr>
            <w:r>
              <w:rPr/>
            </w:r>
          </w:p>
        </w:tc>
        <w:tc>
          <w:tcPr>
            <w:tcW w:w="109" w:type="dxa"/>
            <w:tcBorders/>
            <w:tcMar>
              <w:top w:w="0" w:type="dxa"/>
              <w:left w:w="0" w:type="dxa"/>
              <w:bottom w:w="0" w:type="dxa"/>
              <w:right w:w="0" w:type="dxa"/>
            </w:tcMar>
            <w:vAlign w:val="bottom"/>
          </w:tcPr>
          <w:p>
            <w:pPr>
              <w:pStyle w:val="TableContents"/>
              <w:bidi w:val="0"/>
              <w:spacing w:before="0" w:after="283"/>
              <w:jc w:val="left"/>
              <w:rPr/>
            </w:pPr>
            <w:r>
              <w:rPr/>
            </w:r>
          </w:p>
        </w:tc>
        <w:tc>
          <w:tcPr>
            <w:tcW w:w="375" w:type="dxa"/>
            <w:tcBorders/>
            <w:tcMar>
              <w:top w:w="0" w:type="dxa"/>
              <w:left w:w="0" w:type="dxa"/>
              <w:bottom w:w="0" w:type="dxa"/>
              <w:right w:w="0" w:type="dxa"/>
            </w:tcMar>
            <w:vAlign w:val="bottom"/>
          </w:tcPr>
          <w:p>
            <w:pPr>
              <w:pStyle w:val="TableContents"/>
              <w:bidi w:val="0"/>
              <w:spacing w:before="0" w:after="283"/>
              <w:jc w:val="left"/>
              <w:rPr/>
            </w:pPr>
            <w:r>
              <w:rPr/>
            </w:r>
          </w:p>
        </w:tc>
        <w:tc>
          <w:tcPr>
            <w:tcW w:w="1200" w:type="dxa"/>
            <w:tcBorders/>
            <w:tcMar>
              <w:top w:w="0" w:type="dxa"/>
              <w:left w:w="0" w:type="dxa"/>
              <w:bottom w:w="0" w:type="dxa"/>
              <w:right w:w="0" w:type="dxa"/>
            </w:tcMar>
            <w:vAlign w:val="bottom"/>
          </w:tcPr>
          <w:p>
            <w:pPr>
              <w:pStyle w:val="TableContents"/>
              <w:bidi w:val="0"/>
              <w:spacing w:before="0" w:after="283"/>
              <w:jc w:val="right"/>
              <w:rPr/>
            </w:pPr>
            <w:r>
              <w:rPr/>
              <w:t>—</w:t>
            </w:r>
          </w:p>
        </w:tc>
        <w:tc>
          <w:tcPr>
            <w:tcW w:w="181" w:type="dxa"/>
            <w:tcBorders/>
            <w:tcMar>
              <w:top w:w="0" w:type="dxa"/>
              <w:left w:w="0" w:type="dxa"/>
              <w:bottom w:w="0" w:type="dxa"/>
              <w:right w:w="0" w:type="dxa"/>
            </w:tcMar>
            <w:vAlign w:val="bottom"/>
          </w:tcPr>
          <w:p>
            <w:pPr>
              <w:pStyle w:val="TableContents"/>
              <w:bidi w:val="0"/>
              <w:spacing w:before="0" w:after="283"/>
              <w:jc w:val="left"/>
              <w:rPr/>
            </w:pPr>
            <w:r>
              <w:rPr/>
            </w:r>
          </w:p>
        </w:tc>
        <w:tc>
          <w:tcPr>
            <w:tcW w:w="109" w:type="dxa"/>
            <w:tcBorders/>
            <w:tcMar>
              <w:top w:w="0" w:type="dxa"/>
              <w:left w:w="0" w:type="dxa"/>
              <w:bottom w:w="0" w:type="dxa"/>
              <w:right w:w="0" w:type="dxa"/>
            </w:tcMar>
            <w:vAlign w:val="bottom"/>
          </w:tcPr>
          <w:p>
            <w:pPr>
              <w:pStyle w:val="TableContents"/>
              <w:bidi w:val="0"/>
              <w:spacing w:before="0" w:after="283"/>
              <w:jc w:val="left"/>
              <w:rPr/>
            </w:pPr>
            <w:r>
              <w:rPr/>
            </w:r>
          </w:p>
        </w:tc>
        <w:tc>
          <w:tcPr>
            <w:tcW w:w="383" w:type="dxa"/>
            <w:tcBorders/>
            <w:tcMar>
              <w:top w:w="0" w:type="dxa"/>
              <w:left w:w="0" w:type="dxa"/>
              <w:bottom w:w="0" w:type="dxa"/>
              <w:right w:w="0" w:type="dxa"/>
            </w:tcMar>
            <w:vAlign w:val="bottom"/>
          </w:tcPr>
          <w:p>
            <w:pPr>
              <w:pStyle w:val="TableContents"/>
              <w:bidi w:val="0"/>
              <w:spacing w:before="0" w:after="283"/>
              <w:jc w:val="left"/>
              <w:rPr/>
            </w:pPr>
            <w:r>
              <w:rPr/>
            </w:r>
          </w:p>
        </w:tc>
        <w:tc>
          <w:tcPr>
            <w:tcW w:w="818" w:type="dxa"/>
            <w:tcBorders/>
            <w:tcMar>
              <w:top w:w="0" w:type="dxa"/>
              <w:left w:w="0" w:type="dxa"/>
              <w:bottom w:w="0" w:type="dxa"/>
              <w:right w:w="0" w:type="dxa"/>
            </w:tcMar>
            <w:vAlign w:val="bottom"/>
          </w:tcPr>
          <w:p>
            <w:pPr>
              <w:pStyle w:val="TableContents"/>
              <w:bidi w:val="0"/>
              <w:spacing w:before="0" w:after="283"/>
              <w:jc w:val="right"/>
              <w:rPr/>
            </w:pPr>
            <w:r>
              <w:rPr/>
              <w:t>—</w:t>
            </w:r>
          </w:p>
        </w:tc>
        <w:tc>
          <w:tcPr>
            <w:tcW w:w="181" w:type="dxa"/>
            <w:tcBorders/>
            <w:tcMar>
              <w:top w:w="0" w:type="dxa"/>
              <w:left w:w="0" w:type="dxa"/>
              <w:bottom w:w="0" w:type="dxa"/>
              <w:right w:w="0" w:type="dxa"/>
            </w:tcMar>
            <w:vAlign w:val="bottom"/>
          </w:tcPr>
          <w:p>
            <w:pPr>
              <w:pStyle w:val="TableContents"/>
              <w:bidi w:val="0"/>
              <w:spacing w:before="0" w:after="283"/>
              <w:jc w:val="left"/>
              <w:rPr/>
            </w:pPr>
            <w:r>
              <w:rPr/>
            </w:r>
          </w:p>
        </w:tc>
        <w:tc>
          <w:tcPr>
            <w:tcW w:w="109" w:type="dxa"/>
            <w:tcBorders/>
            <w:tcMar>
              <w:top w:w="0" w:type="dxa"/>
              <w:left w:w="0" w:type="dxa"/>
              <w:bottom w:w="0" w:type="dxa"/>
              <w:right w:w="0" w:type="dxa"/>
            </w:tcMar>
            <w:vAlign w:val="bottom"/>
          </w:tcPr>
          <w:p>
            <w:pPr>
              <w:pStyle w:val="TableContents"/>
              <w:bidi w:val="0"/>
              <w:spacing w:before="0" w:after="283"/>
              <w:jc w:val="left"/>
              <w:rPr/>
            </w:pPr>
            <w:r>
              <w:rPr/>
            </w:r>
          </w:p>
        </w:tc>
        <w:tc>
          <w:tcPr>
            <w:tcW w:w="226" w:type="dxa"/>
            <w:tcBorders/>
            <w:tcMar>
              <w:top w:w="0" w:type="dxa"/>
              <w:left w:w="0" w:type="dxa"/>
              <w:bottom w:w="0" w:type="dxa"/>
              <w:right w:w="0" w:type="dxa"/>
            </w:tcMar>
            <w:vAlign w:val="bottom"/>
          </w:tcPr>
          <w:p>
            <w:pPr>
              <w:pStyle w:val="TableContents"/>
              <w:bidi w:val="0"/>
              <w:spacing w:before="0" w:after="283"/>
              <w:jc w:val="left"/>
              <w:rPr/>
            </w:pPr>
            <w:r>
              <w:rPr/>
            </w:r>
          </w:p>
        </w:tc>
        <w:tc>
          <w:tcPr>
            <w:tcW w:w="826" w:type="dxa"/>
            <w:tcBorders/>
            <w:tcMar>
              <w:top w:w="0" w:type="dxa"/>
              <w:left w:w="0" w:type="dxa"/>
              <w:bottom w:w="0" w:type="dxa"/>
              <w:right w:w="0" w:type="dxa"/>
            </w:tcMar>
            <w:vAlign w:val="bottom"/>
          </w:tcPr>
          <w:p>
            <w:pPr>
              <w:pStyle w:val="TableContents"/>
              <w:bidi w:val="0"/>
              <w:spacing w:before="0" w:after="283"/>
              <w:jc w:val="right"/>
              <w:rPr/>
            </w:pPr>
            <w:r>
              <w:rPr/>
              <w:t>—</w:t>
            </w:r>
          </w:p>
        </w:tc>
        <w:tc>
          <w:tcPr>
            <w:tcW w:w="226" w:type="dxa"/>
            <w:tcBorders/>
            <w:tcMar>
              <w:top w:w="0" w:type="dxa"/>
              <w:left w:w="0" w:type="dxa"/>
              <w:bottom w:w="0" w:type="dxa"/>
              <w:right w:w="0" w:type="dxa"/>
            </w:tcMar>
            <w:vAlign w:val="bottom"/>
          </w:tcPr>
          <w:p>
            <w:pPr>
              <w:pStyle w:val="TableContents"/>
              <w:bidi w:val="0"/>
              <w:spacing w:before="0" w:after="283"/>
              <w:jc w:val="left"/>
              <w:rPr/>
            </w:pPr>
            <w:r>
              <w:rPr/>
            </w:r>
          </w:p>
        </w:tc>
      </w:tr>
      <w:tr>
        <w:trPr/>
        <w:tc>
          <w:tcPr>
            <w:tcW w:w="3451" w:type="dxa"/>
            <w:tcBorders/>
            <w:shd w:fill="CCEEFF" w:val="clear"/>
            <w:vAlign w:val="bottom"/>
          </w:tcPr>
          <w:p>
            <w:pPr>
              <w:pStyle w:val="TableContents"/>
              <w:bidi w:val="0"/>
              <w:spacing w:before="0" w:after="283"/>
              <w:jc w:val="left"/>
              <w:rPr/>
            </w:pPr>
            <w:r>
              <w:rPr/>
              <w:t>Balance as of March 31, 2024</w:t>
            </w:r>
          </w:p>
        </w:tc>
        <w:tc>
          <w:tcPr>
            <w:tcW w:w="293" w:type="dxa"/>
            <w:tcBorders/>
            <w:shd w:fill="CCEEFF" w:val="clear"/>
            <w:tcMar>
              <w:top w:w="0" w:type="dxa"/>
              <w:left w:w="0" w:type="dxa"/>
              <w:bottom w:w="0" w:type="dxa"/>
              <w:right w:w="0" w:type="dxa"/>
            </w:tcMar>
            <w:vAlign w:val="bottom"/>
          </w:tcPr>
          <w:p>
            <w:pPr>
              <w:pStyle w:val="TableContents"/>
              <w:bidi w:val="0"/>
              <w:spacing w:before="0" w:after="283"/>
              <w:jc w:val="left"/>
              <w:rPr/>
            </w:pPr>
            <w:r>
              <w:rPr/>
            </w:r>
          </w:p>
        </w:tc>
        <w:tc>
          <w:tcPr>
            <w:tcW w:w="1147" w:type="dxa"/>
            <w:tcBorders/>
            <w:shd w:fill="CCEEFF" w:val="clear"/>
            <w:tcMar>
              <w:top w:w="0" w:type="dxa"/>
              <w:left w:w="0" w:type="dxa"/>
              <w:bottom w:w="0" w:type="dxa"/>
              <w:right w:w="0" w:type="dxa"/>
            </w:tcMar>
            <w:vAlign w:val="bottom"/>
          </w:tcPr>
          <w:p>
            <w:pPr>
              <w:pStyle w:val="TableContents"/>
              <w:bidi w:val="0"/>
              <w:spacing w:before="0" w:after="283"/>
              <w:jc w:val="right"/>
              <w:rPr/>
            </w:pPr>
            <w:r>
              <w:rPr/>
              <w:t>1,654.1</w:t>
            </w:r>
          </w:p>
        </w:tc>
        <w:tc>
          <w:tcPr>
            <w:tcW w:w="109" w:type="dxa"/>
            <w:tcBorders/>
            <w:shd w:fill="CCEEFF" w:val="clear"/>
            <w:tcMar>
              <w:top w:w="0" w:type="dxa"/>
              <w:left w:w="0" w:type="dxa"/>
              <w:bottom w:w="0" w:type="dxa"/>
              <w:right w:w="0" w:type="dxa"/>
            </w:tcMar>
            <w:vAlign w:val="bottom"/>
          </w:tcPr>
          <w:p>
            <w:pPr>
              <w:pStyle w:val="TableContents"/>
              <w:bidi w:val="0"/>
              <w:spacing w:before="0" w:after="283"/>
              <w:jc w:val="left"/>
              <w:rPr/>
            </w:pPr>
            <w:r>
              <w:rPr/>
            </w:r>
          </w:p>
        </w:tc>
        <w:tc>
          <w:tcPr>
            <w:tcW w:w="109" w:type="dxa"/>
            <w:tcBorders/>
            <w:shd w:fill="CCEEFF" w:val="clear"/>
            <w:tcMar>
              <w:top w:w="0" w:type="dxa"/>
              <w:left w:w="0" w:type="dxa"/>
              <w:bottom w:w="0" w:type="dxa"/>
              <w:right w:w="0" w:type="dxa"/>
            </w:tcMar>
            <w:vAlign w:val="bottom"/>
          </w:tcPr>
          <w:p>
            <w:pPr>
              <w:pStyle w:val="TableContents"/>
              <w:bidi w:val="0"/>
              <w:spacing w:before="0" w:after="283"/>
              <w:jc w:val="left"/>
              <w:rPr/>
            </w:pPr>
            <w:r>
              <w:rPr/>
            </w:r>
          </w:p>
        </w:tc>
        <w:tc>
          <w:tcPr>
            <w:tcW w:w="375" w:type="dxa"/>
            <w:tcBorders/>
            <w:shd w:fill="CCEEFF" w:val="clear"/>
            <w:tcMar>
              <w:top w:w="0" w:type="dxa"/>
              <w:left w:w="0" w:type="dxa"/>
              <w:bottom w:w="0" w:type="dxa"/>
              <w:right w:w="0" w:type="dxa"/>
            </w:tcMar>
            <w:vAlign w:val="bottom"/>
          </w:tcPr>
          <w:p>
            <w:pPr>
              <w:pStyle w:val="TableContents"/>
              <w:bidi w:val="0"/>
              <w:spacing w:before="0" w:after="283"/>
              <w:jc w:val="left"/>
              <w:rPr/>
            </w:pPr>
            <w:r>
              <w:rPr/>
            </w:r>
          </w:p>
        </w:tc>
        <w:tc>
          <w:tcPr>
            <w:tcW w:w="1200" w:type="dxa"/>
            <w:tcBorders/>
            <w:shd w:fill="CCEEFF" w:val="clear"/>
            <w:tcMar>
              <w:top w:w="0" w:type="dxa"/>
              <w:left w:w="0" w:type="dxa"/>
              <w:bottom w:w="0" w:type="dxa"/>
              <w:right w:w="0" w:type="dxa"/>
            </w:tcMar>
            <w:vAlign w:val="bottom"/>
          </w:tcPr>
          <w:p>
            <w:pPr>
              <w:pStyle w:val="TableContents"/>
              <w:bidi w:val="0"/>
              <w:spacing w:before="0" w:after="283"/>
              <w:jc w:val="right"/>
              <w:rPr/>
            </w:pPr>
            <w:r>
              <w:rPr/>
              <w:t>(248.2</w:t>
            </w:r>
          </w:p>
        </w:tc>
        <w:tc>
          <w:tcPr>
            <w:tcW w:w="181" w:type="dxa"/>
            <w:tcBorders/>
            <w:shd w:fill="CCEEFF" w:val="clear"/>
            <w:tcMar>
              <w:top w:w="0" w:type="dxa"/>
              <w:left w:w="0" w:type="dxa"/>
              <w:bottom w:w="0" w:type="dxa"/>
              <w:right w:w="0" w:type="dxa"/>
            </w:tcMar>
            <w:vAlign w:val="bottom"/>
          </w:tcPr>
          <w:p>
            <w:pPr>
              <w:pStyle w:val="TableContents"/>
              <w:bidi w:val="0"/>
              <w:spacing w:before="0" w:after="283"/>
              <w:jc w:val="left"/>
              <w:rPr/>
            </w:pPr>
            <w:r>
              <w:rPr/>
              <w:t>)</w:t>
            </w:r>
          </w:p>
        </w:tc>
        <w:tc>
          <w:tcPr>
            <w:tcW w:w="109" w:type="dxa"/>
            <w:tcBorders/>
            <w:shd w:fill="CCEEFF" w:val="clear"/>
            <w:tcMar>
              <w:top w:w="0" w:type="dxa"/>
              <w:left w:w="0" w:type="dxa"/>
              <w:bottom w:w="0" w:type="dxa"/>
              <w:right w:w="0" w:type="dxa"/>
            </w:tcMar>
            <w:vAlign w:val="bottom"/>
          </w:tcPr>
          <w:p>
            <w:pPr>
              <w:pStyle w:val="TableContents"/>
              <w:bidi w:val="0"/>
              <w:spacing w:before="0" w:after="283"/>
              <w:jc w:val="left"/>
              <w:rPr/>
            </w:pPr>
            <w:r>
              <w:rPr/>
            </w:r>
          </w:p>
        </w:tc>
        <w:tc>
          <w:tcPr>
            <w:tcW w:w="383" w:type="dxa"/>
            <w:tcBorders/>
            <w:shd w:fill="CCEEFF" w:val="clear"/>
            <w:tcMar>
              <w:top w:w="0" w:type="dxa"/>
              <w:left w:w="0" w:type="dxa"/>
              <w:bottom w:w="0" w:type="dxa"/>
              <w:right w:w="0" w:type="dxa"/>
            </w:tcMar>
            <w:vAlign w:val="bottom"/>
          </w:tcPr>
          <w:p>
            <w:pPr>
              <w:pStyle w:val="TableContents"/>
              <w:bidi w:val="0"/>
              <w:spacing w:before="0" w:after="283"/>
              <w:jc w:val="left"/>
              <w:rPr/>
            </w:pPr>
            <w:r>
              <w:rPr/>
            </w:r>
          </w:p>
        </w:tc>
        <w:tc>
          <w:tcPr>
            <w:tcW w:w="818" w:type="dxa"/>
            <w:tcBorders/>
            <w:shd w:fill="CCEEFF" w:val="clear"/>
            <w:tcMar>
              <w:top w:w="0" w:type="dxa"/>
              <w:left w:w="0" w:type="dxa"/>
              <w:bottom w:w="0" w:type="dxa"/>
              <w:right w:w="0" w:type="dxa"/>
            </w:tcMar>
            <w:vAlign w:val="bottom"/>
          </w:tcPr>
          <w:p>
            <w:pPr>
              <w:pStyle w:val="TableContents"/>
              <w:bidi w:val="0"/>
              <w:spacing w:before="0" w:after="283"/>
              <w:jc w:val="right"/>
              <w:rPr/>
            </w:pPr>
            <w:r>
              <w:rPr/>
              <w:t>(0.2</w:t>
            </w:r>
          </w:p>
        </w:tc>
        <w:tc>
          <w:tcPr>
            <w:tcW w:w="181" w:type="dxa"/>
            <w:tcBorders/>
            <w:shd w:fill="CCEEFF" w:val="clear"/>
            <w:tcMar>
              <w:top w:w="0" w:type="dxa"/>
              <w:left w:w="0" w:type="dxa"/>
              <w:bottom w:w="0" w:type="dxa"/>
              <w:right w:w="0" w:type="dxa"/>
            </w:tcMar>
            <w:vAlign w:val="bottom"/>
          </w:tcPr>
          <w:p>
            <w:pPr>
              <w:pStyle w:val="TableContents"/>
              <w:bidi w:val="0"/>
              <w:spacing w:before="0" w:after="283"/>
              <w:jc w:val="left"/>
              <w:rPr/>
            </w:pPr>
            <w:r>
              <w:rPr/>
              <w:t>)</w:t>
            </w:r>
          </w:p>
        </w:tc>
        <w:tc>
          <w:tcPr>
            <w:tcW w:w="109" w:type="dxa"/>
            <w:tcBorders/>
            <w:shd w:fill="CCEEFF" w:val="clear"/>
            <w:tcMar>
              <w:top w:w="0" w:type="dxa"/>
              <w:left w:w="0" w:type="dxa"/>
              <w:bottom w:w="0" w:type="dxa"/>
              <w:right w:w="0" w:type="dxa"/>
            </w:tcMar>
            <w:vAlign w:val="bottom"/>
          </w:tcPr>
          <w:p>
            <w:pPr>
              <w:pStyle w:val="TableContents"/>
              <w:bidi w:val="0"/>
              <w:spacing w:before="0" w:after="283"/>
              <w:jc w:val="left"/>
              <w:rPr/>
            </w:pPr>
            <w:r>
              <w:rPr/>
            </w:r>
          </w:p>
        </w:tc>
        <w:tc>
          <w:tcPr>
            <w:tcW w:w="226" w:type="dxa"/>
            <w:tcBorders/>
            <w:shd w:fill="CCEEFF" w:val="clear"/>
            <w:tcMar>
              <w:top w:w="0" w:type="dxa"/>
              <w:left w:w="0" w:type="dxa"/>
              <w:bottom w:w="0" w:type="dxa"/>
              <w:right w:w="0" w:type="dxa"/>
            </w:tcMar>
            <w:vAlign w:val="bottom"/>
          </w:tcPr>
          <w:p>
            <w:pPr>
              <w:pStyle w:val="TableContents"/>
              <w:bidi w:val="0"/>
              <w:spacing w:before="0" w:after="283"/>
              <w:jc w:val="left"/>
              <w:rPr/>
            </w:pPr>
            <w:r>
              <w:rPr/>
            </w:r>
          </w:p>
        </w:tc>
        <w:tc>
          <w:tcPr>
            <w:tcW w:w="826" w:type="dxa"/>
            <w:tcBorders/>
            <w:shd w:fill="CCEEFF" w:val="clear"/>
            <w:tcMar>
              <w:top w:w="0" w:type="dxa"/>
              <w:left w:w="0" w:type="dxa"/>
              <w:bottom w:w="0" w:type="dxa"/>
              <w:right w:w="0" w:type="dxa"/>
            </w:tcMar>
            <w:vAlign w:val="bottom"/>
          </w:tcPr>
          <w:p>
            <w:pPr>
              <w:pStyle w:val="TableContents"/>
              <w:bidi w:val="0"/>
              <w:spacing w:before="0" w:after="283"/>
              <w:jc w:val="right"/>
              <w:rPr/>
            </w:pPr>
            <w:r>
              <w:rPr/>
              <w:t>1,243.6</w:t>
            </w:r>
          </w:p>
        </w:tc>
        <w:tc>
          <w:tcPr>
            <w:tcW w:w="226" w:type="dxa"/>
            <w:tcBorders/>
            <w:shd w:fill="CCEEFF" w:val="clear"/>
            <w:tcMar>
              <w:top w:w="0" w:type="dxa"/>
              <w:left w:w="0" w:type="dxa"/>
              <w:bottom w:w="0" w:type="dxa"/>
              <w:right w:w="0" w:type="dxa"/>
            </w:tcMar>
            <w:vAlign w:val="bottom"/>
          </w:tcPr>
          <w:p>
            <w:pPr>
              <w:pStyle w:val="TableContents"/>
              <w:bidi w:val="0"/>
              <w:spacing w:before="0" w:after="283"/>
              <w:jc w:val="left"/>
              <w:rPr>
                <w:sz w:val="4"/>
                <w:szCs w:val="4"/>
              </w:rPr>
            </w:pPr>
            <w:r>
              <w:rPr>
                <w:sz w:val="4"/>
                <w:szCs w:val="4"/>
              </w:rPr>
            </w:r>
          </w:p>
        </w:tc>
      </w:tr>
      <w:tr>
        <w:trPr/>
        <w:tc>
          <w:tcPr>
            <w:tcW w:w="3451"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Net income</w:t>
            </w:r>
          </w:p>
        </w:tc>
        <w:tc>
          <w:tcPr>
            <w:tcW w:w="293" w:type="dxa"/>
            <w:tcBorders/>
            <w:tcMar>
              <w:top w:w="0" w:type="dxa"/>
              <w:left w:w="0" w:type="dxa"/>
              <w:bottom w:w="0" w:type="dxa"/>
              <w:right w:w="0" w:type="dxa"/>
            </w:tcMar>
            <w:vAlign w:val="center"/>
          </w:tcPr>
          <w:p>
            <w:pPr>
              <w:pStyle w:val="TableContents"/>
              <w:bidi w:val="0"/>
              <w:spacing w:before="0" w:after="283"/>
              <w:jc w:val="left"/>
              <w:rPr/>
            </w:pPr>
            <w:r>
              <w:rPr/>
            </w:r>
          </w:p>
        </w:tc>
        <w:tc>
          <w:tcPr>
            <w:tcW w:w="1147" w:type="dxa"/>
            <w:tcBorders/>
            <w:tcMar>
              <w:top w:w="0" w:type="dxa"/>
              <w:left w:w="0" w:type="dxa"/>
              <w:bottom w:w="0" w:type="dxa"/>
              <w:right w:w="0" w:type="dxa"/>
            </w:tcMar>
            <w:vAlign w:val="center"/>
          </w:tcPr>
          <w:p>
            <w:pPr>
              <w:pStyle w:val="TableContents"/>
              <w:bidi w:val="0"/>
              <w:spacing w:before="0" w:after="283"/>
              <w:jc w:val="right"/>
              <w:rPr/>
            </w:pPr>
            <w:r>
              <w:rPr/>
              <w:t>83.1</w:t>
            </w:r>
          </w:p>
        </w:tc>
        <w:tc>
          <w:tcPr>
            <w:tcW w:w="109" w:type="dxa"/>
            <w:tcBorders/>
            <w:tcMar>
              <w:top w:w="0" w:type="dxa"/>
              <w:left w:w="0" w:type="dxa"/>
              <w:bottom w:w="0" w:type="dxa"/>
              <w:right w:w="0" w:type="dxa"/>
            </w:tcMar>
            <w:vAlign w:val="center"/>
          </w:tcPr>
          <w:p>
            <w:pPr>
              <w:pStyle w:val="TableContents"/>
              <w:bidi w:val="0"/>
              <w:spacing w:before="0" w:after="283"/>
              <w:jc w:val="left"/>
              <w:rPr/>
            </w:pPr>
            <w:r>
              <w:rPr/>
            </w:r>
          </w:p>
        </w:tc>
        <w:tc>
          <w:tcPr>
            <w:tcW w:w="109" w:type="dxa"/>
            <w:tcBorders/>
            <w:tcMar>
              <w:top w:w="0" w:type="dxa"/>
              <w:left w:w="0" w:type="dxa"/>
              <w:bottom w:w="0" w:type="dxa"/>
              <w:right w:w="0" w:type="dxa"/>
            </w:tcMar>
            <w:vAlign w:val="center"/>
          </w:tcPr>
          <w:p>
            <w:pPr>
              <w:pStyle w:val="TableContents"/>
              <w:bidi w:val="0"/>
              <w:spacing w:before="0" w:after="283"/>
              <w:jc w:val="left"/>
              <w:rPr/>
            </w:pPr>
            <w:r>
              <w:rPr/>
            </w:r>
          </w:p>
        </w:tc>
        <w:tc>
          <w:tcPr>
            <w:tcW w:w="375" w:type="dxa"/>
            <w:tcBorders/>
            <w:tcMar>
              <w:top w:w="0" w:type="dxa"/>
              <w:left w:w="0" w:type="dxa"/>
              <w:bottom w:w="0" w:type="dxa"/>
              <w:right w:w="0" w:type="dxa"/>
            </w:tcMar>
            <w:vAlign w:val="center"/>
          </w:tcPr>
          <w:p>
            <w:pPr>
              <w:pStyle w:val="TableContents"/>
              <w:bidi w:val="0"/>
              <w:spacing w:before="0" w:after="283"/>
              <w:jc w:val="left"/>
              <w:rPr/>
            </w:pPr>
            <w:r>
              <w:rPr/>
            </w:r>
          </w:p>
        </w:tc>
        <w:tc>
          <w:tcPr>
            <w:tcW w:w="1200" w:type="dxa"/>
            <w:tcBorders/>
            <w:tcMar>
              <w:top w:w="0" w:type="dxa"/>
              <w:left w:w="0" w:type="dxa"/>
              <w:bottom w:w="0" w:type="dxa"/>
              <w:right w:w="0" w:type="dxa"/>
            </w:tcMar>
            <w:vAlign w:val="center"/>
          </w:tcPr>
          <w:p>
            <w:pPr>
              <w:pStyle w:val="TableContents"/>
              <w:bidi w:val="0"/>
              <w:spacing w:before="0" w:after="283"/>
              <w:jc w:val="right"/>
              <w:rPr/>
            </w:pPr>
            <w:r>
              <w:rPr/>
              <w:t>—</w:t>
            </w:r>
          </w:p>
        </w:tc>
        <w:tc>
          <w:tcPr>
            <w:tcW w:w="181" w:type="dxa"/>
            <w:tcBorders/>
            <w:tcMar>
              <w:top w:w="0" w:type="dxa"/>
              <w:left w:w="0" w:type="dxa"/>
              <w:bottom w:w="0" w:type="dxa"/>
              <w:right w:w="0" w:type="dxa"/>
            </w:tcMar>
            <w:vAlign w:val="center"/>
          </w:tcPr>
          <w:p>
            <w:pPr>
              <w:pStyle w:val="TableContents"/>
              <w:bidi w:val="0"/>
              <w:spacing w:before="0" w:after="283"/>
              <w:jc w:val="left"/>
              <w:rPr/>
            </w:pPr>
            <w:r>
              <w:rPr/>
            </w:r>
          </w:p>
        </w:tc>
        <w:tc>
          <w:tcPr>
            <w:tcW w:w="109" w:type="dxa"/>
            <w:tcBorders/>
            <w:tcMar>
              <w:top w:w="0" w:type="dxa"/>
              <w:left w:w="0" w:type="dxa"/>
              <w:bottom w:w="0" w:type="dxa"/>
              <w:right w:w="0" w:type="dxa"/>
            </w:tcMar>
            <w:vAlign w:val="center"/>
          </w:tcPr>
          <w:p>
            <w:pPr>
              <w:pStyle w:val="TableContents"/>
              <w:bidi w:val="0"/>
              <w:spacing w:before="0" w:after="283"/>
              <w:jc w:val="left"/>
              <w:rPr/>
            </w:pPr>
            <w:r>
              <w:rPr/>
            </w:r>
          </w:p>
        </w:tc>
        <w:tc>
          <w:tcPr>
            <w:tcW w:w="383" w:type="dxa"/>
            <w:tcBorders/>
            <w:tcMar>
              <w:top w:w="0" w:type="dxa"/>
              <w:left w:w="0" w:type="dxa"/>
              <w:bottom w:w="0" w:type="dxa"/>
              <w:right w:w="0" w:type="dxa"/>
            </w:tcMar>
            <w:vAlign w:val="center"/>
          </w:tcPr>
          <w:p>
            <w:pPr>
              <w:pStyle w:val="TableContents"/>
              <w:bidi w:val="0"/>
              <w:spacing w:before="0" w:after="283"/>
              <w:jc w:val="left"/>
              <w:rPr/>
            </w:pPr>
            <w:r>
              <w:rPr/>
            </w:r>
          </w:p>
        </w:tc>
        <w:tc>
          <w:tcPr>
            <w:tcW w:w="818" w:type="dxa"/>
            <w:tcBorders/>
            <w:tcMar>
              <w:top w:w="0" w:type="dxa"/>
              <w:left w:w="0" w:type="dxa"/>
              <w:bottom w:w="0" w:type="dxa"/>
              <w:right w:w="0" w:type="dxa"/>
            </w:tcMar>
            <w:vAlign w:val="center"/>
          </w:tcPr>
          <w:p>
            <w:pPr>
              <w:pStyle w:val="TableContents"/>
              <w:bidi w:val="0"/>
              <w:spacing w:before="0" w:after="283"/>
              <w:jc w:val="right"/>
              <w:rPr/>
            </w:pPr>
            <w:r>
              <w:rPr/>
              <w:t>0.1</w:t>
            </w:r>
          </w:p>
        </w:tc>
        <w:tc>
          <w:tcPr>
            <w:tcW w:w="181" w:type="dxa"/>
            <w:tcBorders/>
            <w:tcMar>
              <w:top w:w="0" w:type="dxa"/>
              <w:left w:w="0" w:type="dxa"/>
              <w:bottom w:w="0" w:type="dxa"/>
              <w:right w:w="0" w:type="dxa"/>
            </w:tcMar>
            <w:vAlign w:val="center"/>
          </w:tcPr>
          <w:p>
            <w:pPr>
              <w:pStyle w:val="TableContents"/>
              <w:bidi w:val="0"/>
              <w:spacing w:before="0" w:after="283"/>
              <w:jc w:val="left"/>
              <w:rPr/>
            </w:pPr>
            <w:r>
              <w:rPr/>
            </w:r>
          </w:p>
        </w:tc>
        <w:tc>
          <w:tcPr>
            <w:tcW w:w="109" w:type="dxa"/>
            <w:tcBorders/>
            <w:tcMar>
              <w:top w:w="0" w:type="dxa"/>
              <w:left w:w="0" w:type="dxa"/>
              <w:bottom w:w="0" w:type="dxa"/>
              <w:right w:w="0" w:type="dxa"/>
            </w:tcMar>
            <w:vAlign w:val="center"/>
          </w:tcPr>
          <w:p>
            <w:pPr>
              <w:pStyle w:val="TableContents"/>
              <w:bidi w:val="0"/>
              <w:spacing w:before="0" w:after="283"/>
              <w:jc w:val="left"/>
              <w:rPr/>
            </w:pPr>
            <w:r>
              <w:rPr/>
            </w:r>
          </w:p>
        </w:tc>
        <w:tc>
          <w:tcPr>
            <w:tcW w:w="226" w:type="dxa"/>
            <w:tcBorders/>
            <w:tcMar>
              <w:top w:w="0" w:type="dxa"/>
              <w:left w:w="0" w:type="dxa"/>
              <w:bottom w:w="0" w:type="dxa"/>
              <w:right w:w="0" w:type="dxa"/>
            </w:tcMar>
            <w:vAlign w:val="center"/>
          </w:tcPr>
          <w:p>
            <w:pPr>
              <w:pStyle w:val="TableContents"/>
              <w:bidi w:val="0"/>
              <w:spacing w:before="0" w:after="283"/>
              <w:jc w:val="left"/>
              <w:rPr/>
            </w:pPr>
            <w:r>
              <w:rPr/>
            </w:r>
          </w:p>
        </w:tc>
        <w:tc>
          <w:tcPr>
            <w:tcW w:w="826" w:type="dxa"/>
            <w:tcBorders/>
            <w:tcMar>
              <w:top w:w="0" w:type="dxa"/>
              <w:left w:w="0" w:type="dxa"/>
              <w:bottom w:w="0" w:type="dxa"/>
              <w:right w:w="0" w:type="dxa"/>
            </w:tcMar>
            <w:vAlign w:val="center"/>
          </w:tcPr>
          <w:p>
            <w:pPr>
              <w:pStyle w:val="TableContents"/>
              <w:bidi w:val="0"/>
              <w:spacing w:before="0" w:after="283"/>
              <w:jc w:val="right"/>
              <w:rPr/>
            </w:pPr>
            <w:r>
              <w:rPr/>
              <w:t>83.2</w:t>
            </w:r>
          </w:p>
        </w:tc>
        <w:tc>
          <w:tcPr>
            <w:tcW w:w="226" w:type="dxa"/>
            <w:tcBorders/>
            <w:tcMar>
              <w:top w:w="0" w:type="dxa"/>
              <w:left w:w="0" w:type="dxa"/>
              <w:bottom w:w="0" w:type="dxa"/>
              <w:right w:w="0" w:type="dxa"/>
            </w:tcMar>
            <w:vAlign w:val="center"/>
          </w:tcPr>
          <w:p>
            <w:pPr>
              <w:pStyle w:val="TableContents"/>
              <w:bidi w:val="0"/>
              <w:spacing w:before="0" w:after="283"/>
              <w:jc w:val="left"/>
              <w:rPr/>
            </w:pPr>
            <w:r>
              <w:rPr/>
            </w:r>
          </w:p>
        </w:tc>
      </w:tr>
      <w:tr>
        <w:trPr/>
        <w:tc>
          <w:tcPr>
            <w:tcW w:w="3451" w:type="dxa"/>
            <w:tcBorders/>
            <w:shd w:fill="CCEEFF" w:val="clear"/>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Other comprehensive income (loss)</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pPr>
            <w:r>
              <w:rPr/>
            </w:r>
          </w:p>
        </w:tc>
        <w:tc>
          <w:tcPr>
            <w:tcW w:w="1147" w:type="dxa"/>
            <w:tcBorders/>
            <w:shd w:fill="CCEEFF" w:val="clear"/>
            <w:tcMar>
              <w:top w:w="0" w:type="dxa"/>
              <w:left w:w="0" w:type="dxa"/>
              <w:bottom w:w="0" w:type="dxa"/>
              <w:right w:w="0" w:type="dxa"/>
            </w:tcMar>
            <w:vAlign w:val="center"/>
          </w:tcPr>
          <w:p>
            <w:pPr>
              <w:pStyle w:val="TableContents"/>
              <w:bidi w:val="0"/>
              <w:spacing w:before="0" w:after="283"/>
              <w:jc w:val="right"/>
              <w:rPr/>
            </w:pPr>
            <w:r>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pPr>
            <w:r>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pPr>
            <w:r>
              <w:rPr/>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pPr>
            <w:r>
              <w:rPr/>
            </w:r>
          </w:p>
        </w:tc>
        <w:tc>
          <w:tcPr>
            <w:tcW w:w="1200" w:type="dxa"/>
            <w:tcBorders/>
            <w:shd w:fill="CCEEFF" w:val="clear"/>
            <w:tcMar>
              <w:top w:w="0" w:type="dxa"/>
              <w:left w:w="0" w:type="dxa"/>
              <w:bottom w:w="0" w:type="dxa"/>
              <w:right w:w="0" w:type="dxa"/>
            </w:tcMar>
            <w:vAlign w:val="center"/>
          </w:tcPr>
          <w:p>
            <w:pPr>
              <w:pStyle w:val="TableContents"/>
              <w:bidi w:val="0"/>
              <w:spacing w:before="0" w:after="283"/>
              <w:jc w:val="right"/>
              <w:rPr/>
            </w:pPr>
            <w:r>
              <w:rPr/>
              <w:t>(10.1</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pPr>
            <w:r>
              <w:rPr/>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pPr>
            <w:r>
              <w:rPr/>
            </w:r>
          </w:p>
        </w:tc>
        <w:tc>
          <w:tcPr>
            <w:tcW w:w="818" w:type="dxa"/>
            <w:tcBorders/>
            <w:shd w:fill="CCEEFF" w:val="clear"/>
            <w:tcMar>
              <w:top w:w="0" w:type="dxa"/>
              <w:left w:w="0" w:type="dxa"/>
              <w:bottom w:w="0" w:type="dxa"/>
              <w:right w:w="0" w:type="dxa"/>
            </w:tcMar>
            <w:vAlign w:val="center"/>
          </w:tcPr>
          <w:p>
            <w:pPr>
              <w:pStyle w:val="TableContents"/>
              <w:bidi w:val="0"/>
              <w:spacing w:before="0" w:after="283"/>
              <w:jc w:val="right"/>
              <w:rPr/>
            </w:pPr>
            <w:r>
              <w:rPr/>
              <w:t>—</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pPr>
            <w:r>
              <w:rPr/>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pPr>
            <w:r>
              <w:rPr/>
              <w:t>(10.0</w:t>
            </w:r>
          </w:p>
        </w:tc>
        <w:tc>
          <w:tcPr>
            <w:tcW w:w="226" w:type="dxa"/>
            <w:tcBorders/>
            <w:shd w:fill="CCEEFF" w:val="clear"/>
            <w:tcMar>
              <w:top w:w="0" w:type="dxa"/>
              <w:left w:w="0" w:type="dxa"/>
              <w:bottom w:w="0" w:type="dxa"/>
              <w:right w:w="0" w:type="dxa"/>
            </w:tcMar>
            <w:vAlign w:val="bottom"/>
          </w:tcPr>
          <w:p>
            <w:pPr>
              <w:pStyle w:val="TableContents"/>
              <w:bidi w:val="0"/>
              <w:spacing w:before="0" w:after="283"/>
              <w:jc w:val="left"/>
              <w:rPr/>
            </w:pPr>
            <w:r>
              <w:rPr/>
              <w:t>)</w:t>
            </w:r>
          </w:p>
        </w:tc>
      </w:tr>
      <w:tr>
        <w:trPr/>
        <w:tc>
          <w:tcPr>
            <w:tcW w:w="3451"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Stock issued under employee stock plans</w:t>
            </w:r>
          </w:p>
        </w:tc>
        <w:tc>
          <w:tcPr>
            <w:tcW w:w="293" w:type="dxa"/>
            <w:tcBorders/>
            <w:tcMar>
              <w:top w:w="0" w:type="dxa"/>
              <w:left w:w="0" w:type="dxa"/>
              <w:bottom w:w="0" w:type="dxa"/>
              <w:right w:w="0" w:type="dxa"/>
            </w:tcMar>
            <w:vAlign w:val="center"/>
          </w:tcPr>
          <w:p>
            <w:pPr>
              <w:pStyle w:val="TableContents"/>
              <w:bidi w:val="0"/>
              <w:spacing w:before="0" w:after="283"/>
              <w:jc w:val="left"/>
              <w:rPr/>
            </w:pPr>
            <w:r>
              <w:rPr/>
            </w:r>
          </w:p>
        </w:tc>
        <w:tc>
          <w:tcPr>
            <w:tcW w:w="1147" w:type="dxa"/>
            <w:tcBorders/>
            <w:tcMar>
              <w:top w:w="0" w:type="dxa"/>
              <w:left w:w="0" w:type="dxa"/>
              <w:bottom w:w="0" w:type="dxa"/>
              <w:right w:w="0" w:type="dxa"/>
            </w:tcMar>
            <w:vAlign w:val="center"/>
          </w:tcPr>
          <w:p>
            <w:pPr>
              <w:pStyle w:val="TableContents"/>
              <w:bidi w:val="0"/>
              <w:spacing w:before="0" w:after="283"/>
              <w:jc w:val="right"/>
              <w:rPr/>
            </w:pPr>
            <w:r>
              <w:rPr/>
              <w:t>—</w:t>
            </w:r>
          </w:p>
        </w:tc>
        <w:tc>
          <w:tcPr>
            <w:tcW w:w="109" w:type="dxa"/>
            <w:tcBorders/>
            <w:tcMar>
              <w:top w:w="0" w:type="dxa"/>
              <w:left w:w="0" w:type="dxa"/>
              <w:bottom w:w="0" w:type="dxa"/>
              <w:right w:w="0" w:type="dxa"/>
            </w:tcMar>
            <w:vAlign w:val="center"/>
          </w:tcPr>
          <w:p>
            <w:pPr>
              <w:pStyle w:val="TableContents"/>
              <w:bidi w:val="0"/>
              <w:spacing w:before="0" w:after="283"/>
              <w:jc w:val="left"/>
              <w:rPr/>
            </w:pPr>
            <w:r>
              <w:rPr/>
            </w:r>
          </w:p>
        </w:tc>
        <w:tc>
          <w:tcPr>
            <w:tcW w:w="109" w:type="dxa"/>
            <w:tcBorders/>
            <w:tcMar>
              <w:top w:w="0" w:type="dxa"/>
              <w:left w:w="0" w:type="dxa"/>
              <w:bottom w:w="0" w:type="dxa"/>
              <w:right w:w="0" w:type="dxa"/>
            </w:tcMar>
            <w:vAlign w:val="center"/>
          </w:tcPr>
          <w:p>
            <w:pPr>
              <w:pStyle w:val="TableContents"/>
              <w:bidi w:val="0"/>
              <w:spacing w:before="0" w:after="283"/>
              <w:jc w:val="left"/>
              <w:rPr/>
            </w:pPr>
            <w:r>
              <w:rPr/>
            </w:r>
          </w:p>
        </w:tc>
        <w:tc>
          <w:tcPr>
            <w:tcW w:w="375" w:type="dxa"/>
            <w:tcBorders/>
            <w:tcMar>
              <w:top w:w="0" w:type="dxa"/>
              <w:left w:w="0" w:type="dxa"/>
              <w:bottom w:w="0" w:type="dxa"/>
              <w:right w:w="0" w:type="dxa"/>
            </w:tcMar>
            <w:vAlign w:val="center"/>
          </w:tcPr>
          <w:p>
            <w:pPr>
              <w:pStyle w:val="TableContents"/>
              <w:bidi w:val="0"/>
              <w:spacing w:before="0" w:after="283"/>
              <w:jc w:val="left"/>
              <w:rPr/>
            </w:pPr>
            <w:r>
              <w:rPr/>
            </w:r>
          </w:p>
        </w:tc>
        <w:tc>
          <w:tcPr>
            <w:tcW w:w="1200" w:type="dxa"/>
            <w:tcBorders/>
            <w:tcMar>
              <w:top w:w="0" w:type="dxa"/>
              <w:left w:w="0" w:type="dxa"/>
              <w:bottom w:w="0" w:type="dxa"/>
              <w:right w:w="0" w:type="dxa"/>
            </w:tcMar>
            <w:vAlign w:val="center"/>
          </w:tcPr>
          <w:p>
            <w:pPr>
              <w:pStyle w:val="TableContents"/>
              <w:bidi w:val="0"/>
              <w:spacing w:before="0" w:after="283"/>
              <w:jc w:val="right"/>
              <w:rPr/>
            </w:pPr>
            <w:r>
              <w:rPr/>
              <w:t>—</w:t>
            </w:r>
          </w:p>
        </w:tc>
        <w:tc>
          <w:tcPr>
            <w:tcW w:w="181" w:type="dxa"/>
            <w:tcBorders/>
            <w:tcMar>
              <w:top w:w="0" w:type="dxa"/>
              <w:left w:w="0" w:type="dxa"/>
              <w:bottom w:w="0" w:type="dxa"/>
              <w:right w:w="0" w:type="dxa"/>
            </w:tcMar>
            <w:vAlign w:val="center"/>
          </w:tcPr>
          <w:p>
            <w:pPr>
              <w:pStyle w:val="TableContents"/>
              <w:bidi w:val="0"/>
              <w:spacing w:before="0" w:after="283"/>
              <w:jc w:val="left"/>
              <w:rPr/>
            </w:pPr>
            <w:r>
              <w:rPr/>
            </w:r>
          </w:p>
        </w:tc>
        <w:tc>
          <w:tcPr>
            <w:tcW w:w="109" w:type="dxa"/>
            <w:tcBorders/>
            <w:tcMar>
              <w:top w:w="0" w:type="dxa"/>
              <w:left w:w="0" w:type="dxa"/>
              <w:bottom w:w="0" w:type="dxa"/>
              <w:right w:w="0" w:type="dxa"/>
            </w:tcMar>
            <w:vAlign w:val="center"/>
          </w:tcPr>
          <w:p>
            <w:pPr>
              <w:pStyle w:val="TableContents"/>
              <w:bidi w:val="0"/>
              <w:spacing w:before="0" w:after="283"/>
              <w:jc w:val="left"/>
              <w:rPr/>
            </w:pPr>
            <w:r>
              <w:rPr/>
            </w:r>
          </w:p>
        </w:tc>
        <w:tc>
          <w:tcPr>
            <w:tcW w:w="383" w:type="dxa"/>
            <w:tcBorders/>
            <w:tcMar>
              <w:top w:w="0" w:type="dxa"/>
              <w:left w:w="0" w:type="dxa"/>
              <w:bottom w:w="0" w:type="dxa"/>
              <w:right w:w="0" w:type="dxa"/>
            </w:tcMar>
            <w:vAlign w:val="center"/>
          </w:tcPr>
          <w:p>
            <w:pPr>
              <w:pStyle w:val="TableContents"/>
              <w:bidi w:val="0"/>
              <w:spacing w:before="0" w:after="283"/>
              <w:jc w:val="left"/>
              <w:rPr/>
            </w:pPr>
            <w:r>
              <w:rPr/>
            </w:r>
          </w:p>
        </w:tc>
        <w:tc>
          <w:tcPr>
            <w:tcW w:w="818" w:type="dxa"/>
            <w:tcBorders/>
            <w:tcMar>
              <w:top w:w="0" w:type="dxa"/>
              <w:left w:w="0" w:type="dxa"/>
              <w:bottom w:w="0" w:type="dxa"/>
              <w:right w:w="0" w:type="dxa"/>
            </w:tcMar>
            <w:vAlign w:val="center"/>
          </w:tcPr>
          <w:p>
            <w:pPr>
              <w:pStyle w:val="TableContents"/>
              <w:bidi w:val="0"/>
              <w:spacing w:before="0" w:after="283"/>
              <w:jc w:val="right"/>
              <w:rPr/>
            </w:pPr>
            <w:r>
              <w:rPr/>
              <w:t>.</w:t>
            </w:r>
          </w:p>
        </w:tc>
        <w:tc>
          <w:tcPr>
            <w:tcW w:w="181" w:type="dxa"/>
            <w:tcBorders/>
            <w:tcMar>
              <w:top w:w="0" w:type="dxa"/>
              <w:left w:w="0" w:type="dxa"/>
              <w:bottom w:w="0" w:type="dxa"/>
              <w:right w:w="0" w:type="dxa"/>
            </w:tcMar>
            <w:vAlign w:val="center"/>
          </w:tcPr>
          <w:p>
            <w:pPr>
              <w:pStyle w:val="TableContents"/>
              <w:bidi w:val="0"/>
              <w:spacing w:before="0" w:after="283"/>
              <w:jc w:val="left"/>
              <w:rPr/>
            </w:pPr>
            <w:r>
              <w:rPr/>
            </w:r>
          </w:p>
        </w:tc>
        <w:tc>
          <w:tcPr>
            <w:tcW w:w="109" w:type="dxa"/>
            <w:tcBorders/>
            <w:tcMar>
              <w:top w:w="0" w:type="dxa"/>
              <w:left w:w="0" w:type="dxa"/>
              <w:bottom w:w="0" w:type="dxa"/>
              <w:right w:w="0" w:type="dxa"/>
            </w:tcMar>
            <w:vAlign w:val="center"/>
          </w:tcPr>
          <w:p>
            <w:pPr>
              <w:pStyle w:val="TableContents"/>
              <w:bidi w:val="0"/>
              <w:spacing w:before="0" w:after="283"/>
              <w:jc w:val="left"/>
              <w:rPr/>
            </w:pPr>
            <w:r>
              <w:rPr/>
            </w:r>
          </w:p>
        </w:tc>
        <w:tc>
          <w:tcPr>
            <w:tcW w:w="226" w:type="dxa"/>
            <w:tcBorders/>
            <w:tcMar>
              <w:top w:w="0" w:type="dxa"/>
              <w:left w:w="0" w:type="dxa"/>
              <w:bottom w:w="0" w:type="dxa"/>
              <w:right w:w="0" w:type="dxa"/>
            </w:tcMar>
            <w:vAlign w:val="center"/>
          </w:tcPr>
          <w:p>
            <w:pPr>
              <w:pStyle w:val="TableContents"/>
              <w:bidi w:val="0"/>
              <w:spacing w:before="0" w:after="283"/>
              <w:jc w:val="left"/>
              <w:rPr/>
            </w:pPr>
            <w:r>
              <w:rPr/>
            </w:r>
          </w:p>
        </w:tc>
        <w:tc>
          <w:tcPr>
            <w:tcW w:w="826" w:type="dxa"/>
            <w:tcBorders/>
            <w:tcMar>
              <w:top w:w="0" w:type="dxa"/>
              <w:left w:w="0" w:type="dxa"/>
              <w:bottom w:w="0" w:type="dxa"/>
              <w:right w:w="0" w:type="dxa"/>
            </w:tcMar>
            <w:vAlign w:val="center"/>
          </w:tcPr>
          <w:p>
            <w:pPr>
              <w:pStyle w:val="TableContents"/>
              <w:bidi w:val="0"/>
              <w:spacing w:before="0" w:after="283"/>
              <w:jc w:val="right"/>
              <w:rPr/>
            </w:pPr>
            <w:r>
              <w:rPr/>
              <w:t>0.5</w:t>
            </w:r>
          </w:p>
        </w:tc>
        <w:tc>
          <w:tcPr>
            <w:tcW w:w="226" w:type="dxa"/>
            <w:tcBorders/>
            <w:tcMar>
              <w:top w:w="0" w:type="dxa"/>
              <w:left w:w="0" w:type="dxa"/>
              <w:bottom w:w="0" w:type="dxa"/>
              <w:right w:w="0" w:type="dxa"/>
            </w:tcMar>
            <w:vAlign w:val="center"/>
          </w:tcPr>
          <w:p>
            <w:pPr>
              <w:pStyle w:val="TableContents"/>
              <w:bidi w:val="0"/>
              <w:spacing w:before="0" w:after="283"/>
              <w:jc w:val="left"/>
              <w:rPr/>
            </w:pPr>
            <w:r>
              <w:rPr/>
            </w:r>
          </w:p>
        </w:tc>
      </w:tr>
      <w:tr>
        <w:trPr/>
        <w:tc>
          <w:tcPr>
            <w:tcW w:w="3451" w:type="dxa"/>
            <w:tcBorders/>
            <w:shd w:fill="CCEEFF" w:val="clear"/>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Share-based compensation</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pPr>
            <w:r>
              <w:rPr/>
            </w:r>
          </w:p>
        </w:tc>
        <w:tc>
          <w:tcPr>
            <w:tcW w:w="1147" w:type="dxa"/>
            <w:tcBorders/>
            <w:shd w:fill="CCEEFF" w:val="clear"/>
            <w:tcMar>
              <w:top w:w="0" w:type="dxa"/>
              <w:left w:w="0" w:type="dxa"/>
              <w:bottom w:w="0" w:type="dxa"/>
              <w:right w:w="0" w:type="dxa"/>
            </w:tcMar>
            <w:vAlign w:val="center"/>
          </w:tcPr>
          <w:p>
            <w:pPr>
              <w:pStyle w:val="TableContents"/>
              <w:bidi w:val="0"/>
              <w:spacing w:before="0" w:after="283"/>
              <w:jc w:val="right"/>
              <w:rPr/>
            </w:pPr>
            <w:r>
              <w:rPr/>
              <w:t>—</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pPr>
            <w:r>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pPr>
            <w:r>
              <w:rPr/>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pPr>
            <w:r>
              <w:rPr/>
            </w:r>
          </w:p>
        </w:tc>
        <w:tc>
          <w:tcPr>
            <w:tcW w:w="1200" w:type="dxa"/>
            <w:tcBorders/>
            <w:shd w:fill="CCEEFF" w:val="clear"/>
            <w:tcMar>
              <w:top w:w="0" w:type="dxa"/>
              <w:left w:w="0" w:type="dxa"/>
              <w:bottom w:w="0" w:type="dxa"/>
              <w:right w:w="0" w:type="dxa"/>
            </w:tcMar>
            <w:vAlign w:val="center"/>
          </w:tcPr>
          <w:p>
            <w:pPr>
              <w:pStyle w:val="TableContents"/>
              <w:bidi w:val="0"/>
              <w:spacing w:before="0" w:after="283"/>
              <w:jc w:val="right"/>
              <w:rPr/>
            </w:pPr>
            <w:r>
              <w:rPr/>
              <w:t>—</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pPr>
            <w:r>
              <w:rPr/>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pPr>
            <w:r>
              <w:rPr/>
            </w:r>
          </w:p>
        </w:tc>
        <w:tc>
          <w:tcPr>
            <w:tcW w:w="818" w:type="dxa"/>
            <w:tcBorders/>
            <w:shd w:fill="CCEEFF" w:val="clear"/>
            <w:tcMar>
              <w:top w:w="0" w:type="dxa"/>
              <w:left w:w="0" w:type="dxa"/>
              <w:bottom w:w="0" w:type="dxa"/>
              <w:right w:w="0" w:type="dxa"/>
            </w:tcMar>
            <w:vAlign w:val="center"/>
          </w:tcPr>
          <w:p>
            <w:pPr>
              <w:pStyle w:val="TableContents"/>
              <w:bidi w:val="0"/>
              <w:spacing w:before="0" w:after="283"/>
              <w:jc w:val="right"/>
              <w:rPr/>
            </w:pPr>
            <w:r>
              <w:rPr/>
              <w:t>—</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pPr>
            <w:r>
              <w:rPr/>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pPr>
            <w:r>
              <w:rPr/>
              <w:t>10.2</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r>
          </w:p>
        </w:tc>
      </w:tr>
      <w:tr>
        <w:trPr/>
        <w:tc>
          <w:tcPr>
            <w:tcW w:w="3451"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Repurchase of shares</w:t>
            </w:r>
          </w:p>
        </w:tc>
        <w:tc>
          <w:tcPr>
            <w:tcW w:w="293" w:type="dxa"/>
            <w:tcBorders/>
            <w:tcMar>
              <w:top w:w="0" w:type="dxa"/>
              <w:left w:w="0" w:type="dxa"/>
              <w:bottom w:w="0" w:type="dxa"/>
              <w:right w:w="0" w:type="dxa"/>
            </w:tcMar>
            <w:vAlign w:val="center"/>
          </w:tcPr>
          <w:p>
            <w:pPr>
              <w:pStyle w:val="TableContents"/>
              <w:bidi w:val="0"/>
              <w:spacing w:before="0" w:after="283"/>
              <w:jc w:val="left"/>
              <w:rPr/>
            </w:pPr>
            <w:r>
              <w:rPr/>
            </w:r>
          </w:p>
        </w:tc>
        <w:tc>
          <w:tcPr>
            <w:tcW w:w="1147" w:type="dxa"/>
            <w:tcBorders/>
            <w:tcMar>
              <w:top w:w="0" w:type="dxa"/>
              <w:left w:w="0" w:type="dxa"/>
              <w:bottom w:w="0" w:type="dxa"/>
              <w:right w:w="0" w:type="dxa"/>
            </w:tcMar>
            <w:vAlign w:val="center"/>
          </w:tcPr>
          <w:p>
            <w:pPr>
              <w:pStyle w:val="TableContents"/>
              <w:bidi w:val="0"/>
              <w:spacing w:before="0" w:after="283"/>
              <w:jc w:val="right"/>
              <w:rPr/>
            </w:pPr>
            <w:r>
              <w:rPr/>
              <w:t>—</w:t>
            </w:r>
          </w:p>
        </w:tc>
        <w:tc>
          <w:tcPr>
            <w:tcW w:w="109" w:type="dxa"/>
            <w:tcBorders/>
            <w:tcMar>
              <w:top w:w="0" w:type="dxa"/>
              <w:left w:w="0" w:type="dxa"/>
              <w:bottom w:w="0" w:type="dxa"/>
              <w:right w:w="0" w:type="dxa"/>
            </w:tcMar>
            <w:vAlign w:val="center"/>
          </w:tcPr>
          <w:p>
            <w:pPr>
              <w:pStyle w:val="TableContents"/>
              <w:bidi w:val="0"/>
              <w:spacing w:before="0" w:after="283"/>
              <w:jc w:val="left"/>
              <w:rPr/>
            </w:pPr>
            <w:r>
              <w:rPr/>
            </w:r>
          </w:p>
        </w:tc>
        <w:tc>
          <w:tcPr>
            <w:tcW w:w="109" w:type="dxa"/>
            <w:tcBorders/>
            <w:tcMar>
              <w:top w:w="0" w:type="dxa"/>
              <w:left w:w="0" w:type="dxa"/>
              <w:bottom w:w="0" w:type="dxa"/>
              <w:right w:w="0" w:type="dxa"/>
            </w:tcMar>
            <w:vAlign w:val="center"/>
          </w:tcPr>
          <w:p>
            <w:pPr>
              <w:pStyle w:val="TableContents"/>
              <w:bidi w:val="0"/>
              <w:spacing w:before="0" w:after="283"/>
              <w:jc w:val="left"/>
              <w:rPr/>
            </w:pPr>
            <w:r>
              <w:rPr/>
            </w:r>
          </w:p>
        </w:tc>
        <w:tc>
          <w:tcPr>
            <w:tcW w:w="375" w:type="dxa"/>
            <w:tcBorders/>
            <w:tcMar>
              <w:top w:w="0" w:type="dxa"/>
              <w:left w:w="0" w:type="dxa"/>
              <w:bottom w:w="0" w:type="dxa"/>
              <w:right w:w="0" w:type="dxa"/>
            </w:tcMar>
            <w:vAlign w:val="center"/>
          </w:tcPr>
          <w:p>
            <w:pPr>
              <w:pStyle w:val="TableContents"/>
              <w:bidi w:val="0"/>
              <w:spacing w:before="0" w:after="283"/>
              <w:jc w:val="left"/>
              <w:rPr/>
            </w:pPr>
            <w:r>
              <w:rPr/>
            </w:r>
          </w:p>
        </w:tc>
        <w:tc>
          <w:tcPr>
            <w:tcW w:w="1200" w:type="dxa"/>
            <w:tcBorders/>
            <w:tcMar>
              <w:top w:w="0" w:type="dxa"/>
              <w:left w:w="0" w:type="dxa"/>
              <w:bottom w:w="0" w:type="dxa"/>
              <w:right w:w="0" w:type="dxa"/>
            </w:tcMar>
            <w:vAlign w:val="center"/>
          </w:tcPr>
          <w:p>
            <w:pPr>
              <w:pStyle w:val="TableContents"/>
              <w:bidi w:val="0"/>
              <w:spacing w:before="0" w:after="283"/>
              <w:jc w:val="right"/>
              <w:rPr/>
            </w:pPr>
            <w:r>
              <w:rPr/>
              <w:t>—</w:t>
            </w:r>
          </w:p>
        </w:tc>
        <w:tc>
          <w:tcPr>
            <w:tcW w:w="181" w:type="dxa"/>
            <w:tcBorders/>
            <w:tcMar>
              <w:top w:w="0" w:type="dxa"/>
              <w:left w:w="0" w:type="dxa"/>
              <w:bottom w:w="0" w:type="dxa"/>
              <w:right w:w="0" w:type="dxa"/>
            </w:tcMar>
            <w:vAlign w:val="center"/>
          </w:tcPr>
          <w:p>
            <w:pPr>
              <w:pStyle w:val="TableContents"/>
              <w:bidi w:val="0"/>
              <w:spacing w:before="0" w:after="283"/>
              <w:jc w:val="left"/>
              <w:rPr/>
            </w:pPr>
            <w:r>
              <w:rPr/>
            </w:r>
          </w:p>
        </w:tc>
        <w:tc>
          <w:tcPr>
            <w:tcW w:w="109" w:type="dxa"/>
            <w:tcBorders/>
            <w:tcMar>
              <w:top w:w="0" w:type="dxa"/>
              <w:left w:w="0" w:type="dxa"/>
              <w:bottom w:w="0" w:type="dxa"/>
              <w:right w:w="0" w:type="dxa"/>
            </w:tcMar>
            <w:vAlign w:val="center"/>
          </w:tcPr>
          <w:p>
            <w:pPr>
              <w:pStyle w:val="TableContents"/>
              <w:bidi w:val="0"/>
              <w:spacing w:before="0" w:after="283"/>
              <w:jc w:val="left"/>
              <w:rPr/>
            </w:pPr>
            <w:r>
              <w:rPr/>
            </w:r>
          </w:p>
        </w:tc>
        <w:tc>
          <w:tcPr>
            <w:tcW w:w="383" w:type="dxa"/>
            <w:tcBorders/>
            <w:tcMar>
              <w:top w:w="0" w:type="dxa"/>
              <w:left w:w="0" w:type="dxa"/>
              <w:bottom w:w="0" w:type="dxa"/>
              <w:right w:w="0" w:type="dxa"/>
            </w:tcMar>
            <w:vAlign w:val="center"/>
          </w:tcPr>
          <w:p>
            <w:pPr>
              <w:pStyle w:val="TableContents"/>
              <w:bidi w:val="0"/>
              <w:spacing w:before="0" w:after="283"/>
              <w:jc w:val="left"/>
              <w:rPr/>
            </w:pPr>
            <w:r>
              <w:rPr/>
            </w:r>
          </w:p>
        </w:tc>
        <w:tc>
          <w:tcPr>
            <w:tcW w:w="818" w:type="dxa"/>
            <w:tcBorders/>
            <w:tcMar>
              <w:top w:w="0" w:type="dxa"/>
              <w:left w:w="0" w:type="dxa"/>
              <w:bottom w:w="0" w:type="dxa"/>
              <w:right w:w="0" w:type="dxa"/>
            </w:tcMar>
            <w:vAlign w:val="center"/>
          </w:tcPr>
          <w:p>
            <w:pPr>
              <w:pStyle w:val="TableContents"/>
              <w:bidi w:val="0"/>
              <w:spacing w:before="0" w:after="283"/>
              <w:jc w:val="right"/>
              <w:rPr/>
            </w:pPr>
            <w:r>
              <w:rPr/>
              <w:t>—</w:t>
            </w:r>
          </w:p>
        </w:tc>
        <w:tc>
          <w:tcPr>
            <w:tcW w:w="181" w:type="dxa"/>
            <w:tcBorders/>
            <w:tcMar>
              <w:top w:w="0" w:type="dxa"/>
              <w:left w:w="0" w:type="dxa"/>
              <w:bottom w:w="0" w:type="dxa"/>
              <w:right w:w="0" w:type="dxa"/>
            </w:tcMar>
            <w:vAlign w:val="center"/>
          </w:tcPr>
          <w:p>
            <w:pPr>
              <w:pStyle w:val="TableContents"/>
              <w:bidi w:val="0"/>
              <w:spacing w:before="0" w:after="283"/>
              <w:jc w:val="left"/>
              <w:rPr/>
            </w:pPr>
            <w:r>
              <w:rPr/>
            </w:r>
          </w:p>
        </w:tc>
        <w:tc>
          <w:tcPr>
            <w:tcW w:w="109" w:type="dxa"/>
            <w:tcBorders/>
            <w:tcMar>
              <w:top w:w="0" w:type="dxa"/>
              <w:left w:w="0" w:type="dxa"/>
              <w:bottom w:w="0" w:type="dxa"/>
              <w:right w:w="0" w:type="dxa"/>
            </w:tcMar>
            <w:vAlign w:val="center"/>
          </w:tcPr>
          <w:p>
            <w:pPr>
              <w:pStyle w:val="TableContents"/>
              <w:bidi w:val="0"/>
              <w:spacing w:before="0" w:after="283"/>
              <w:jc w:val="left"/>
              <w:rPr/>
            </w:pPr>
            <w:r>
              <w:rPr/>
            </w:r>
          </w:p>
        </w:tc>
        <w:tc>
          <w:tcPr>
            <w:tcW w:w="226" w:type="dxa"/>
            <w:tcBorders/>
            <w:tcMar>
              <w:top w:w="0" w:type="dxa"/>
              <w:left w:w="0" w:type="dxa"/>
              <w:bottom w:w="0" w:type="dxa"/>
              <w:right w:w="0" w:type="dxa"/>
            </w:tcMar>
            <w:vAlign w:val="center"/>
          </w:tcPr>
          <w:p>
            <w:pPr>
              <w:pStyle w:val="TableContents"/>
              <w:bidi w:val="0"/>
              <w:spacing w:before="0" w:after="283"/>
              <w:jc w:val="left"/>
              <w:rPr/>
            </w:pPr>
            <w:r>
              <w:rPr/>
            </w:r>
          </w:p>
        </w:tc>
        <w:tc>
          <w:tcPr>
            <w:tcW w:w="826" w:type="dxa"/>
            <w:tcBorders/>
            <w:tcMar>
              <w:top w:w="0" w:type="dxa"/>
              <w:left w:w="0" w:type="dxa"/>
              <w:bottom w:w="0" w:type="dxa"/>
              <w:right w:w="0" w:type="dxa"/>
            </w:tcMar>
            <w:vAlign w:val="center"/>
          </w:tcPr>
          <w:p>
            <w:pPr>
              <w:pStyle w:val="TableContents"/>
              <w:bidi w:val="0"/>
              <w:spacing w:before="0" w:after="283"/>
              <w:jc w:val="right"/>
              <w:rPr/>
            </w:pPr>
            <w:r>
              <w:rPr/>
              <w:t>(113.9</w:t>
            </w:r>
          </w:p>
        </w:tc>
        <w:tc>
          <w:tcPr>
            <w:tcW w:w="226" w:type="dxa"/>
            <w:tcBorders/>
            <w:tcMar>
              <w:top w:w="0" w:type="dxa"/>
              <w:left w:w="0" w:type="dxa"/>
              <w:bottom w:w="0" w:type="dxa"/>
              <w:right w:w="0" w:type="dxa"/>
            </w:tcMar>
            <w:vAlign w:val="center"/>
          </w:tcPr>
          <w:p>
            <w:pPr>
              <w:pStyle w:val="TableContents"/>
              <w:bidi w:val="0"/>
              <w:spacing w:before="0" w:after="283"/>
              <w:jc w:val="left"/>
              <w:rPr/>
            </w:pPr>
            <w:r>
              <w:rPr/>
              <w:t>)</w:t>
            </w:r>
          </w:p>
        </w:tc>
      </w:tr>
      <w:tr>
        <w:trPr/>
        <w:tc>
          <w:tcPr>
            <w:tcW w:w="3451" w:type="dxa"/>
            <w:tcBorders/>
            <w:shd w:fill="CCEEFF" w:val="clear"/>
            <w:vAlign w:val="center"/>
          </w:tcPr>
          <w:p>
            <w:pPr>
              <w:pStyle w:val="TableContents"/>
              <w:bidi w:val="0"/>
              <w:spacing w:before="0" w:after="283"/>
              <w:jc w:val="left"/>
              <w:rPr/>
            </w:pPr>
            <w:r>
              <w:rPr/>
              <w:t>Balance as of June 30, 2024</w:t>
            </w:r>
          </w:p>
        </w:tc>
        <w:tc>
          <w:tcPr>
            <w:tcW w:w="293" w:type="dxa"/>
            <w:tcBorders/>
            <w:shd w:fill="CCEEFF" w:val="clear"/>
            <w:tcMar>
              <w:top w:w="0" w:type="dxa"/>
              <w:left w:w="0" w:type="dxa"/>
              <w:bottom w:w="0" w:type="dxa"/>
              <w:right w:w="0" w:type="dxa"/>
            </w:tcM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1147" w:type="dxa"/>
            <w:tcBorders/>
            <w:shd w:fill="CCEEFF" w:val="clear"/>
            <w:tcMar>
              <w:top w:w="0" w:type="dxa"/>
              <w:left w:w="0" w:type="dxa"/>
              <w:bottom w:w="0" w:type="dxa"/>
              <w:right w:w="0" w:type="dxa"/>
            </w:tcMar>
            <w:vAlign w:val="center"/>
          </w:tcPr>
          <w:p>
            <w:pPr>
              <w:pStyle w:val="TableContents"/>
              <w:bidi w:val="0"/>
              <w:spacing w:before="0" w:after="283"/>
              <w:jc w:val="right"/>
              <w:rPr/>
            </w:pPr>
            <w:r>
              <w:rPr/>
              <w:t>1,737.3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pPr>
            <w:r>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pPr>
            <w:r>
              <w:rPr/>
            </w:r>
          </w:p>
        </w:tc>
        <w:tc>
          <w:tcPr>
            <w:tcW w:w="375" w:type="dxa"/>
            <w:tcBorders/>
            <w:shd w:fill="CCEEFF" w:val="clear"/>
            <w:tcMar>
              <w:top w:w="0" w:type="dxa"/>
              <w:left w:w="0" w:type="dxa"/>
              <w:bottom w:w="0" w:type="dxa"/>
              <w:right w:w="0" w:type="dxa"/>
            </w:tcM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1200" w:type="dxa"/>
            <w:tcBorders/>
            <w:shd w:fill="CCEEFF" w:val="clear"/>
            <w:tcMar>
              <w:top w:w="0" w:type="dxa"/>
              <w:left w:w="0" w:type="dxa"/>
              <w:bottom w:w="0" w:type="dxa"/>
              <w:right w:w="0" w:type="dxa"/>
            </w:tcMar>
            <w:vAlign w:val="center"/>
          </w:tcPr>
          <w:p>
            <w:pPr>
              <w:pStyle w:val="TableContents"/>
              <w:bidi w:val="0"/>
              <w:spacing w:before="0" w:after="283"/>
              <w:jc w:val="right"/>
              <w:rPr/>
            </w:pPr>
            <w:r>
              <w:rPr/>
              <w:t>(258.3</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pPr>
            <w:r>
              <w:rPr/>
            </w:r>
          </w:p>
        </w:tc>
        <w:tc>
          <w:tcPr>
            <w:tcW w:w="383" w:type="dxa"/>
            <w:tcBorders/>
            <w:shd w:fill="CCEEFF" w:val="clear"/>
            <w:tcMar>
              <w:top w:w="0" w:type="dxa"/>
              <w:left w:w="0" w:type="dxa"/>
              <w:bottom w:w="0" w:type="dxa"/>
              <w:right w:w="0" w:type="dxa"/>
            </w:tcM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818" w:type="dxa"/>
            <w:tcBorders/>
            <w:shd w:fill="CCEEFF" w:val="clear"/>
            <w:tcMar>
              <w:top w:w="0" w:type="dxa"/>
              <w:left w:w="0" w:type="dxa"/>
              <w:bottom w:w="0" w:type="dxa"/>
              <w:right w:w="0" w:type="dxa"/>
            </w:tcMar>
            <w:vAlign w:val="center"/>
          </w:tcPr>
          <w:p>
            <w:pPr>
              <w:pStyle w:val="TableContents"/>
              <w:bidi w:val="0"/>
              <w:spacing w:before="0" w:after="283"/>
              <w:jc w:val="right"/>
              <w:rPr/>
            </w:pPr>
            <w:r>
              <w:rPr/>
              <w:t>(0.1</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pPr>
            <w:r>
              <w:rPr/>
            </w:r>
          </w:p>
        </w:tc>
        <w:tc>
          <w:tcPr>
            <w:tcW w:w="226" w:type="dxa"/>
            <w:tcBorders/>
            <w:shd w:fill="CCEEFF" w:val="clear"/>
            <w:tcMar>
              <w:top w:w="0" w:type="dxa"/>
              <w:left w:w="0" w:type="dxa"/>
              <w:bottom w:w="0" w:type="dxa"/>
              <w:right w:w="0" w:type="dxa"/>
            </w:tcM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pPr>
            <w:r>
              <w:rPr/>
              <w:t>1,213.6</w:t>
            </w:r>
          </w:p>
        </w:tc>
        <w:tc>
          <w:tcPr>
            <w:tcW w:w="226" w:type="dxa"/>
            <w:tcBorders/>
            <w:shd w:fill="CCEEFF" w:val="clear"/>
            <w:vAlign w:val="center"/>
          </w:tcPr>
          <w:p>
            <w:pPr>
              <w:pStyle w:val="TableContents"/>
              <w:bidi w:val="0"/>
              <w:spacing w:before="0" w:after="283"/>
              <w:jc w:val="left"/>
              <w:rPr/>
            </w:pPr>
            <w:r>
              <w:rPr/>
            </w:r>
          </w:p>
        </w:tc>
      </w:tr>
    </w:tbl>
    <w:p>
      <w:pPr>
        <w:pStyle w:val="TextBody"/>
        <w:widowControl/>
        <w:bidi w:val="0"/>
        <w:spacing w:lineRule="auto" w:line="288" w:before="0" w:after="0"/>
        <w:jc w:val="left"/>
        <w:rPr>
          <w:caps w:val="false"/>
          <w:smallCaps w:val="false"/>
          <w:color w:val="000000"/>
          <w:spacing w:val="0"/>
        </w:rPr>
      </w:pPr>
      <w:r>
        <w:rPr>
          <w:caps w:val="false"/>
          <w:smallCaps w:val="false"/>
          <w:color w:val="000000"/>
          <w:spacing w:val="0"/>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widowControl/>
        <w:bidi w:val="0"/>
        <w:spacing w:lineRule="auto" w:line="288" w:before="0" w:after="0"/>
        <w:jc w:val="left"/>
        <w:rPr>
          <w:caps w:val="false"/>
          <w:smallCaps w:val="false"/>
          <w:color w:val="000000"/>
          <w:spacing w:val="0"/>
        </w:rPr>
      </w:pPr>
      <w:r>
        <w:rPr>
          <w:caps w:val="false"/>
          <w:smallCaps w:val="false"/>
          <w:color w:val="000000"/>
          <w:spacing w:val="0"/>
        </w:rPr>
        <w:t> </w:t>
      </w:r>
    </w:p>
    <w:p>
      <w:pPr>
        <w:pStyle w:val="TextBody"/>
        <w:widowControl/>
        <w:bidi w:val="0"/>
        <w:spacing w:lineRule="auto" w:line="288"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See accompanying notes to the unaudited consolidated financial statements.</w:t>
      </w:r>
    </w:p>
    <w:p>
      <w:pPr>
        <w:pStyle w:val="TextBody"/>
        <w:widowControl/>
        <w:bidi w:val="0"/>
        <w:spacing w:lineRule="auto" w:line="288" w:before="0" w:after="0"/>
        <w:ind w:left="0" w:right="0" w:hanging="0"/>
        <w:jc w:val="left"/>
        <w:rPr>
          <w:caps w:val="false"/>
          <w:smallCaps w:val="false"/>
          <w:color w:val="000000"/>
          <w:spacing w:val="0"/>
        </w:rPr>
      </w:pPr>
      <w:r>
        <w:rPr>
          <w:caps w:val="false"/>
          <w:smallCaps w:val="false"/>
          <w:color w:val="000000"/>
          <w:spacing w:val="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211" w:type="dxa"/>
        <w:jc w:val="left"/>
        <w:tblInd w:w="0" w:type="dxa"/>
        <w:tblLayout w:type="fixed"/>
        <w:tblCellMar>
          <w:top w:w="0" w:type="dxa"/>
          <w:left w:w="0" w:type="dxa"/>
          <w:bottom w:w="0" w:type="dxa"/>
          <w:right w:w="0" w:type="dxa"/>
        </w:tblCellMar>
      </w:tblPr>
      <w:tblGrid>
        <w:gridCol w:w="211"/>
      </w:tblGrid>
      <w:tr>
        <w:trPr/>
        <w:tc>
          <w:tcPr>
            <w:tcW w:w="211" w:type="dxa"/>
            <w:tcBorders/>
            <w:vAlign w:val="center"/>
          </w:tcPr>
          <w:p>
            <w:pPr>
              <w:pStyle w:val="TableContents"/>
              <w:bidi w:val="0"/>
              <w:spacing w:before="0" w:after="283"/>
              <w:jc w:val="center"/>
              <w:rPr>
                <w:sz w:val="20"/>
              </w:rPr>
            </w:pPr>
            <w:r>
              <w:rPr>
                <w:sz w:val="20"/>
              </w:rPr>
              <w:t>5</w:t>
            </w:r>
          </w:p>
        </w:tc>
      </w:tr>
    </w:tbl>
    <w:p>
      <w:pPr>
        <w:pStyle w:val="TextBody"/>
        <w:widowControl/>
        <w:bidi w:val="0"/>
        <w:spacing w:lineRule="atLeast" w:line="240"/>
        <w:jc w:val="left"/>
        <w:rPr>
          <w:caps w:val="false"/>
          <w:smallCaps w:val="false"/>
          <w:color w:val="000000"/>
          <w:spacing w:val="0"/>
        </w:rPr>
      </w:pPr>
      <w:r>
        <w:rPr>
          <w:caps w:val="false"/>
          <w:smallCaps w:val="false"/>
          <w:color w:val="000000"/>
          <w:spacing w:val="0"/>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widowControl/>
        <w:bidi w:val="0"/>
        <w:spacing w:lineRule="atLeast" w:line="240"/>
        <w:jc w:val="left"/>
        <w:rPr/>
      </w:pPr>
      <w:r>
        <w:rPr/>
      </w:r>
    </w:p>
    <w:p>
      <w:pPr>
        <w:pStyle w:val="TextBody"/>
        <w:widowControl/>
        <w:bidi w:val="0"/>
        <w:spacing w:lineRule="atLeast" w:line="240" w:before="0" w:after="0"/>
        <w:jc w:val="left"/>
        <w:rPr/>
      </w:pPr>
      <w:r>
        <w:rPr/>
      </w:r>
    </w:p>
    <w:p>
      <w:pPr>
        <w:pStyle w:val="TextBody"/>
        <w:widowControl/>
        <w:bidi w:val="0"/>
        <w:spacing w:before="0" w:after="0"/>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EURONET WORLDWIDE, INC. AND SUBSIDIARIES</w:t>
      </w:r>
    </w:p>
    <w:p>
      <w:pPr>
        <w:pStyle w:val="TextBody"/>
        <w:widowControl/>
        <w:bidi w:val="0"/>
        <w:spacing w:before="0" w:after="0"/>
        <w:ind w:left="0" w:right="0" w:hanging="0"/>
        <w:jc w:val="left"/>
        <w:rPr/>
      </w:pPr>
      <w:hyperlink r:id="rId5">
        <w:bookmarkStart w:id="43" w:name="BG_NTOBOJAMA800000000000000000000"/>
        <w:bookmarkEnd w:id="43"/>
        <w:r>
          <w:rPr>
            <w:rStyle w:val="InternetLink"/>
            <w:rFonts w:ascii="times new roman;times" w:hAnsi="times new roman;times"/>
            <w:b/>
            <w:i w:val="false"/>
            <w:caps w:val="false"/>
            <w:smallCaps w:val="false"/>
            <w:strike w:val="false"/>
            <w:dstrike w:val="false"/>
            <w:color w:val="000000"/>
            <w:spacing w:val="0"/>
            <w:sz w:val="20"/>
            <w:u w:val="none"/>
            <w:effect w:val="none"/>
          </w:rPr>
          <w:t>CONSOLIDATED STATEMENTS OF CASH FLOWS</w:t>
        </w:r>
      </w:hyperlink>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times" w:hAnsi="times new roman;times"/>
          <w:b/>
          <w:i w:val="false"/>
          <w:caps w:val="false"/>
          <w:smallCaps w:val="false"/>
          <w:color w:val="000000"/>
          <w:spacing w:val="0"/>
          <w:sz w:val="20"/>
        </w:rPr>
        <w:t>(Unaudited, in millions)</w:t>
      </w:r>
      <w:r>
        <w:rPr>
          <w:rFonts w:ascii="Times New Roman" w:hAnsi="Times New Roman"/>
          <w:b w:val="false"/>
          <w:i w:val="false"/>
          <w:caps w:val="false"/>
          <w:smallCaps w:val="false"/>
          <w:color w:val="000000"/>
          <w:spacing w:val="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9523" w:type="dxa"/>
        <w:jc w:val="left"/>
        <w:tblInd w:w="0" w:type="dxa"/>
        <w:tblLayout w:type="fixed"/>
        <w:tblCellMar>
          <w:top w:w="0" w:type="dxa"/>
          <w:left w:w="0" w:type="dxa"/>
          <w:bottom w:w="0" w:type="dxa"/>
          <w:right w:w="0" w:type="dxa"/>
        </w:tblCellMar>
      </w:tblPr>
      <w:tblGrid>
        <w:gridCol w:w="7430"/>
        <w:gridCol w:w="148"/>
        <w:gridCol w:w="752"/>
        <w:gridCol w:w="112"/>
        <w:gridCol w:w="71"/>
        <w:gridCol w:w="148"/>
        <w:gridCol w:w="752"/>
        <w:gridCol w:w="110"/>
      </w:tblGrid>
      <w:tr>
        <w:trPr/>
        <w:tc>
          <w:tcPr>
            <w:tcW w:w="743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r>
      <w:tr>
        <w:trPr/>
        <w:tc>
          <w:tcPr>
            <w:tcW w:w="7430" w:type="dxa"/>
            <w:tcBorders/>
            <w:vAlign w:val="center"/>
          </w:tcPr>
          <w:p>
            <w:pPr>
              <w:pStyle w:val="TableContents"/>
              <w:bidi w:val="0"/>
              <w:spacing w:before="0" w:after="0"/>
              <w:jc w:val="left"/>
              <w:rPr/>
            </w:pPr>
            <w:r>
              <w:rPr/>
              <w:t> </w:t>
            </w:r>
          </w:p>
        </w:tc>
        <w:tc>
          <w:tcPr>
            <w:tcW w:w="1983" w:type="dxa"/>
            <w:gridSpan w:val="6"/>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Six Months Ended June 30,</w:t>
            </w:r>
          </w:p>
        </w:tc>
        <w:tc>
          <w:tcPr>
            <w:tcW w:w="110" w:type="dxa"/>
            <w:tcBorders/>
            <w:vAlign w:val="center"/>
          </w:tcPr>
          <w:p>
            <w:pPr>
              <w:pStyle w:val="TableContents"/>
              <w:bidi w:val="0"/>
              <w:spacing w:before="0" w:after="0"/>
              <w:ind w:left="0" w:right="0" w:hanging="0"/>
              <w:jc w:val="center"/>
              <w:rPr>
                <w:sz w:val="16"/>
              </w:rPr>
            </w:pPr>
            <w:r>
              <w:rPr>
                <w:sz w:val="16"/>
              </w:rPr>
            </w:r>
          </w:p>
        </w:tc>
      </w:tr>
      <w:tr>
        <w:trPr/>
        <w:tc>
          <w:tcPr>
            <w:tcW w:w="7430" w:type="dxa"/>
            <w:tcBorders/>
            <w:vAlign w:val="center"/>
          </w:tcPr>
          <w:p>
            <w:pPr>
              <w:pStyle w:val="TableContents"/>
              <w:bidi w:val="0"/>
              <w:spacing w:before="0" w:after="0"/>
              <w:ind w:left="0" w:right="0" w:hanging="0"/>
              <w:jc w:val="left"/>
              <w:rPr>
                <w:sz w:val="16"/>
              </w:rPr>
            </w:pPr>
            <w:r>
              <w:rPr>
                <w:sz w:val="16"/>
              </w:rPr>
            </w:r>
          </w:p>
        </w:tc>
        <w:tc>
          <w:tcPr>
            <w:tcW w:w="900" w:type="dxa"/>
            <w:gridSpan w:val="2"/>
            <w:tcBorders/>
            <w:vAlign w:val="center"/>
          </w:tcPr>
          <w:p>
            <w:pPr>
              <w:pStyle w:val="TableContents"/>
              <w:bidi w:val="0"/>
              <w:spacing w:before="0" w:after="0"/>
              <w:ind w:left="0" w:right="0" w:hanging="0"/>
              <w:jc w:val="center"/>
              <w:rPr>
                <w:rFonts w:ascii="times new roman;times" w:hAnsi="times new roman;times"/>
                <w:b/>
                <w:sz w:val="16"/>
              </w:rPr>
            </w:pPr>
            <w:r>
              <w:rPr>
                <w:rFonts w:ascii="times new roman;times" w:hAnsi="times new roman;times"/>
                <w:b/>
                <w:sz w:val="16"/>
              </w:rPr>
              <w:t>2024</w:t>
            </w:r>
          </w:p>
        </w:tc>
        <w:tc>
          <w:tcPr>
            <w:tcW w:w="112" w:type="dxa"/>
            <w:tcBorders/>
            <w:vAlign w:val="center"/>
          </w:tcPr>
          <w:p>
            <w:pPr>
              <w:pStyle w:val="TableContents"/>
              <w:bidi w:val="0"/>
              <w:spacing w:before="0" w:after="283"/>
              <w:ind w:left="0" w:right="0" w:hanging="0"/>
              <w:jc w:val="left"/>
              <w:rPr>
                <w:sz w:val="4"/>
                <w:szCs w:val="4"/>
              </w:rPr>
            </w:pPr>
            <w:r>
              <w:rPr>
                <w:sz w:val="4"/>
                <w:szCs w:val="4"/>
              </w:rPr>
            </w:r>
          </w:p>
        </w:tc>
        <w:tc>
          <w:tcPr>
            <w:tcW w:w="71" w:type="dxa"/>
            <w:tcBorders/>
            <w:vAlign w:val="center"/>
          </w:tcPr>
          <w:p>
            <w:pPr>
              <w:pStyle w:val="TableContents"/>
              <w:bidi w:val="0"/>
              <w:spacing w:before="0" w:after="283"/>
              <w:ind w:left="0" w:right="0" w:hanging="0"/>
              <w:jc w:val="left"/>
              <w:rPr>
                <w:sz w:val="4"/>
                <w:szCs w:val="4"/>
              </w:rPr>
            </w:pPr>
            <w:r>
              <w:rPr>
                <w:sz w:val="4"/>
                <w:szCs w:val="4"/>
              </w:rPr>
            </w:r>
          </w:p>
        </w:tc>
        <w:tc>
          <w:tcPr>
            <w:tcW w:w="900" w:type="dxa"/>
            <w:gridSpan w:val="2"/>
            <w:tcBorders/>
            <w:vAlign w:val="center"/>
          </w:tcPr>
          <w:p>
            <w:pPr>
              <w:pStyle w:val="TableContents"/>
              <w:bidi w:val="0"/>
              <w:spacing w:before="0" w:after="0"/>
              <w:ind w:left="0" w:right="0" w:hanging="0"/>
              <w:jc w:val="center"/>
              <w:rPr>
                <w:rFonts w:ascii="times new roman;times" w:hAnsi="times new roman;times"/>
                <w:b/>
                <w:sz w:val="16"/>
              </w:rPr>
            </w:pPr>
            <w:r>
              <w:rPr>
                <w:rFonts w:ascii="times new roman;times" w:hAnsi="times new roman;times"/>
                <w:b/>
                <w:sz w:val="16"/>
              </w:rPr>
              <w:t>2023</w:t>
            </w:r>
          </w:p>
        </w:tc>
        <w:tc>
          <w:tcPr>
            <w:tcW w:w="110" w:type="dxa"/>
            <w:tcBorders/>
            <w:vAlign w:val="center"/>
          </w:tcPr>
          <w:p>
            <w:pPr>
              <w:pStyle w:val="TableContents"/>
              <w:bidi w:val="0"/>
              <w:spacing w:before="0" w:after="0"/>
              <w:ind w:left="0" w:right="0" w:hanging="0"/>
              <w:jc w:val="center"/>
              <w:rPr>
                <w:sz w:val="16"/>
              </w:rPr>
            </w:pPr>
            <w:r>
              <w:rPr>
                <w:sz w:val="16"/>
              </w:rPr>
            </w:r>
          </w:p>
        </w:tc>
      </w:tr>
      <w:tr>
        <w:trPr/>
        <w:tc>
          <w:tcPr>
            <w:tcW w:w="7430"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Net income</w:t>
            </w:r>
          </w:p>
        </w:tc>
        <w:tc>
          <w:tcPr>
            <w:tcW w:w="148"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752"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109.4</w:t>
            </w:r>
          </w:p>
        </w:tc>
        <w:tc>
          <w:tcPr>
            <w:tcW w:w="112" w:type="dxa"/>
            <w:tcBorders/>
            <w:shd w:fill="CCEEFF" w:val="clear"/>
            <w:vAlign w:val="center"/>
          </w:tcPr>
          <w:p>
            <w:pPr>
              <w:pStyle w:val="TableContents"/>
              <w:bidi w:val="0"/>
              <w:spacing w:before="0" w:after="283"/>
              <w:jc w:val="left"/>
              <w:rPr>
                <w:sz w:val="4"/>
                <w:szCs w:val="4"/>
              </w:rPr>
            </w:pPr>
            <w:r>
              <w:rPr>
                <w:sz w:val="4"/>
                <w:szCs w:val="4"/>
              </w:rPr>
            </w:r>
          </w:p>
        </w:tc>
        <w:tc>
          <w:tcPr>
            <w:tcW w:w="71" w:type="dxa"/>
            <w:tcBorders/>
            <w:shd w:fill="CCEEFF" w:val="clear"/>
            <w:vAlign w:val="center"/>
          </w:tcPr>
          <w:p>
            <w:pPr>
              <w:pStyle w:val="TableContents"/>
              <w:bidi w:val="0"/>
              <w:spacing w:before="0" w:after="0"/>
              <w:jc w:val="left"/>
              <w:rPr/>
            </w:pPr>
            <w:r>
              <w:rPr/>
              <w:t> </w:t>
            </w:r>
          </w:p>
        </w:tc>
        <w:tc>
          <w:tcPr>
            <w:tcW w:w="148"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752"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105.8</w:t>
            </w:r>
          </w:p>
        </w:tc>
        <w:tc>
          <w:tcPr>
            <w:tcW w:w="110" w:type="dxa"/>
            <w:tcBorders/>
            <w:shd w:fill="CCEEFF" w:val="clear"/>
            <w:vAlign w:val="center"/>
          </w:tcPr>
          <w:p>
            <w:pPr>
              <w:pStyle w:val="TableContents"/>
              <w:bidi w:val="0"/>
              <w:spacing w:before="0" w:after="283"/>
              <w:jc w:val="left"/>
              <w:rPr>
                <w:sz w:val="4"/>
                <w:szCs w:val="4"/>
              </w:rPr>
            </w:pPr>
            <w:r>
              <w:rPr>
                <w:sz w:val="4"/>
                <w:szCs w:val="4"/>
              </w:rPr>
            </w:r>
          </w:p>
        </w:tc>
      </w:tr>
      <w:tr>
        <w:trPr/>
        <w:tc>
          <w:tcPr>
            <w:tcW w:w="7430"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Adjustments to reconcile net income to net cash provided by operating activities: </w:t>
            </w:r>
          </w:p>
        </w:tc>
        <w:tc>
          <w:tcPr>
            <w:tcW w:w="1012" w:type="dxa"/>
            <w:gridSpan w:val="3"/>
            <w:tcBorders/>
            <w:vAlign w:val="center"/>
          </w:tcPr>
          <w:p>
            <w:pPr>
              <w:pStyle w:val="TableContents"/>
              <w:bidi w:val="0"/>
              <w:spacing w:before="0" w:after="0"/>
              <w:jc w:val="left"/>
              <w:rPr/>
            </w:pPr>
            <w:r>
              <w:rPr/>
              <w:t> </w:t>
            </w:r>
          </w:p>
        </w:tc>
        <w:tc>
          <w:tcPr>
            <w:tcW w:w="71" w:type="dxa"/>
            <w:tcBorders/>
            <w:vAlign w:val="center"/>
          </w:tcPr>
          <w:p>
            <w:pPr>
              <w:pStyle w:val="TableContents"/>
              <w:bidi w:val="0"/>
              <w:spacing w:before="0" w:after="0"/>
              <w:jc w:val="left"/>
              <w:rPr/>
            </w:pPr>
            <w:r>
              <w:rPr/>
              <w:t> </w:t>
            </w:r>
          </w:p>
        </w:tc>
        <w:tc>
          <w:tcPr>
            <w:tcW w:w="1010" w:type="dxa"/>
            <w:gridSpan w:val="3"/>
            <w:tcBorders/>
            <w:vAlign w:val="center"/>
          </w:tcPr>
          <w:p>
            <w:pPr>
              <w:pStyle w:val="TableContents"/>
              <w:bidi w:val="0"/>
              <w:spacing w:before="0" w:after="0"/>
              <w:jc w:val="left"/>
              <w:rPr/>
            </w:pPr>
            <w:r>
              <w:rPr/>
              <w:t> </w:t>
            </w:r>
          </w:p>
        </w:tc>
      </w:tr>
      <w:tr>
        <w:trPr/>
        <w:tc>
          <w:tcPr>
            <w:tcW w:w="7430"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Depreciation and amortization</w:t>
            </w:r>
          </w:p>
        </w:tc>
        <w:tc>
          <w:tcPr>
            <w:tcW w:w="900"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66.4</w:t>
            </w:r>
          </w:p>
        </w:tc>
        <w:tc>
          <w:tcPr>
            <w:tcW w:w="112" w:type="dxa"/>
            <w:tcBorders/>
            <w:shd w:fill="CCEEFF" w:val="clear"/>
            <w:vAlign w:val="center"/>
          </w:tcPr>
          <w:p>
            <w:pPr>
              <w:pStyle w:val="TableContents"/>
              <w:bidi w:val="0"/>
              <w:spacing w:before="0" w:after="283"/>
              <w:jc w:val="left"/>
              <w:rPr>
                <w:sz w:val="4"/>
                <w:szCs w:val="4"/>
              </w:rPr>
            </w:pPr>
            <w:r>
              <w:rPr>
                <w:sz w:val="4"/>
                <w:szCs w:val="4"/>
              </w:rPr>
            </w:r>
          </w:p>
        </w:tc>
        <w:tc>
          <w:tcPr>
            <w:tcW w:w="71" w:type="dxa"/>
            <w:tcBorders/>
            <w:shd w:fill="CCEEFF" w:val="clear"/>
            <w:vAlign w:val="center"/>
          </w:tcPr>
          <w:p>
            <w:pPr>
              <w:pStyle w:val="TableContents"/>
              <w:bidi w:val="0"/>
              <w:spacing w:before="0" w:after="0"/>
              <w:jc w:val="left"/>
              <w:rPr/>
            </w:pPr>
            <w:r>
              <w:rPr/>
              <w:t> </w:t>
            </w:r>
          </w:p>
        </w:tc>
        <w:tc>
          <w:tcPr>
            <w:tcW w:w="900"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66.6</w:t>
            </w:r>
          </w:p>
        </w:tc>
        <w:tc>
          <w:tcPr>
            <w:tcW w:w="110" w:type="dxa"/>
            <w:tcBorders/>
            <w:shd w:fill="CCEEFF" w:val="clear"/>
            <w:vAlign w:val="center"/>
          </w:tcPr>
          <w:p>
            <w:pPr>
              <w:pStyle w:val="TableContents"/>
              <w:bidi w:val="0"/>
              <w:spacing w:before="0" w:after="283"/>
              <w:jc w:val="left"/>
              <w:rPr>
                <w:sz w:val="4"/>
                <w:szCs w:val="4"/>
              </w:rPr>
            </w:pPr>
            <w:r>
              <w:rPr>
                <w:sz w:val="4"/>
                <w:szCs w:val="4"/>
              </w:rPr>
            </w:r>
          </w:p>
        </w:tc>
      </w:tr>
      <w:tr>
        <w:trPr/>
        <w:tc>
          <w:tcPr>
            <w:tcW w:w="7430"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Share-based compensation</w:t>
            </w:r>
          </w:p>
        </w:tc>
        <w:tc>
          <w:tcPr>
            <w:tcW w:w="900"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22.7</w:t>
            </w:r>
          </w:p>
        </w:tc>
        <w:tc>
          <w:tcPr>
            <w:tcW w:w="112"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0"/>
              <w:jc w:val="left"/>
              <w:rPr/>
            </w:pPr>
            <w:r>
              <w:rPr/>
              <w:t> </w:t>
            </w:r>
          </w:p>
        </w:tc>
        <w:tc>
          <w:tcPr>
            <w:tcW w:w="900"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26.8</w:t>
            </w:r>
          </w:p>
        </w:tc>
        <w:tc>
          <w:tcPr>
            <w:tcW w:w="110" w:type="dxa"/>
            <w:tcBorders/>
            <w:vAlign w:val="center"/>
          </w:tcPr>
          <w:p>
            <w:pPr>
              <w:pStyle w:val="TableContents"/>
              <w:bidi w:val="0"/>
              <w:spacing w:before="0" w:after="283"/>
              <w:jc w:val="left"/>
              <w:rPr>
                <w:sz w:val="4"/>
                <w:szCs w:val="4"/>
              </w:rPr>
            </w:pPr>
            <w:r>
              <w:rPr>
                <w:sz w:val="4"/>
                <w:szCs w:val="4"/>
              </w:rPr>
            </w:r>
          </w:p>
        </w:tc>
      </w:tr>
      <w:tr>
        <w:trPr/>
        <w:tc>
          <w:tcPr>
            <w:tcW w:w="7430"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Unrealized foreign exchange loss, net</w:t>
            </w:r>
          </w:p>
        </w:tc>
        <w:tc>
          <w:tcPr>
            <w:tcW w:w="900"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11.0</w:t>
            </w:r>
          </w:p>
        </w:tc>
        <w:tc>
          <w:tcPr>
            <w:tcW w:w="112" w:type="dxa"/>
            <w:tcBorders/>
            <w:shd w:fill="CCEEFF" w:val="clear"/>
            <w:vAlign w:val="center"/>
          </w:tcPr>
          <w:p>
            <w:pPr>
              <w:pStyle w:val="TableContents"/>
              <w:bidi w:val="0"/>
              <w:spacing w:before="0" w:after="283"/>
              <w:jc w:val="left"/>
              <w:rPr>
                <w:sz w:val="4"/>
                <w:szCs w:val="4"/>
              </w:rPr>
            </w:pPr>
            <w:r>
              <w:rPr>
                <w:sz w:val="4"/>
                <w:szCs w:val="4"/>
              </w:rPr>
            </w:r>
          </w:p>
        </w:tc>
        <w:tc>
          <w:tcPr>
            <w:tcW w:w="71" w:type="dxa"/>
            <w:tcBorders/>
            <w:shd w:fill="CCEEFF" w:val="clear"/>
            <w:vAlign w:val="center"/>
          </w:tcPr>
          <w:p>
            <w:pPr>
              <w:pStyle w:val="TableContents"/>
              <w:bidi w:val="0"/>
              <w:spacing w:before="0" w:after="0"/>
              <w:jc w:val="left"/>
              <w:rPr/>
            </w:pPr>
            <w:r>
              <w:rPr/>
              <w:t> </w:t>
            </w:r>
          </w:p>
        </w:tc>
        <w:tc>
          <w:tcPr>
            <w:tcW w:w="900"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(5.2</w:t>
            </w:r>
          </w:p>
        </w:tc>
        <w:tc>
          <w:tcPr>
            <w:tcW w:w="110" w:type="dxa"/>
            <w:tcBorders/>
            <w:shd w:fill="CCEEFF" w:val="clear"/>
            <w:vAlign w:val="center"/>
          </w:tcPr>
          <w:p>
            <w:pPr>
              <w:pStyle w:val="TableContents"/>
              <w:bidi w:val="0"/>
              <w:spacing w:before="0" w:after="283"/>
              <w:jc w:val="left"/>
              <w:rPr/>
            </w:pPr>
            <w:r>
              <w:rPr/>
              <w:t>)</w:t>
            </w:r>
          </w:p>
        </w:tc>
      </w:tr>
      <w:tr>
        <w:trPr/>
        <w:tc>
          <w:tcPr>
            <w:tcW w:w="7430"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Deferred income taxes</w:t>
            </w:r>
          </w:p>
        </w:tc>
        <w:tc>
          <w:tcPr>
            <w:tcW w:w="900"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6.9</w:t>
            </w:r>
          </w:p>
        </w:tc>
        <w:tc>
          <w:tcPr>
            <w:tcW w:w="112"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0"/>
              <w:jc w:val="left"/>
              <w:rPr/>
            </w:pPr>
            <w:r>
              <w:rPr/>
              <w:t> </w:t>
            </w:r>
          </w:p>
        </w:tc>
        <w:tc>
          <w:tcPr>
            <w:tcW w:w="900"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(2.3</w:t>
            </w:r>
          </w:p>
        </w:tc>
        <w:tc>
          <w:tcPr>
            <w:tcW w:w="110" w:type="dxa"/>
            <w:tcBorders/>
            <w:vAlign w:val="center"/>
          </w:tcPr>
          <w:p>
            <w:pPr>
              <w:pStyle w:val="TableContents"/>
              <w:bidi w:val="0"/>
              <w:spacing w:before="0" w:after="283"/>
              <w:jc w:val="left"/>
              <w:rPr/>
            </w:pPr>
            <w:r>
              <w:rPr/>
              <w:t>)</w:t>
            </w:r>
          </w:p>
        </w:tc>
      </w:tr>
      <w:tr>
        <w:trPr/>
        <w:tc>
          <w:tcPr>
            <w:tcW w:w="7430"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Amortization of debt issuance costs</w:t>
            </w:r>
          </w:p>
        </w:tc>
        <w:tc>
          <w:tcPr>
            <w:tcW w:w="900"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2.0</w:t>
            </w:r>
          </w:p>
        </w:tc>
        <w:tc>
          <w:tcPr>
            <w:tcW w:w="112" w:type="dxa"/>
            <w:tcBorders/>
            <w:shd w:fill="CCEEFF" w:val="clear"/>
            <w:vAlign w:val="center"/>
          </w:tcPr>
          <w:p>
            <w:pPr>
              <w:pStyle w:val="TableContents"/>
              <w:bidi w:val="0"/>
              <w:spacing w:before="0" w:after="283"/>
              <w:jc w:val="left"/>
              <w:rPr>
                <w:sz w:val="4"/>
                <w:szCs w:val="4"/>
              </w:rPr>
            </w:pPr>
            <w:r>
              <w:rPr>
                <w:sz w:val="4"/>
                <w:szCs w:val="4"/>
              </w:rPr>
            </w:r>
          </w:p>
        </w:tc>
        <w:tc>
          <w:tcPr>
            <w:tcW w:w="71" w:type="dxa"/>
            <w:tcBorders/>
            <w:shd w:fill="CCEEFF" w:val="clear"/>
            <w:vAlign w:val="center"/>
          </w:tcPr>
          <w:p>
            <w:pPr>
              <w:pStyle w:val="TableContents"/>
              <w:bidi w:val="0"/>
              <w:spacing w:before="0" w:after="0"/>
              <w:jc w:val="left"/>
              <w:rPr/>
            </w:pPr>
            <w:r>
              <w:rPr/>
              <w:t> </w:t>
            </w:r>
          </w:p>
        </w:tc>
        <w:tc>
          <w:tcPr>
            <w:tcW w:w="900"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2.0</w:t>
            </w:r>
          </w:p>
        </w:tc>
        <w:tc>
          <w:tcPr>
            <w:tcW w:w="110" w:type="dxa"/>
            <w:tcBorders/>
            <w:shd w:fill="CCEEFF" w:val="clear"/>
            <w:vAlign w:val="center"/>
          </w:tcPr>
          <w:p>
            <w:pPr>
              <w:pStyle w:val="TableContents"/>
              <w:bidi w:val="0"/>
              <w:spacing w:before="0" w:after="283"/>
              <w:jc w:val="left"/>
              <w:rPr>
                <w:sz w:val="4"/>
                <w:szCs w:val="4"/>
              </w:rPr>
            </w:pPr>
            <w:r>
              <w:rPr>
                <w:sz w:val="4"/>
                <w:szCs w:val="4"/>
              </w:rPr>
            </w:r>
          </w:p>
        </w:tc>
      </w:tr>
      <w:tr>
        <w:trPr/>
        <w:tc>
          <w:tcPr>
            <w:tcW w:w="7430"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Changes in working capital, net of amounts acquired:</w:t>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0"/>
              <w:jc w:val="left"/>
              <w:rPr/>
            </w:pPr>
            <w:r>
              <w:rPr/>
              <w:t> </w:t>
            </w:r>
          </w:p>
        </w:tc>
        <w:tc>
          <w:tcPr>
            <w:tcW w:w="1010" w:type="dxa"/>
            <w:gridSpan w:val="3"/>
            <w:tcBorders/>
            <w:vAlign w:val="center"/>
          </w:tcPr>
          <w:p>
            <w:pPr>
              <w:pStyle w:val="TableContents"/>
              <w:bidi w:val="0"/>
              <w:spacing w:before="0" w:after="283"/>
              <w:jc w:val="left"/>
              <w:rPr>
                <w:sz w:val="4"/>
                <w:szCs w:val="4"/>
              </w:rPr>
            </w:pPr>
            <w:r>
              <w:rPr>
                <w:sz w:val="4"/>
                <w:szCs w:val="4"/>
              </w:rPr>
            </w:r>
          </w:p>
        </w:tc>
      </w:tr>
      <w:tr>
        <w:trPr/>
        <w:tc>
          <w:tcPr>
            <w:tcW w:w="7430"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Income taxes payable, net</w:t>
            </w:r>
          </w:p>
        </w:tc>
        <w:tc>
          <w:tcPr>
            <w:tcW w:w="900"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0.5</w:t>
            </w:r>
          </w:p>
        </w:tc>
        <w:tc>
          <w:tcPr>
            <w:tcW w:w="112" w:type="dxa"/>
            <w:tcBorders/>
            <w:shd w:fill="CCEEFF" w:val="clear"/>
            <w:vAlign w:val="center"/>
          </w:tcPr>
          <w:p>
            <w:pPr>
              <w:pStyle w:val="TableContents"/>
              <w:bidi w:val="0"/>
              <w:spacing w:before="0" w:after="283"/>
              <w:jc w:val="left"/>
              <w:rPr>
                <w:sz w:val="4"/>
                <w:szCs w:val="4"/>
              </w:rPr>
            </w:pPr>
            <w:r>
              <w:rPr>
                <w:sz w:val="4"/>
                <w:szCs w:val="4"/>
              </w:rPr>
            </w:r>
          </w:p>
        </w:tc>
        <w:tc>
          <w:tcPr>
            <w:tcW w:w="71" w:type="dxa"/>
            <w:tcBorders/>
            <w:shd w:fill="CCEEFF" w:val="clear"/>
            <w:vAlign w:val="center"/>
          </w:tcPr>
          <w:p>
            <w:pPr>
              <w:pStyle w:val="TableContents"/>
              <w:bidi w:val="0"/>
              <w:spacing w:before="0" w:after="0"/>
              <w:jc w:val="left"/>
              <w:rPr/>
            </w:pPr>
            <w:r>
              <w:rPr/>
              <w:t> </w:t>
            </w:r>
          </w:p>
        </w:tc>
        <w:tc>
          <w:tcPr>
            <w:tcW w:w="900"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13.6</w:t>
            </w:r>
          </w:p>
        </w:tc>
        <w:tc>
          <w:tcPr>
            <w:tcW w:w="110" w:type="dxa"/>
            <w:tcBorders/>
            <w:shd w:fill="CCEEFF" w:val="clear"/>
            <w:vAlign w:val="center"/>
          </w:tcPr>
          <w:p>
            <w:pPr>
              <w:pStyle w:val="TableContents"/>
              <w:bidi w:val="0"/>
              <w:spacing w:before="0" w:after="283"/>
              <w:jc w:val="left"/>
              <w:rPr>
                <w:sz w:val="4"/>
                <w:szCs w:val="4"/>
              </w:rPr>
            </w:pPr>
            <w:r>
              <w:rPr>
                <w:sz w:val="4"/>
                <w:szCs w:val="4"/>
              </w:rPr>
            </w:r>
          </w:p>
        </w:tc>
      </w:tr>
      <w:tr>
        <w:trPr/>
        <w:tc>
          <w:tcPr>
            <w:tcW w:w="7430"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Trade accounts receivable, including amounts in settlement assets</w:t>
            </w:r>
          </w:p>
        </w:tc>
        <w:tc>
          <w:tcPr>
            <w:tcW w:w="900"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56.7</w:t>
            </w:r>
          </w:p>
        </w:tc>
        <w:tc>
          <w:tcPr>
            <w:tcW w:w="112"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0"/>
              <w:jc w:val="left"/>
              <w:rPr/>
            </w:pPr>
            <w:r>
              <w:rPr/>
              <w:t> </w:t>
            </w:r>
          </w:p>
        </w:tc>
        <w:tc>
          <w:tcPr>
            <w:tcW w:w="900"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367.3</w:t>
            </w:r>
          </w:p>
        </w:tc>
        <w:tc>
          <w:tcPr>
            <w:tcW w:w="110" w:type="dxa"/>
            <w:tcBorders/>
            <w:vAlign w:val="center"/>
          </w:tcPr>
          <w:p>
            <w:pPr>
              <w:pStyle w:val="TableContents"/>
              <w:bidi w:val="0"/>
              <w:spacing w:before="0" w:after="283"/>
              <w:jc w:val="left"/>
              <w:rPr>
                <w:sz w:val="4"/>
                <w:szCs w:val="4"/>
              </w:rPr>
            </w:pPr>
            <w:r>
              <w:rPr>
                <w:sz w:val="4"/>
                <w:szCs w:val="4"/>
              </w:rPr>
            </w:r>
          </w:p>
        </w:tc>
      </w:tr>
      <w:tr>
        <w:trPr/>
        <w:tc>
          <w:tcPr>
            <w:tcW w:w="7430"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Prepaid expenses and other current assets, including amounts in settlement assets</w:t>
            </w:r>
          </w:p>
        </w:tc>
        <w:tc>
          <w:tcPr>
            <w:tcW w:w="900"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112.8</w:t>
            </w:r>
          </w:p>
        </w:tc>
        <w:tc>
          <w:tcPr>
            <w:tcW w:w="112" w:type="dxa"/>
            <w:tcBorders/>
            <w:shd w:fill="CCEEFF" w:val="clear"/>
            <w:vAlign w:val="center"/>
          </w:tcPr>
          <w:p>
            <w:pPr>
              <w:pStyle w:val="TableContents"/>
              <w:bidi w:val="0"/>
              <w:spacing w:before="0" w:after="283"/>
              <w:jc w:val="left"/>
              <w:rPr>
                <w:sz w:val="4"/>
                <w:szCs w:val="4"/>
              </w:rPr>
            </w:pPr>
            <w:r>
              <w:rPr>
                <w:sz w:val="4"/>
                <w:szCs w:val="4"/>
              </w:rPr>
            </w:r>
          </w:p>
        </w:tc>
        <w:tc>
          <w:tcPr>
            <w:tcW w:w="71" w:type="dxa"/>
            <w:tcBorders/>
            <w:shd w:fill="CCEEFF" w:val="clear"/>
            <w:vAlign w:val="center"/>
          </w:tcPr>
          <w:p>
            <w:pPr>
              <w:pStyle w:val="TableContents"/>
              <w:bidi w:val="0"/>
              <w:spacing w:before="0" w:after="0"/>
              <w:jc w:val="left"/>
              <w:rPr/>
            </w:pPr>
            <w:r>
              <w:rPr/>
              <w:t> </w:t>
            </w:r>
          </w:p>
        </w:tc>
        <w:tc>
          <w:tcPr>
            <w:tcW w:w="900"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17.2</w:t>
            </w:r>
          </w:p>
        </w:tc>
        <w:tc>
          <w:tcPr>
            <w:tcW w:w="110" w:type="dxa"/>
            <w:tcBorders/>
            <w:shd w:fill="CCEEFF" w:val="clear"/>
            <w:vAlign w:val="center"/>
          </w:tcPr>
          <w:p>
            <w:pPr>
              <w:pStyle w:val="TableContents"/>
              <w:bidi w:val="0"/>
              <w:spacing w:before="0" w:after="283"/>
              <w:jc w:val="left"/>
              <w:rPr>
                <w:sz w:val="4"/>
                <w:szCs w:val="4"/>
              </w:rPr>
            </w:pPr>
            <w:r>
              <w:rPr>
                <w:sz w:val="4"/>
                <w:szCs w:val="4"/>
              </w:rPr>
            </w:r>
          </w:p>
        </w:tc>
      </w:tr>
      <w:tr>
        <w:trPr/>
        <w:tc>
          <w:tcPr>
            <w:tcW w:w="7430"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Trade accounts payable, including amounts in settlement obligations</w:t>
            </w:r>
          </w:p>
        </w:tc>
        <w:tc>
          <w:tcPr>
            <w:tcW w:w="900"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(121.9</w:t>
            </w:r>
          </w:p>
        </w:tc>
        <w:tc>
          <w:tcPr>
            <w:tcW w:w="112" w:type="dxa"/>
            <w:tcBorders/>
            <w:vAlign w:val="center"/>
          </w:tcPr>
          <w:p>
            <w:pPr>
              <w:pStyle w:val="TableContents"/>
              <w:bidi w:val="0"/>
              <w:spacing w:before="0" w:after="283"/>
              <w:jc w:val="left"/>
              <w:rPr/>
            </w:pPr>
            <w:r>
              <w:rPr/>
              <w:t>)</w:t>
            </w:r>
          </w:p>
        </w:tc>
        <w:tc>
          <w:tcPr>
            <w:tcW w:w="71" w:type="dxa"/>
            <w:tcBorders/>
            <w:vAlign w:val="center"/>
          </w:tcPr>
          <w:p>
            <w:pPr>
              <w:pStyle w:val="TableContents"/>
              <w:bidi w:val="0"/>
              <w:spacing w:before="0" w:after="0"/>
              <w:jc w:val="left"/>
              <w:rPr/>
            </w:pPr>
            <w:r>
              <w:rPr/>
              <w:t> </w:t>
            </w:r>
          </w:p>
        </w:tc>
        <w:tc>
          <w:tcPr>
            <w:tcW w:w="900"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(298.5</w:t>
            </w:r>
          </w:p>
        </w:tc>
        <w:tc>
          <w:tcPr>
            <w:tcW w:w="110" w:type="dxa"/>
            <w:tcBorders/>
            <w:vAlign w:val="center"/>
          </w:tcPr>
          <w:p>
            <w:pPr>
              <w:pStyle w:val="TableContents"/>
              <w:bidi w:val="0"/>
              <w:spacing w:before="0" w:after="283"/>
              <w:jc w:val="left"/>
              <w:rPr/>
            </w:pPr>
            <w:r>
              <w:rPr/>
              <w:t>)</w:t>
            </w:r>
          </w:p>
        </w:tc>
      </w:tr>
      <w:tr>
        <w:trPr/>
        <w:tc>
          <w:tcPr>
            <w:tcW w:w="7430"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Deferred revenue</w:t>
            </w:r>
          </w:p>
        </w:tc>
        <w:tc>
          <w:tcPr>
            <w:tcW w:w="900"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(0.1</w:t>
            </w:r>
          </w:p>
        </w:tc>
        <w:tc>
          <w:tcPr>
            <w:tcW w:w="112" w:type="dxa"/>
            <w:tcBorders/>
            <w:shd w:fill="CCEEFF" w:val="clear"/>
            <w:vAlign w:val="center"/>
          </w:tcPr>
          <w:p>
            <w:pPr>
              <w:pStyle w:val="TableContents"/>
              <w:bidi w:val="0"/>
              <w:spacing w:before="0" w:after="283"/>
              <w:jc w:val="left"/>
              <w:rPr/>
            </w:pPr>
            <w:r>
              <w:rPr/>
              <w:t>)</w:t>
            </w:r>
          </w:p>
        </w:tc>
        <w:tc>
          <w:tcPr>
            <w:tcW w:w="71" w:type="dxa"/>
            <w:tcBorders/>
            <w:shd w:fill="CCEEFF" w:val="clear"/>
            <w:vAlign w:val="center"/>
          </w:tcPr>
          <w:p>
            <w:pPr>
              <w:pStyle w:val="TableContents"/>
              <w:bidi w:val="0"/>
              <w:spacing w:before="0" w:after="0"/>
              <w:jc w:val="left"/>
              <w:rPr/>
            </w:pPr>
            <w:r>
              <w:rPr/>
              <w:t> </w:t>
            </w:r>
          </w:p>
        </w:tc>
        <w:tc>
          <w:tcPr>
            <w:tcW w:w="900"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(6.4</w:t>
            </w:r>
          </w:p>
        </w:tc>
        <w:tc>
          <w:tcPr>
            <w:tcW w:w="110" w:type="dxa"/>
            <w:tcBorders/>
            <w:shd w:fill="CCEEFF" w:val="clear"/>
            <w:vAlign w:val="center"/>
          </w:tcPr>
          <w:p>
            <w:pPr>
              <w:pStyle w:val="TableContents"/>
              <w:bidi w:val="0"/>
              <w:spacing w:before="0" w:after="283"/>
              <w:jc w:val="left"/>
              <w:rPr/>
            </w:pPr>
            <w:r>
              <w:rPr/>
              <w:t>)</w:t>
            </w:r>
          </w:p>
        </w:tc>
      </w:tr>
      <w:tr>
        <w:trPr/>
        <w:tc>
          <w:tcPr>
            <w:tcW w:w="7430"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Accrued expenses and other current liabilities, including amounts in settlement obligations</w:t>
            </w:r>
          </w:p>
        </w:tc>
        <w:tc>
          <w:tcPr>
            <w:tcW w:w="900"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(55.3</w:t>
            </w:r>
          </w:p>
        </w:tc>
        <w:tc>
          <w:tcPr>
            <w:tcW w:w="112" w:type="dxa"/>
            <w:tcBorders/>
            <w:vAlign w:val="center"/>
          </w:tcPr>
          <w:p>
            <w:pPr>
              <w:pStyle w:val="TableContents"/>
              <w:bidi w:val="0"/>
              <w:spacing w:before="0" w:after="283"/>
              <w:jc w:val="left"/>
              <w:rPr/>
            </w:pPr>
            <w:r>
              <w:rPr/>
              <w:t>)</w:t>
            </w:r>
          </w:p>
        </w:tc>
        <w:tc>
          <w:tcPr>
            <w:tcW w:w="71" w:type="dxa"/>
            <w:tcBorders/>
            <w:vAlign w:val="center"/>
          </w:tcPr>
          <w:p>
            <w:pPr>
              <w:pStyle w:val="TableContents"/>
              <w:bidi w:val="0"/>
              <w:spacing w:before="0" w:after="0"/>
              <w:jc w:val="left"/>
              <w:rPr/>
            </w:pPr>
            <w:r>
              <w:rPr/>
              <w:t> </w:t>
            </w:r>
          </w:p>
        </w:tc>
        <w:tc>
          <w:tcPr>
            <w:tcW w:w="900"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(58.4</w:t>
            </w:r>
          </w:p>
        </w:tc>
        <w:tc>
          <w:tcPr>
            <w:tcW w:w="110" w:type="dxa"/>
            <w:tcBorders/>
            <w:vAlign w:val="center"/>
          </w:tcPr>
          <w:p>
            <w:pPr>
              <w:pStyle w:val="TableContents"/>
              <w:bidi w:val="0"/>
              <w:spacing w:before="0" w:after="283"/>
              <w:jc w:val="left"/>
              <w:rPr/>
            </w:pPr>
            <w:r>
              <w:rPr/>
              <w:t>)</w:t>
            </w:r>
          </w:p>
        </w:tc>
      </w:tr>
      <w:tr>
        <w:trPr/>
        <w:tc>
          <w:tcPr>
            <w:tcW w:w="7430"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Changes in noncurrent assets and liabilities</w:t>
            </w:r>
          </w:p>
        </w:tc>
        <w:tc>
          <w:tcPr>
            <w:tcW w:w="900"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1.1</w:t>
            </w:r>
          </w:p>
        </w:tc>
        <w:tc>
          <w:tcPr>
            <w:tcW w:w="112" w:type="dxa"/>
            <w:tcBorders/>
            <w:shd w:fill="CCEEFF" w:val="clear"/>
            <w:vAlign w:val="center"/>
          </w:tcPr>
          <w:p>
            <w:pPr>
              <w:pStyle w:val="TableContents"/>
              <w:bidi w:val="0"/>
              <w:spacing w:before="0" w:after="283"/>
              <w:jc w:val="left"/>
              <w:rPr>
                <w:sz w:val="4"/>
                <w:szCs w:val="4"/>
              </w:rPr>
            </w:pPr>
            <w:r>
              <w:rPr>
                <w:sz w:val="4"/>
                <w:szCs w:val="4"/>
              </w:rPr>
            </w:r>
          </w:p>
        </w:tc>
        <w:tc>
          <w:tcPr>
            <w:tcW w:w="71" w:type="dxa"/>
            <w:tcBorders/>
            <w:shd w:fill="CCEEFF" w:val="clear"/>
            <w:vAlign w:val="center"/>
          </w:tcPr>
          <w:p>
            <w:pPr>
              <w:pStyle w:val="TableContents"/>
              <w:bidi w:val="0"/>
              <w:spacing w:before="0" w:after="0"/>
              <w:jc w:val="left"/>
              <w:rPr/>
            </w:pPr>
            <w:r>
              <w:rPr/>
              <w:t> </w:t>
            </w:r>
          </w:p>
        </w:tc>
        <w:tc>
          <w:tcPr>
            <w:tcW w:w="900"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(8.3</w:t>
            </w:r>
          </w:p>
        </w:tc>
        <w:tc>
          <w:tcPr>
            <w:tcW w:w="110" w:type="dxa"/>
            <w:tcBorders/>
            <w:shd w:fill="CCEEFF" w:val="clear"/>
            <w:vAlign w:val="center"/>
          </w:tcPr>
          <w:p>
            <w:pPr>
              <w:pStyle w:val="TableContents"/>
              <w:bidi w:val="0"/>
              <w:spacing w:before="0" w:after="283"/>
              <w:jc w:val="left"/>
              <w:rPr/>
            </w:pPr>
            <w:r>
              <w:rPr/>
              <w:t>)</w:t>
            </w:r>
          </w:p>
        </w:tc>
      </w:tr>
      <w:tr>
        <w:trPr/>
        <w:tc>
          <w:tcPr>
            <w:tcW w:w="7430"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Net cash provided by operating activities</w:t>
            </w:r>
          </w:p>
        </w:tc>
        <w:tc>
          <w:tcPr>
            <w:tcW w:w="900"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212.2</w:t>
            </w:r>
          </w:p>
        </w:tc>
        <w:tc>
          <w:tcPr>
            <w:tcW w:w="112"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0"/>
              <w:jc w:val="left"/>
              <w:rPr/>
            </w:pPr>
            <w:r>
              <w:rPr/>
              <w:t> </w:t>
            </w:r>
          </w:p>
        </w:tc>
        <w:tc>
          <w:tcPr>
            <w:tcW w:w="900"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220.2</w:t>
            </w:r>
          </w:p>
        </w:tc>
        <w:tc>
          <w:tcPr>
            <w:tcW w:w="110" w:type="dxa"/>
            <w:tcBorders/>
            <w:vAlign w:val="center"/>
          </w:tcPr>
          <w:p>
            <w:pPr>
              <w:pStyle w:val="TableContents"/>
              <w:bidi w:val="0"/>
              <w:spacing w:before="0" w:after="283"/>
              <w:jc w:val="left"/>
              <w:rPr>
                <w:sz w:val="4"/>
                <w:szCs w:val="4"/>
              </w:rPr>
            </w:pPr>
            <w:r>
              <w:rPr>
                <w:sz w:val="4"/>
                <w:szCs w:val="4"/>
              </w:rPr>
            </w:r>
          </w:p>
        </w:tc>
      </w:tr>
      <w:tr>
        <w:trPr/>
        <w:tc>
          <w:tcPr>
            <w:tcW w:w="7430"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Cash flows from investing activities:</w:t>
            </w:r>
          </w:p>
        </w:tc>
        <w:tc>
          <w:tcPr>
            <w:tcW w:w="1012" w:type="dxa"/>
            <w:gridSpan w:val="3"/>
            <w:tcBorders/>
            <w:shd w:fill="CCEEFF" w:val="clear"/>
            <w:vAlign w:val="center"/>
          </w:tcPr>
          <w:p>
            <w:pPr>
              <w:pStyle w:val="TableContents"/>
              <w:bidi w:val="0"/>
              <w:spacing w:before="0" w:after="0"/>
              <w:jc w:val="left"/>
              <w:rPr/>
            </w:pPr>
            <w:r>
              <w:rPr/>
              <w:t> </w:t>
            </w:r>
          </w:p>
        </w:tc>
        <w:tc>
          <w:tcPr>
            <w:tcW w:w="71" w:type="dxa"/>
            <w:tcBorders/>
            <w:shd w:fill="CCEEFF" w:val="clear"/>
            <w:vAlign w:val="center"/>
          </w:tcPr>
          <w:p>
            <w:pPr>
              <w:pStyle w:val="TableContents"/>
              <w:bidi w:val="0"/>
              <w:spacing w:before="0" w:after="0"/>
              <w:jc w:val="left"/>
              <w:rPr/>
            </w:pPr>
            <w:r>
              <w:rPr/>
              <w:t> </w:t>
            </w:r>
          </w:p>
        </w:tc>
        <w:tc>
          <w:tcPr>
            <w:tcW w:w="1010" w:type="dxa"/>
            <w:gridSpan w:val="3"/>
            <w:tcBorders/>
            <w:shd w:fill="CCEEFF" w:val="clear"/>
            <w:vAlign w:val="center"/>
          </w:tcPr>
          <w:p>
            <w:pPr>
              <w:pStyle w:val="TableContents"/>
              <w:bidi w:val="0"/>
              <w:spacing w:before="0" w:after="283"/>
              <w:jc w:val="left"/>
              <w:rPr>
                <w:sz w:val="4"/>
                <w:szCs w:val="4"/>
              </w:rPr>
            </w:pPr>
            <w:r>
              <w:rPr>
                <w:sz w:val="4"/>
                <w:szCs w:val="4"/>
              </w:rPr>
            </w:r>
          </w:p>
        </w:tc>
      </w:tr>
      <w:tr>
        <w:trPr/>
        <w:tc>
          <w:tcPr>
            <w:tcW w:w="7430"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Acquisitions, net of cash acquired</w:t>
            </w:r>
          </w:p>
        </w:tc>
        <w:tc>
          <w:tcPr>
            <w:tcW w:w="900"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(90.8</w:t>
            </w:r>
          </w:p>
        </w:tc>
        <w:tc>
          <w:tcPr>
            <w:tcW w:w="112" w:type="dxa"/>
            <w:tcBorders/>
            <w:vAlign w:val="center"/>
          </w:tcPr>
          <w:p>
            <w:pPr>
              <w:pStyle w:val="TableContents"/>
              <w:bidi w:val="0"/>
              <w:spacing w:before="0" w:after="283"/>
              <w:jc w:val="left"/>
              <w:rPr/>
            </w:pPr>
            <w:r>
              <w:rPr/>
              <w:t>)</w:t>
            </w:r>
          </w:p>
        </w:tc>
        <w:tc>
          <w:tcPr>
            <w:tcW w:w="71" w:type="dxa"/>
            <w:tcBorders/>
            <w:vAlign w:val="center"/>
          </w:tcPr>
          <w:p>
            <w:pPr>
              <w:pStyle w:val="TableContents"/>
              <w:bidi w:val="0"/>
              <w:spacing w:before="0" w:after="0"/>
              <w:jc w:val="left"/>
              <w:rPr/>
            </w:pPr>
            <w:r>
              <w:rPr/>
              <w:t> </w:t>
            </w:r>
          </w:p>
        </w:tc>
        <w:tc>
          <w:tcPr>
            <w:tcW w:w="900"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0.2</w:t>
            </w:r>
          </w:p>
        </w:tc>
        <w:tc>
          <w:tcPr>
            <w:tcW w:w="110" w:type="dxa"/>
            <w:tcBorders/>
            <w:vAlign w:val="center"/>
          </w:tcPr>
          <w:p>
            <w:pPr>
              <w:pStyle w:val="TableContents"/>
              <w:bidi w:val="0"/>
              <w:spacing w:before="0" w:after="283"/>
              <w:jc w:val="left"/>
              <w:rPr>
                <w:sz w:val="4"/>
                <w:szCs w:val="4"/>
              </w:rPr>
            </w:pPr>
            <w:r>
              <w:rPr>
                <w:sz w:val="4"/>
                <w:szCs w:val="4"/>
              </w:rPr>
            </w:r>
          </w:p>
        </w:tc>
      </w:tr>
      <w:tr>
        <w:trPr/>
        <w:tc>
          <w:tcPr>
            <w:tcW w:w="7430"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Purchases and proceeds of property and equipment</w:t>
            </w:r>
          </w:p>
        </w:tc>
        <w:tc>
          <w:tcPr>
            <w:tcW w:w="900"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(57.2</w:t>
            </w:r>
          </w:p>
        </w:tc>
        <w:tc>
          <w:tcPr>
            <w:tcW w:w="112" w:type="dxa"/>
            <w:tcBorders/>
            <w:shd w:fill="CCEEFF" w:val="clear"/>
            <w:vAlign w:val="center"/>
          </w:tcPr>
          <w:p>
            <w:pPr>
              <w:pStyle w:val="TableContents"/>
              <w:bidi w:val="0"/>
              <w:spacing w:before="0" w:after="283"/>
              <w:jc w:val="left"/>
              <w:rPr/>
            </w:pPr>
            <w:r>
              <w:rPr/>
              <w:t>)</w:t>
            </w:r>
          </w:p>
        </w:tc>
        <w:tc>
          <w:tcPr>
            <w:tcW w:w="71" w:type="dxa"/>
            <w:tcBorders/>
            <w:shd w:fill="CCEEFF" w:val="clear"/>
            <w:vAlign w:val="center"/>
          </w:tcPr>
          <w:p>
            <w:pPr>
              <w:pStyle w:val="TableContents"/>
              <w:bidi w:val="0"/>
              <w:spacing w:before="0" w:after="0"/>
              <w:jc w:val="left"/>
              <w:rPr/>
            </w:pPr>
            <w:r>
              <w:rPr/>
              <w:t> </w:t>
            </w:r>
          </w:p>
        </w:tc>
        <w:tc>
          <w:tcPr>
            <w:tcW w:w="900"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(41.9</w:t>
            </w:r>
          </w:p>
        </w:tc>
        <w:tc>
          <w:tcPr>
            <w:tcW w:w="110" w:type="dxa"/>
            <w:tcBorders/>
            <w:shd w:fill="CCEEFF" w:val="clear"/>
            <w:vAlign w:val="center"/>
          </w:tcPr>
          <w:p>
            <w:pPr>
              <w:pStyle w:val="TableContents"/>
              <w:bidi w:val="0"/>
              <w:spacing w:before="0" w:after="283"/>
              <w:jc w:val="left"/>
              <w:rPr/>
            </w:pPr>
            <w:r>
              <w:rPr/>
              <w:t>)</w:t>
            </w:r>
          </w:p>
        </w:tc>
      </w:tr>
      <w:tr>
        <w:trPr/>
        <w:tc>
          <w:tcPr>
            <w:tcW w:w="7430"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Purchases of other long-term assets</w:t>
            </w:r>
          </w:p>
        </w:tc>
        <w:tc>
          <w:tcPr>
            <w:tcW w:w="900"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(6.6</w:t>
            </w:r>
          </w:p>
        </w:tc>
        <w:tc>
          <w:tcPr>
            <w:tcW w:w="112" w:type="dxa"/>
            <w:tcBorders/>
            <w:vAlign w:val="center"/>
          </w:tcPr>
          <w:p>
            <w:pPr>
              <w:pStyle w:val="TableContents"/>
              <w:bidi w:val="0"/>
              <w:spacing w:before="0" w:after="283"/>
              <w:jc w:val="left"/>
              <w:rPr/>
            </w:pPr>
            <w:r>
              <w:rPr/>
              <w:t>)</w:t>
            </w:r>
          </w:p>
        </w:tc>
        <w:tc>
          <w:tcPr>
            <w:tcW w:w="71" w:type="dxa"/>
            <w:tcBorders/>
            <w:vAlign w:val="center"/>
          </w:tcPr>
          <w:p>
            <w:pPr>
              <w:pStyle w:val="TableContents"/>
              <w:bidi w:val="0"/>
              <w:spacing w:before="0" w:after="0"/>
              <w:jc w:val="left"/>
              <w:rPr/>
            </w:pPr>
            <w:r>
              <w:rPr/>
              <w:t> </w:t>
            </w:r>
          </w:p>
        </w:tc>
        <w:tc>
          <w:tcPr>
            <w:tcW w:w="900"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(3.9</w:t>
            </w:r>
          </w:p>
        </w:tc>
        <w:tc>
          <w:tcPr>
            <w:tcW w:w="110" w:type="dxa"/>
            <w:tcBorders/>
            <w:vAlign w:val="center"/>
          </w:tcPr>
          <w:p>
            <w:pPr>
              <w:pStyle w:val="TableContents"/>
              <w:bidi w:val="0"/>
              <w:spacing w:before="0" w:after="283"/>
              <w:jc w:val="left"/>
              <w:rPr/>
            </w:pPr>
            <w:r>
              <w:rPr/>
              <w:t>)</w:t>
            </w:r>
          </w:p>
        </w:tc>
      </w:tr>
      <w:tr>
        <w:trPr/>
        <w:tc>
          <w:tcPr>
            <w:tcW w:w="7430"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Other, net</w:t>
            </w:r>
          </w:p>
        </w:tc>
        <w:tc>
          <w:tcPr>
            <w:tcW w:w="900"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(0.6</w:t>
            </w:r>
          </w:p>
        </w:tc>
        <w:tc>
          <w:tcPr>
            <w:tcW w:w="112" w:type="dxa"/>
            <w:tcBorders/>
            <w:shd w:fill="CCEEFF" w:val="clear"/>
            <w:vAlign w:val="center"/>
          </w:tcPr>
          <w:p>
            <w:pPr>
              <w:pStyle w:val="TableContents"/>
              <w:bidi w:val="0"/>
              <w:spacing w:before="0" w:after="283"/>
              <w:jc w:val="left"/>
              <w:rPr/>
            </w:pPr>
            <w:r>
              <w:rPr/>
              <w:t>)</w:t>
            </w:r>
          </w:p>
        </w:tc>
        <w:tc>
          <w:tcPr>
            <w:tcW w:w="71" w:type="dxa"/>
            <w:tcBorders/>
            <w:shd w:fill="CCEEFF" w:val="clear"/>
            <w:vAlign w:val="center"/>
          </w:tcPr>
          <w:p>
            <w:pPr>
              <w:pStyle w:val="TableContents"/>
              <w:bidi w:val="0"/>
              <w:spacing w:before="0" w:after="0"/>
              <w:jc w:val="left"/>
              <w:rPr/>
            </w:pPr>
            <w:r>
              <w:rPr/>
              <w:t> </w:t>
            </w:r>
          </w:p>
        </w:tc>
        <w:tc>
          <w:tcPr>
            <w:tcW w:w="900"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0.1</w:t>
            </w:r>
          </w:p>
        </w:tc>
        <w:tc>
          <w:tcPr>
            <w:tcW w:w="110" w:type="dxa"/>
            <w:tcBorders/>
            <w:shd w:fill="CCEEFF" w:val="clear"/>
            <w:vAlign w:val="center"/>
          </w:tcPr>
          <w:p>
            <w:pPr>
              <w:pStyle w:val="TableContents"/>
              <w:bidi w:val="0"/>
              <w:spacing w:before="0" w:after="283"/>
              <w:jc w:val="left"/>
              <w:rPr>
                <w:sz w:val="4"/>
                <w:szCs w:val="4"/>
              </w:rPr>
            </w:pPr>
            <w:r>
              <w:rPr>
                <w:sz w:val="4"/>
                <w:szCs w:val="4"/>
              </w:rPr>
            </w:r>
          </w:p>
        </w:tc>
      </w:tr>
      <w:tr>
        <w:trPr/>
        <w:tc>
          <w:tcPr>
            <w:tcW w:w="7430"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Net cash used in investing activities</w:t>
            </w:r>
          </w:p>
        </w:tc>
        <w:tc>
          <w:tcPr>
            <w:tcW w:w="900"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(155.2</w:t>
            </w:r>
          </w:p>
        </w:tc>
        <w:tc>
          <w:tcPr>
            <w:tcW w:w="112" w:type="dxa"/>
            <w:tcBorders/>
            <w:vAlign w:val="center"/>
          </w:tcPr>
          <w:p>
            <w:pPr>
              <w:pStyle w:val="TableContents"/>
              <w:bidi w:val="0"/>
              <w:spacing w:before="0" w:after="283"/>
              <w:jc w:val="left"/>
              <w:rPr/>
            </w:pPr>
            <w:r>
              <w:rPr/>
              <w:t>)</w:t>
            </w:r>
          </w:p>
        </w:tc>
        <w:tc>
          <w:tcPr>
            <w:tcW w:w="71" w:type="dxa"/>
            <w:tcBorders/>
            <w:vAlign w:val="center"/>
          </w:tcPr>
          <w:p>
            <w:pPr>
              <w:pStyle w:val="TableContents"/>
              <w:bidi w:val="0"/>
              <w:spacing w:before="0" w:after="0"/>
              <w:jc w:val="left"/>
              <w:rPr/>
            </w:pPr>
            <w:r>
              <w:rPr/>
              <w:t> </w:t>
            </w:r>
          </w:p>
        </w:tc>
        <w:tc>
          <w:tcPr>
            <w:tcW w:w="900"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(45.5</w:t>
            </w:r>
          </w:p>
        </w:tc>
        <w:tc>
          <w:tcPr>
            <w:tcW w:w="110" w:type="dxa"/>
            <w:tcBorders/>
            <w:vAlign w:val="center"/>
          </w:tcPr>
          <w:p>
            <w:pPr>
              <w:pStyle w:val="TableContents"/>
              <w:bidi w:val="0"/>
              <w:spacing w:before="0" w:after="283"/>
              <w:jc w:val="left"/>
              <w:rPr/>
            </w:pPr>
            <w:r>
              <w:rPr/>
              <w:t>)</w:t>
            </w:r>
          </w:p>
        </w:tc>
      </w:tr>
      <w:tr>
        <w:trPr/>
        <w:tc>
          <w:tcPr>
            <w:tcW w:w="7430"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Cash flows from financing activities:</w:t>
            </w:r>
          </w:p>
        </w:tc>
        <w:tc>
          <w:tcPr>
            <w:tcW w:w="1012" w:type="dxa"/>
            <w:gridSpan w:val="3"/>
            <w:tcBorders/>
            <w:shd w:fill="CCEEFF" w:val="clear"/>
            <w:vAlign w:val="center"/>
          </w:tcPr>
          <w:p>
            <w:pPr>
              <w:pStyle w:val="TableContents"/>
              <w:bidi w:val="0"/>
              <w:spacing w:before="0" w:after="0"/>
              <w:jc w:val="left"/>
              <w:rPr/>
            </w:pPr>
            <w:r>
              <w:rPr/>
              <w:t> </w:t>
            </w:r>
          </w:p>
        </w:tc>
        <w:tc>
          <w:tcPr>
            <w:tcW w:w="71" w:type="dxa"/>
            <w:tcBorders/>
            <w:shd w:fill="CCEEFF" w:val="clear"/>
            <w:vAlign w:val="center"/>
          </w:tcPr>
          <w:p>
            <w:pPr>
              <w:pStyle w:val="TableContents"/>
              <w:bidi w:val="0"/>
              <w:spacing w:before="0" w:after="0"/>
              <w:jc w:val="left"/>
              <w:rPr/>
            </w:pPr>
            <w:r>
              <w:rPr/>
              <w:t> </w:t>
            </w:r>
          </w:p>
        </w:tc>
        <w:tc>
          <w:tcPr>
            <w:tcW w:w="1010" w:type="dxa"/>
            <w:gridSpan w:val="3"/>
            <w:tcBorders/>
            <w:shd w:fill="CCEEFF" w:val="clear"/>
            <w:vAlign w:val="center"/>
          </w:tcPr>
          <w:p>
            <w:pPr>
              <w:pStyle w:val="TableContents"/>
              <w:bidi w:val="0"/>
              <w:spacing w:before="0" w:after="0"/>
              <w:jc w:val="left"/>
              <w:rPr/>
            </w:pPr>
            <w:r>
              <w:rPr/>
              <w:t> </w:t>
            </w:r>
          </w:p>
        </w:tc>
      </w:tr>
      <w:tr>
        <w:trPr/>
        <w:tc>
          <w:tcPr>
            <w:tcW w:w="7430"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Proceeds from issuance of shares</w:t>
            </w:r>
          </w:p>
        </w:tc>
        <w:tc>
          <w:tcPr>
            <w:tcW w:w="900"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3.3</w:t>
            </w:r>
          </w:p>
        </w:tc>
        <w:tc>
          <w:tcPr>
            <w:tcW w:w="112"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0"/>
              <w:jc w:val="left"/>
              <w:rPr/>
            </w:pPr>
            <w:r>
              <w:rPr/>
              <w:t> </w:t>
            </w:r>
          </w:p>
        </w:tc>
        <w:tc>
          <w:tcPr>
            <w:tcW w:w="900"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2.4</w:t>
            </w:r>
          </w:p>
        </w:tc>
        <w:tc>
          <w:tcPr>
            <w:tcW w:w="110" w:type="dxa"/>
            <w:tcBorders/>
            <w:vAlign w:val="center"/>
          </w:tcPr>
          <w:p>
            <w:pPr>
              <w:pStyle w:val="TableContents"/>
              <w:bidi w:val="0"/>
              <w:spacing w:before="0" w:after="283"/>
              <w:jc w:val="left"/>
              <w:rPr>
                <w:sz w:val="4"/>
                <w:szCs w:val="4"/>
              </w:rPr>
            </w:pPr>
            <w:r>
              <w:rPr>
                <w:sz w:val="4"/>
                <w:szCs w:val="4"/>
              </w:rPr>
            </w:r>
          </w:p>
        </w:tc>
      </w:tr>
      <w:tr>
        <w:trPr/>
        <w:tc>
          <w:tcPr>
            <w:tcW w:w="7430"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Repurchase of shares and other share movements</w:t>
            </w:r>
          </w:p>
        </w:tc>
        <w:tc>
          <w:tcPr>
            <w:tcW w:w="900"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(116.3</w:t>
            </w:r>
          </w:p>
        </w:tc>
        <w:tc>
          <w:tcPr>
            <w:tcW w:w="112" w:type="dxa"/>
            <w:tcBorders/>
            <w:shd w:fill="CCEEFF" w:val="clear"/>
            <w:vAlign w:val="center"/>
          </w:tcPr>
          <w:p>
            <w:pPr>
              <w:pStyle w:val="TableContents"/>
              <w:bidi w:val="0"/>
              <w:spacing w:before="0" w:after="283"/>
              <w:jc w:val="left"/>
              <w:rPr/>
            </w:pPr>
            <w:r>
              <w:rPr/>
              <w:t>)</w:t>
            </w:r>
          </w:p>
        </w:tc>
        <w:tc>
          <w:tcPr>
            <w:tcW w:w="71" w:type="dxa"/>
            <w:tcBorders/>
            <w:shd w:fill="CCEEFF" w:val="clear"/>
            <w:vAlign w:val="center"/>
          </w:tcPr>
          <w:p>
            <w:pPr>
              <w:pStyle w:val="TableContents"/>
              <w:bidi w:val="0"/>
              <w:spacing w:before="0" w:after="0"/>
              <w:jc w:val="left"/>
              <w:rPr/>
            </w:pPr>
            <w:r>
              <w:rPr/>
              <w:t> </w:t>
            </w:r>
          </w:p>
        </w:tc>
        <w:tc>
          <w:tcPr>
            <w:tcW w:w="900"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(29.3</w:t>
            </w:r>
          </w:p>
        </w:tc>
        <w:tc>
          <w:tcPr>
            <w:tcW w:w="110" w:type="dxa"/>
            <w:tcBorders/>
            <w:shd w:fill="CCEEFF" w:val="clear"/>
            <w:vAlign w:val="center"/>
          </w:tcPr>
          <w:p>
            <w:pPr>
              <w:pStyle w:val="TableContents"/>
              <w:bidi w:val="0"/>
              <w:spacing w:before="0" w:after="283"/>
              <w:jc w:val="left"/>
              <w:rPr/>
            </w:pPr>
            <w:r>
              <w:rPr/>
              <w:t>)</w:t>
            </w:r>
          </w:p>
        </w:tc>
      </w:tr>
      <w:tr>
        <w:trPr/>
        <w:tc>
          <w:tcPr>
            <w:tcW w:w="7430"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Borrowings from credit agreements</w:t>
            </w:r>
          </w:p>
        </w:tc>
        <w:tc>
          <w:tcPr>
            <w:tcW w:w="900"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3,990.8</w:t>
            </w:r>
          </w:p>
        </w:tc>
        <w:tc>
          <w:tcPr>
            <w:tcW w:w="112"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0"/>
              <w:jc w:val="left"/>
              <w:rPr/>
            </w:pPr>
            <w:r>
              <w:rPr/>
              <w:t> </w:t>
            </w:r>
          </w:p>
        </w:tc>
        <w:tc>
          <w:tcPr>
            <w:tcW w:w="900"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3,403.1</w:t>
            </w:r>
          </w:p>
        </w:tc>
        <w:tc>
          <w:tcPr>
            <w:tcW w:w="110" w:type="dxa"/>
            <w:tcBorders/>
            <w:vAlign w:val="center"/>
          </w:tcPr>
          <w:p>
            <w:pPr>
              <w:pStyle w:val="TableContents"/>
              <w:bidi w:val="0"/>
              <w:spacing w:before="0" w:after="283"/>
              <w:jc w:val="left"/>
              <w:rPr>
                <w:sz w:val="4"/>
                <w:szCs w:val="4"/>
              </w:rPr>
            </w:pPr>
            <w:r>
              <w:rPr>
                <w:sz w:val="4"/>
                <w:szCs w:val="4"/>
              </w:rPr>
            </w:r>
          </w:p>
        </w:tc>
      </w:tr>
      <w:tr>
        <w:trPr/>
        <w:tc>
          <w:tcPr>
            <w:tcW w:w="7430"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Repayments of credit agreements </w:t>
            </w:r>
          </w:p>
        </w:tc>
        <w:tc>
          <w:tcPr>
            <w:tcW w:w="900" w:type="dxa"/>
            <w:gridSpan w:val="2"/>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(4,131.1</w:t>
            </w:r>
          </w:p>
        </w:tc>
        <w:tc>
          <w:tcPr>
            <w:tcW w:w="112" w:type="dxa"/>
            <w:tcBorders/>
            <w:shd w:fill="CCEEFF" w:val="clear"/>
            <w:vAlign w:val="center"/>
          </w:tcPr>
          <w:p>
            <w:pPr>
              <w:pStyle w:val="TableContents"/>
              <w:bidi w:val="0"/>
              <w:spacing w:before="0" w:after="0"/>
              <w:jc w:val="left"/>
              <w:rPr/>
            </w:pPr>
            <w:r>
              <w:rPr/>
              <w:t>)</w:t>
            </w:r>
          </w:p>
        </w:tc>
        <w:tc>
          <w:tcPr>
            <w:tcW w:w="71" w:type="dxa"/>
            <w:tcBorders/>
            <w:shd w:fill="CCEEFF" w:val="clear"/>
            <w:vAlign w:val="center"/>
          </w:tcPr>
          <w:p>
            <w:pPr>
              <w:pStyle w:val="TableContents"/>
              <w:bidi w:val="0"/>
              <w:spacing w:before="0" w:after="0"/>
              <w:jc w:val="left"/>
              <w:rPr/>
            </w:pPr>
            <w:r>
              <w:rPr/>
              <w:t> </w:t>
            </w:r>
          </w:p>
        </w:tc>
        <w:tc>
          <w:tcPr>
            <w:tcW w:w="900"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(3,720.3</w:t>
            </w:r>
          </w:p>
        </w:tc>
        <w:tc>
          <w:tcPr>
            <w:tcW w:w="110" w:type="dxa"/>
            <w:tcBorders/>
            <w:shd w:fill="CCEEFF" w:val="clear"/>
            <w:vAlign w:val="center"/>
          </w:tcPr>
          <w:p>
            <w:pPr>
              <w:pStyle w:val="TableContents"/>
              <w:bidi w:val="0"/>
              <w:spacing w:before="0" w:after="283"/>
              <w:jc w:val="left"/>
              <w:rPr/>
            </w:pPr>
            <w:r>
              <w:rPr/>
              <w:t>)</w:t>
            </w:r>
          </w:p>
        </w:tc>
      </w:tr>
      <w:tr>
        <w:trPr/>
        <w:tc>
          <w:tcPr>
            <w:tcW w:w="7430" w:type="dxa"/>
            <w:tcBorders/>
            <w:vAlign w:val="center"/>
          </w:tcPr>
          <w:p>
            <w:pPr>
              <w:pStyle w:val="TableContents"/>
              <w:bidi w:val="0"/>
              <w:spacing w:before="0" w:after="0"/>
              <w:jc w:val="left"/>
              <w:rPr>
                <w:sz w:val="20"/>
              </w:rPr>
            </w:pPr>
            <w:r>
              <w:rPr>
                <w:sz w:val="20"/>
              </w:rPr>
              <w:t>Net borrowings of short-term debt obligations</w:t>
            </w:r>
          </w:p>
        </w:tc>
        <w:tc>
          <w:tcPr>
            <w:tcW w:w="900" w:type="dxa"/>
            <w:gridSpan w:val="2"/>
            <w:tcBorders/>
            <w:vAlign w:val="center"/>
          </w:tcPr>
          <w:p>
            <w:pPr>
              <w:pStyle w:val="TableContents"/>
              <w:bidi w:val="0"/>
              <w:spacing w:before="0" w:after="0"/>
              <w:ind w:left="0" w:right="0" w:hanging="0"/>
              <w:jc w:val="right"/>
              <w:rPr>
                <w:sz w:val="20"/>
              </w:rPr>
            </w:pPr>
            <w:r>
              <w:rPr>
                <w:sz w:val="20"/>
              </w:rPr>
              <w:t>558.7</w:t>
            </w:r>
          </w:p>
        </w:tc>
        <w:tc>
          <w:tcPr>
            <w:tcW w:w="112" w:type="dxa"/>
            <w:tcBorders/>
            <w:vAlign w:val="center"/>
          </w:tcPr>
          <w:p>
            <w:pPr>
              <w:pStyle w:val="TableContents"/>
              <w:bidi w:val="0"/>
              <w:spacing w:before="0" w:after="283"/>
              <w:jc w:val="left"/>
              <w:rPr/>
            </w:pPr>
            <w:r>
              <w:rPr/>
            </w:r>
          </w:p>
        </w:tc>
        <w:tc>
          <w:tcPr>
            <w:tcW w:w="71" w:type="dxa"/>
            <w:tcBorders/>
            <w:vAlign w:val="center"/>
          </w:tcPr>
          <w:p>
            <w:pPr>
              <w:pStyle w:val="TableContents"/>
              <w:bidi w:val="0"/>
              <w:spacing w:before="0" w:after="0"/>
              <w:jc w:val="left"/>
              <w:rPr>
                <w:sz w:val="20"/>
              </w:rPr>
            </w:pPr>
            <w:r>
              <w:rPr>
                <w:sz w:val="20"/>
              </w:rPr>
            </w:r>
          </w:p>
        </w:tc>
        <w:tc>
          <w:tcPr>
            <w:tcW w:w="900" w:type="dxa"/>
            <w:gridSpan w:val="2"/>
            <w:tcBorders/>
            <w:vAlign w:val="center"/>
          </w:tcPr>
          <w:p>
            <w:pPr>
              <w:pStyle w:val="TableContents"/>
              <w:bidi w:val="0"/>
              <w:spacing w:before="0" w:after="0"/>
              <w:jc w:val="right"/>
              <w:rPr>
                <w:sz w:val="20"/>
              </w:rPr>
            </w:pPr>
            <w:r>
              <w:rPr>
                <w:sz w:val="20"/>
              </w:rPr>
              <w:t>450.0</w:t>
            </w:r>
          </w:p>
        </w:tc>
        <w:tc>
          <w:tcPr>
            <w:tcW w:w="110" w:type="dxa"/>
            <w:tcBorders/>
            <w:vAlign w:val="center"/>
          </w:tcPr>
          <w:p>
            <w:pPr>
              <w:pStyle w:val="TableContents"/>
              <w:bidi w:val="0"/>
              <w:spacing w:before="0" w:after="283"/>
              <w:jc w:val="left"/>
              <w:rPr>
                <w:sz w:val="4"/>
                <w:szCs w:val="4"/>
              </w:rPr>
            </w:pPr>
            <w:r>
              <w:rPr>
                <w:sz w:val="4"/>
                <w:szCs w:val="4"/>
              </w:rPr>
            </w:r>
          </w:p>
        </w:tc>
      </w:tr>
      <w:tr>
        <w:trPr/>
        <w:tc>
          <w:tcPr>
            <w:tcW w:w="7430" w:type="dxa"/>
            <w:tcBorders/>
            <w:shd w:fill="CCEEFF" w:val="clear"/>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Repayments of capital lease obligations</w:t>
            </w:r>
          </w:p>
        </w:tc>
        <w:tc>
          <w:tcPr>
            <w:tcW w:w="900" w:type="dxa"/>
            <w:gridSpan w:val="2"/>
            <w:tcBorders/>
            <w:shd w:fill="CCEEFF" w:val="clear"/>
            <w:vAlign w:val="center"/>
          </w:tcPr>
          <w:p>
            <w:pPr>
              <w:pStyle w:val="TableContents"/>
              <w:bidi w:val="0"/>
              <w:spacing w:before="0" w:after="0"/>
              <w:ind w:left="0" w:right="0" w:hanging="0"/>
              <w:jc w:val="right"/>
              <w:rPr>
                <w:sz w:val="20"/>
              </w:rPr>
            </w:pPr>
            <w:r>
              <w:rPr>
                <w:sz w:val="20"/>
              </w:rPr>
              <w:t>(1.0</w:t>
            </w:r>
          </w:p>
        </w:tc>
        <w:tc>
          <w:tcPr>
            <w:tcW w:w="112" w:type="dxa"/>
            <w:tcBorders/>
            <w:shd w:fill="CCEEFF" w:val="clear"/>
            <w:vAlign w:val="center"/>
          </w:tcPr>
          <w:p>
            <w:pPr>
              <w:pStyle w:val="TableContents"/>
              <w:bidi w:val="0"/>
              <w:spacing w:before="0" w:after="0"/>
              <w:jc w:val="left"/>
              <w:rPr/>
            </w:pPr>
            <w:r>
              <w:rPr/>
              <w:t>)</w:t>
            </w:r>
          </w:p>
        </w:tc>
        <w:tc>
          <w:tcPr>
            <w:tcW w:w="71" w:type="dxa"/>
            <w:tcBorders/>
            <w:shd w:fill="CCEEFF" w:val="clear"/>
            <w:vAlign w:val="center"/>
          </w:tcPr>
          <w:p>
            <w:pPr>
              <w:pStyle w:val="TableContents"/>
              <w:bidi w:val="0"/>
              <w:spacing w:before="0" w:after="0"/>
              <w:jc w:val="left"/>
              <w:rPr>
                <w:sz w:val="20"/>
              </w:rPr>
            </w:pPr>
            <w:r>
              <w:rPr>
                <w:sz w:val="20"/>
              </w:rPr>
            </w:r>
          </w:p>
        </w:tc>
        <w:tc>
          <w:tcPr>
            <w:tcW w:w="900" w:type="dxa"/>
            <w:gridSpan w:val="2"/>
            <w:tcBorders/>
            <w:shd w:fill="CCEEFF" w:val="clear"/>
            <w:vAlign w:val="center"/>
          </w:tcPr>
          <w:p>
            <w:pPr>
              <w:pStyle w:val="TableContents"/>
              <w:bidi w:val="0"/>
              <w:spacing w:before="0" w:after="0"/>
              <w:jc w:val="right"/>
              <w:rPr>
                <w:sz w:val="20"/>
              </w:rPr>
            </w:pPr>
            <w:r>
              <w:rPr>
                <w:sz w:val="20"/>
              </w:rPr>
              <w:t>(1.6</w:t>
            </w:r>
          </w:p>
        </w:tc>
        <w:tc>
          <w:tcPr>
            <w:tcW w:w="110" w:type="dxa"/>
            <w:tcBorders/>
            <w:shd w:fill="CCEEFF" w:val="clear"/>
            <w:vAlign w:val="center"/>
          </w:tcPr>
          <w:p>
            <w:pPr>
              <w:pStyle w:val="TableContents"/>
              <w:bidi w:val="0"/>
              <w:spacing w:before="0" w:after="283"/>
              <w:jc w:val="left"/>
              <w:rPr/>
            </w:pPr>
            <w:r>
              <w:rPr/>
              <w:t>)</w:t>
            </w:r>
          </w:p>
        </w:tc>
      </w:tr>
      <w:tr>
        <w:trPr/>
        <w:tc>
          <w:tcPr>
            <w:tcW w:w="7430"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Other, net</w:t>
            </w:r>
          </w:p>
        </w:tc>
        <w:tc>
          <w:tcPr>
            <w:tcW w:w="900" w:type="dxa"/>
            <w:gridSpan w:val="2"/>
            <w:tcBorders/>
            <w:vAlign w:val="center"/>
          </w:tcPr>
          <w:p>
            <w:pPr>
              <w:pStyle w:val="TableContents"/>
              <w:bidi w:val="0"/>
              <w:spacing w:before="0" w:after="0"/>
              <w:jc w:val="right"/>
              <w:rPr/>
            </w:pPr>
            <w:r>
              <w:rPr/>
              <w:t>—</w:t>
            </w:r>
          </w:p>
        </w:tc>
        <w:tc>
          <w:tcPr>
            <w:tcW w:w="112"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0"/>
              <w:jc w:val="left"/>
              <w:rPr/>
            </w:pPr>
            <w:r>
              <w:rPr/>
              <w:t> </w:t>
            </w:r>
          </w:p>
        </w:tc>
        <w:tc>
          <w:tcPr>
            <w:tcW w:w="900"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0.1</w:t>
            </w:r>
          </w:p>
        </w:tc>
        <w:tc>
          <w:tcPr>
            <w:tcW w:w="110" w:type="dxa"/>
            <w:tcBorders/>
            <w:vAlign w:val="center"/>
          </w:tcPr>
          <w:p>
            <w:pPr>
              <w:pStyle w:val="TableContents"/>
              <w:bidi w:val="0"/>
              <w:spacing w:before="0" w:after="283"/>
              <w:jc w:val="left"/>
              <w:rPr>
                <w:sz w:val="4"/>
                <w:szCs w:val="4"/>
              </w:rPr>
            </w:pPr>
            <w:r>
              <w:rPr>
                <w:sz w:val="4"/>
                <w:szCs w:val="4"/>
              </w:rPr>
            </w:r>
          </w:p>
        </w:tc>
      </w:tr>
      <w:tr>
        <w:trPr/>
        <w:tc>
          <w:tcPr>
            <w:tcW w:w="7430"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Net cash used in financing activities</w:t>
            </w:r>
          </w:p>
        </w:tc>
        <w:tc>
          <w:tcPr>
            <w:tcW w:w="900"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304.4</w:t>
            </w:r>
          </w:p>
        </w:tc>
        <w:tc>
          <w:tcPr>
            <w:tcW w:w="112" w:type="dxa"/>
            <w:tcBorders/>
            <w:shd w:fill="CCEEFF" w:val="clear"/>
            <w:vAlign w:val="center"/>
          </w:tcPr>
          <w:p>
            <w:pPr>
              <w:pStyle w:val="TableContents"/>
              <w:bidi w:val="0"/>
              <w:spacing w:before="0" w:after="283"/>
              <w:jc w:val="left"/>
              <w:rPr>
                <w:sz w:val="4"/>
                <w:szCs w:val="4"/>
              </w:rPr>
            </w:pPr>
            <w:r>
              <w:rPr>
                <w:sz w:val="4"/>
                <w:szCs w:val="4"/>
              </w:rPr>
            </w:r>
          </w:p>
        </w:tc>
        <w:tc>
          <w:tcPr>
            <w:tcW w:w="71" w:type="dxa"/>
            <w:tcBorders/>
            <w:shd w:fill="CCEEFF" w:val="clear"/>
            <w:vAlign w:val="center"/>
          </w:tcPr>
          <w:p>
            <w:pPr>
              <w:pStyle w:val="TableContents"/>
              <w:bidi w:val="0"/>
              <w:spacing w:before="0" w:after="0"/>
              <w:jc w:val="left"/>
              <w:rPr/>
            </w:pPr>
            <w:r>
              <w:rPr/>
              <w:t> </w:t>
            </w:r>
          </w:p>
        </w:tc>
        <w:tc>
          <w:tcPr>
            <w:tcW w:w="900"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104.4</w:t>
            </w:r>
          </w:p>
        </w:tc>
        <w:tc>
          <w:tcPr>
            <w:tcW w:w="110" w:type="dxa"/>
            <w:tcBorders/>
            <w:shd w:fill="CCEEFF" w:val="clear"/>
            <w:vAlign w:val="center"/>
          </w:tcPr>
          <w:p>
            <w:pPr>
              <w:pStyle w:val="TableContents"/>
              <w:bidi w:val="0"/>
              <w:spacing w:before="0" w:after="283"/>
              <w:jc w:val="left"/>
              <w:rPr>
                <w:sz w:val="4"/>
                <w:szCs w:val="4"/>
              </w:rPr>
            </w:pPr>
            <w:r>
              <w:rPr>
                <w:sz w:val="4"/>
                <w:szCs w:val="4"/>
              </w:rPr>
            </w:r>
          </w:p>
        </w:tc>
      </w:tr>
      <w:tr>
        <w:trPr/>
        <w:tc>
          <w:tcPr>
            <w:tcW w:w="7430"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Effect of exchange rate changes on cash and cash equivalents and restricted cash</w:t>
            </w:r>
          </w:p>
        </w:tc>
        <w:tc>
          <w:tcPr>
            <w:tcW w:w="900"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(53.2</w:t>
            </w:r>
          </w:p>
        </w:tc>
        <w:tc>
          <w:tcPr>
            <w:tcW w:w="112" w:type="dxa"/>
            <w:tcBorders/>
            <w:vAlign w:val="center"/>
          </w:tcPr>
          <w:p>
            <w:pPr>
              <w:pStyle w:val="TableContents"/>
              <w:bidi w:val="0"/>
              <w:spacing w:before="0" w:after="283"/>
              <w:jc w:val="left"/>
              <w:rPr/>
            </w:pPr>
            <w:r>
              <w:rPr/>
              <w:t>)</w:t>
            </w:r>
          </w:p>
        </w:tc>
        <w:tc>
          <w:tcPr>
            <w:tcW w:w="71" w:type="dxa"/>
            <w:tcBorders/>
            <w:vAlign w:val="center"/>
          </w:tcPr>
          <w:p>
            <w:pPr>
              <w:pStyle w:val="TableContents"/>
              <w:bidi w:val="0"/>
              <w:spacing w:before="0" w:after="0"/>
              <w:jc w:val="left"/>
              <w:rPr/>
            </w:pPr>
            <w:r>
              <w:rPr/>
              <w:t> </w:t>
            </w:r>
          </w:p>
        </w:tc>
        <w:tc>
          <w:tcPr>
            <w:tcW w:w="900"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(77.4</w:t>
            </w:r>
          </w:p>
        </w:tc>
        <w:tc>
          <w:tcPr>
            <w:tcW w:w="110" w:type="dxa"/>
            <w:tcBorders/>
            <w:vAlign w:val="center"/>
          </w:tcPr>
          <w:p>
            <w:pPr>
              <w:pStyle w:val="TableContents"/>
              <w:bidi w:val="0"/>
              <w:spacing w:before="0" w:after="283"/>
              <w:jc w:val="left"/>
              <w:rPr>
                <w:rFonts w:ascii="times new roman;times" w:hAnsi="times new roman;times"/>
              </w:rPr>
            </w:pPr>
            <w:r>
              <w:rPr>
                <w:rFonts w:ascii="times new roman;times" w:hAnsi="times new roman;times"/>
              </w:rPr>
              <w:t>)</w:t>
            </w:r>
          </w:p>
        </w:tc>
      </w:tr>
      <w:tr>
        <w:trPr/>
        <w:tc>
          <w:tcPr>
            <w:tcW w:w="7430"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Decrease in cash and cash equivalents and restricted cash</w:t>
            </w:r>
          </w:p>
        </w:tc>
        <w:tc>
          <w:tcPr>
            <w:tcW w:w="900"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308.2</w:t>
            </w:r>
          </w:p>
        </w:tc>
        <w:tc>
          <w:tcPr>
            <w:tcW w:w="112" w:type="dxa"/>
            <w:tcBorders/>
            <w:shd w:fill="CCEEFF" w:val="clear"/>
            <w:vAlign w:val="center"/>
          </w:tcPr>
          <w:p>
            <w:pPr>
              <w:pStyle w:val="TableContents"/>
              <w:bidi w:val="0"/>
              <w:spacing w:before="0" w:after="283"/>
              <w:jc w:val="left"/>
              <w:rPr>
                <w:sz w:val="4"/>
                <w:szCs w:val="4"/>
              </w:rPr>
            </w:pPr>
            <w:r>
              <w:rPr>
                <w:sz w:val="4"/>
                <w:szCs w:val="4"/>
              </w:rPr>
            </w:r>
          </w:p>
        </w:tc>
        <w:tc>
          <w:tcPr>
            <w:tcW w:w="71" w:type="dxa"/>
            <w:tcBorders/>
            <w:shd w:fill="CCEEFF" w:val="clear"/>
            <w:vAlign w:val="center"/>
          </w:tcPr>
          <w:p>
            <w:pPr>
              <w:pStyle w:val="TableContents"/>
              <w:bidi w:val="0"/>
              <w:spacing w:before="0" w:after="0"/>
              <w:jc w:val="left"/>
              <w:rPr/>
            </w:pPr>
            <w:r>
              <w:rPr/>
              <w:t> </w:t>
            </w:r>
          </w:p>
        </w:tc>
        <w:tc>
          <w:tcPr>
            <w:tcW w:w="900"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201.7</w:t>
            </w:r>
          </w:p>
        </w:tc>
        <w:tc>
          <w:tcPr>
            <w:tcW w:w="110" w:type="dxa"/>
            <w:tcBorders/>
            <w:shd w:fill="CCEEFF" w:val="clear"/>
            <w:vAlign w:val="center"/>
          </w:tcPr>
          <w:p>
            <w:pPr>
              <w:pStyle w:val="TableContents"/>
              <w:bidi w:val="0"/>
              <w:spacing w:before="0" w:after="283"/>
              <w:jc w:val="left"/>
              <w:rPr>
                <w:sz w:val="4"/>
                <w:szCs w:val="4"/>
              </w:rPr>
            </w:pPr>
            <w:r>
              <w:rPr>
                <w:sz w:val="4"/>
                <w:szCs w:val="4"/>
              </w:rPr>
            </w:r>
          </w:p>
        </w:tc>
      </w:tr>
      <w:tr>
        <w:trPr/>
        <w:tc>
          <w:tcPr>
            <w:tcW w:w="7430"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Cash and cash equivalents and restricted cash at beginning of period</w:t>
            </w:r>
          </w:p>
        </w:tc>
        <w:tc>
          <w:tcPr>
            <w:tcW w:w="900"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2,247.0</w:t>
            </w:r>
          </w:p>
        </w:tc>
        <w:tc>
          <w:tcPr>
            <w:tcW w:w="112"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0"/>
              <w:jc w:val="left"/>
              <w:rPr/>
            </w:pPr>
            <w:r>
              <w:rPr/>
              <w:t> </w:t>
            </w:r>
          </w:p>
        </w:tc>
        <w:tc>
          <w:tcPr>
            <w:tcW w:w="900"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1,990.9</w:t>
            </w:r>
          </w:p>
        </w:tc>
        <w:tc>
          <w:tcPr>
            <w:tcW w:w="110" w:type="dxa"/>
            <w:tcBorders/>
            <w:vAlign w:val="center"/>
          </w:tcPr>
          <w:p>
            <w:pPr>
              <w:pStyle w:val="TableContents"/>
              <w:bidi w:val="0"/>
              <w:spacing w:before="0" w:after="283"/>
              <w:jc w:val="left"/>
              <w:rPr>
                <w:sz w:val="4"/>
                <w:szCs w:val="4"/>
              </w:rPr>
            </w:pPr>
            <w:r>
              <w:rPr>
                <w:sz w:val="4"/>
                <w:szCs w:val="4"/>
              </w:rPr>
            </w:r>
          </w:p>
        </w:tc>
      </w:tr>
      <w:tr>
        <w:trPr/>
        <w:tc>
          <w:tcPr>
            <w:tcW w:w="7430" w:type="dxa"/>
            <w:tcBorders/>
            <w:shd w:fill="CCEEFF" w:val="clear"/>
            <w:vAlign w:val="center"/>
          </w:tcPr>
          <w:p>
            <w:pPr>
              <w:pStyle w:val="TableContents"/>
              <w:bidi w:val="0"/>
              <w:spacing w:before="0" w:after="0"/>
              <w:jc w:val="left"/>
              <w:rPr/>
            </w:pPr>
            <w:r>
              <w:rPr/>
              <w:t> </w:t>
            </w:r>
          </w:p>
        </w:tc>
        <w:tc>
          <w:tcPr>
            <w:tcW w:w="148" w:type="dxa"/>
            <w:tcBorders/>
            <w:shd w:fill="CCEEFF" w:val="clear"/>
            <w:vAlign w:val="center"/>
          </w:tcPr>
          <w:p>
            <w:pPr>
              <w:pStyle w:val="TableContents"/>
              <w:bidi w:val="0"/>
              <w:spacing w:before="0" w:after="0"/>
              <w:jc w:val="left"/>
              <w:rPr/>
            </w:pPr>
            <w:r>
              <w:rPr/>
              <w:t> </w:t>
            </w:r>
          </w:p>
        </w:tc>
        <w:tc>
          <w:tcPr>
            <w:tcW w:w="752" w:type="dxa"/>
            <w:tcBorders/>
            <w:shd w:fill="CCEEFF" w:val="clear"/>
            <w:vAlign w:val="center"/>
          </w:tcPr>
          <w:p>
            <w:pPr>
              <w:pStyle w:val="TableContents"/>
              <w:bidi w:val="0"/>
              <w:spacing w:before="0" w:after="0"/>
              <w:jc w:val="left"/>
              <w:rPr>
                <w:sz w:val="20"/>
              </w:rPr>
            </w:pPr>
            <w:r>
              <w:rPr>
                <w:sz w:val="20"/>
              </w:rPr>
            </w:r>
          </w:p>
        </w:tc>
        <w:tc>
          <w:tcPr>
            <w:tcW w:w="112" w:type="dxa"/>
            <w:tcBorders/>
            <w:shd w:fill="CCEEFF" w:val="clear"/>
            <w:vAlign w:val="center"/>
          </w:tcPr>
          <w:p>
            <w:pPr>
              <w:pStyle w:val="TableContents"/>
              <w:bidi w:val="0"/>
              <w:spacing w:before="0" w:after="0"/>
              <w:jc w:val="left"/>
              <w:rPr>
                <w:sz w:val="20"/>
              </w:rPr>
            </w:pPr>
            <w:r>
              <w:rPr>
                <w:sz w:val="20"/>
              </w:rPr>
            </w:r>
          </w:p>
        </w:tc>
        <w:tc>
          <w:tcPr>
            <w:tcW w:w="71" w:type="dxa"/>
            <w:tcBorders/>
            <w:shd w:fill="CCEEFF" w:val="clear"/>
            <w:vAlign w:val="center"/>
          </w:tcPr>
          <w:p>
            <w:pPr>
              <w:pStyle w:val="TableContents"/>
              <w:bidi w:val="0"/>
              <w:spacing w:before="0" w:after="0"/>
              <w:jc w:val="left"/>
              <w:rPr/>
            </w:pPr>
            <w:r>
              <w:rPr/>
              <w:t> </w:t>
            </w:r>
          </w:p>
        </w:tc>
        <w:tc>
          <w:tcPr>
            <w:tcW w:w="148" w:type="dxa"/>
            <w:tcBorders/>
            <w:shd w:fill="CCEEFF" w:val="clear"/>
            <w:vAlign w:val="center"/>
          </w:tcPr>
          <w:p>
            <w:pPr>
              <w:pStyle w:val="TableContents"/>
              <w:bidi w:val="0"/>
              <w:spacing w:before="0" w:after="0"/>
              <w:jc w:val="left"/>
              <w:rPr/>
            </w:pPr>
            <w:r>
              <w:rPr/>
              <w:t> </w:t>
            </w:r>
          </w:p>
        </w:tc>
        <w:tc>
          <w:tcPr>
            <w:tcW w:w="752" w:type="dxa"/>
            <w:tcBorders/>
            <w:shd w:fill="CCEEFF" w:val="clear"/>
            <w:vAlign w:val="center"/>
          </w:tcPr>
          <w:p>
            <w:pPr>
              <w:pStyle w:val="TableContents"/>
              <w:bidi w:val="0"/>
              <w:spacing w:before="0" w:after="0"/>
              <w:jc w:val="left"/>
              <w:rPr>
                <w:sz w:val="20"/>
              </w:rPr>
            </w:pPr>
            <w:r>
              <w:rPr>
                <w:sz w:val="20"/>
              </w:rPr>
            </w:r>
          </w:p>
        </w:tc>
        <w:tc>
          <w:tcPr>
            <w:tcW w:w="110" w:type="dxa"/>
            <w:tcBorders/>
            <w:shd w:fill="CCEEFF" w:val="clear"/>
            <w:vAlign w:val="center"/>
          </w:tcPr>
          <w:p>
            <w:pPr>
              <w:pStyle w:val="TableContents"/>
              <w:bidi w:val="0"/>
              <w:spacing w:before="0" w:after="0"/>
              <w:jc w:val="left"/>
              <w:rPr>
                <w:sz w:val="20"/>
              </w:rPr>
            </w:pPr>
            <w:r>
              <w:rPr>
                <w:sz w:val="20"/>
              </w:rPr>
            </w:r>
          </w:p>
        </w:tc>
      </w:tr>
      <w:tr>
        <w:trPr/>
        <w:tc>
          <w:tcPr>
            <w:tcW w:w="7430"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Cash and cash equivalents and restricted cash at end of period</w:t>
            </w:r>
          </w:p>
        </w:tc>
        <w:tc>
          <w:tcPr>
            <w:tcW w:w="148"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752"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2,555.2</w:t>
            </w:r>
          </w:p>
        </w:tc>
        <w:tc>
          <w:tcPr>
            <w:tcW w:w="112"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0"/>
              <w:jc w:val="left"/>
              <w:rPr/>
            </w:pPr>
            <w:r>
              <w:rPr/>
              <w:t> </w:t>
            </w:r>
          </w:p>
        </w:tc>
        <w:tc>
          <w:tcPr>
            <w:tcW w:w="148"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752"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2,192.6</w:t>
            </w:r>
          </w:p>
        </w:tc>
        <w:tc>
          <w:tcPr>
            <w:tcW w:w="110" w:type="dxa"/>
            <w:tcBorders/>
            <w:vAlign w:val="center"/>
          </w:tcPr>
          <w:p>
            <w:pPr>
              <w:pStyle w:val="TableContents"/>
              <w:bidi w:val="0"/>
              <w:spacing w:before="0" w:after="283"/>
              <w:jc w:val="left"/>
              <w:rPr>
                <w:sz w:val="4"/>
                <w:szCs w:val="4"/>
              </w:rPr>
            </w:pPr>
            <w:r>
              <w:rPr>
                <w:sz w:val="4"/>
                <w:szCs w:val="4"/>
              </w:rPr>
            </w:r>
          </w:p>
        </w:tc>
      </w:tr>
      <w:tr>
        <w:trPr/>
        <w:tc>
          <w:tcPr>
            <w:tcW w:w="7430" w:type="dxa"/>
            <w:tcBorders/>
            <w:shd w:fill="CCEEFF" w:val="clear"/>
            <w:vAlign w:val="center"/>
          </w:tcPr>
          <w:p>
            <w:pPr>
              <w:pStyle w:val="TableContents"/>
              <w:bidi w:val="0"/>
              <w:spacing w:before="0" w:after="0"/>
              <w:jc w:val="left"/>
              <w:rPr/>
            </w:pPr>
            <w:r>
              <w:rPr/>
              <w:t> </w:t>
            </w:r>
          </w:p>
        </w:tc>
        <w:tc>
          <w:tcPr>
            <w:tcW w:w="1012" w:type="dxa"/>
            <w:gridSpan w:val="3"/>
            <w:tcBorders/>
            <w:shd w:fill="CCEEFF" w:val="clear"/>
            <w:vAlign w:val="center"/>
          </w:tcPr>
          <w:p>
            <w:pPr>
              <w:pStyle w:val="TableContents"/>
              <w:bidi w:val="0"/>
              <w:spacing w:before="0" w:after="0"/>
              <w:jc w:val="left"/>
              <w:rPr/>
            </w:pPr>
            <w:r>
              <w:rPr/>
              <w:t> </w:t>
            </w:r>
          </w:p>
        </w:tc>
        <w:tc>
          <w:tcPr>
            <w:tcW w:w="71" w:type="dxa"/>
            <w:tcBorders/>
            <w:shd w:fill="CCEEFF" w:val="clear"/>
            <w:vAlign w:val="center"/>
          </w:tcPr>
          <w:p>
            <w:pPr>
              <w:pStyle w:val="TableContents"/>
              <w:bidi w:val="0"/>
              <w:spacing w:before="0" w:after="0"/>
              <w:jc w:val="left"/>
              <w:rPr/>
            </w:pPr>
            <w:r>
              <w:rPr/>
              <w:t> </w:t>
            </w:r>
          </w:p>
        </w:tc>
        <w:tc>
          <w:tcPr>
            <w:tcW w:w="1010" w:type="dxa"/>
            <w:gridSpan w:val="3"/>
            <w:tcBorders/>
            <w:shd w:fill="CCEEFF" w:val="clear"/>
            <w:vAlign w:val="center"/>
          </w:tcPr>
          <w:p>
            <w:pPr>
              <w:pStyle w:val="TableContents"/>
              <w:bidi w:val="0"/>
              <w:spacing w:before="0" w:after="0"/>
              <w:jc w:val="left"/>
              <w:rPr/>
            </w:pPr>
            <w:r>
              <w:rPr/>
              <w:t> </w:t>
            </w:r>
          </w:p>
        </w:tc>
      </w:tr>
      <w:tr>
        <w:trPr/>
        <w:tc>
          <w:tcPr>
            <w:tcW w:w="7430"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Supplemental disclosure of cash flow information:</w:t>
            </w:r>
          </w:p>
        </w:tc>
        <w:tc>
          <w:tcPr>
            <w:tcW w:w="1012" w:type="dxa"/>
            <w:gridSpan w:val="3"/>
            <w:tcBorders/>
            <w:vAlign w:val="center"/>
          </w:tcPr>
          <w:p>
            <w:pPr>
              <w:pStyle w:val="TableContents"/>
              <w:bidi w:val="0"/>
              <w:spacing w:before="0" w:after="0"/>
              <w:jc w:val="left"/>
              <w:rPr/>
            </w:pPr>
            <w:r>
              <w:rPr/>
              <w:t> </w:t>
            </w:r>
          </w:p>
        </w:tc>
        <w:tc>
          <w:tcPr>
            <w:tcW w:w="71" w:type="dxa"/>
            <w:tcBorders/>
            <w:vAlign w:val="center"/>
          </w:tcPr>
          <w:p>
            <w:pPr>
              <w:pStyle w:val="TableContents"/>
              <w:bidi w:val="0"/>
              <w:spacing w:before="0" w:after="0"/>
              <w:jc w:val="left"/>
              <w:rPr/>
            </w:pPr>
            <w:r>
              <w:rPr/>
              <w:t> </w:t>
            </w:r>
          </w:p>
        </w:tc>
        <w:tc>
          <w:tcPr>
            <w:tcW w:w="1010" w:type="dxa"/>
            <w:gridSpan w:val="3"/>
            <w:tcBorders/>
            <w:vAlign w:val="center"/>
          </w:tcPr>
          <w:p>
            <w:pPr>
              <w:pStyle w:val="TableContents"/>
              <w:bidi w:val="0"/>
              <w:spacing w:before="0" w:after="0"/>
              <w:jc w:val="left"/>
              <w:rPr/>
            </w:pPr>
            <w:r>
              <w:rPr/>
              <w:t> </w:t>
            </w:r>
          </w:p>
        </w:tc>
      </w:tr>
      <w:tr>
        <w:trPr/>
        <w:tc>
          <w:tcPr>
            <w:tcW w:w="7430"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Interest paid during the period</w:t>
            </w:r>
          </w:p>
        </w:tc>
        <w:tc>
          <w:tcPr>
            <w:tcW w:w="148"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752"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29.5</w:t>
            </w:r>
          </w:p>
        </w:tc>
        <w:tc>
          <w:tcPr>
            <w:tcW w:w="112" w:type="dxa"/>
            <w:tcBorders/>
            <w:shd w:fill="CCEEFF" w:val="clear"/>
            <w:vAlign w:val="center"/>
          </w:tcPr>
          <w:p>
            <w:pPr>
              <w:pStyle w:val="TableContents"/>
              <w:bidi w:val="0"/>
              <w:spacing w:before="0" w:after="283"/>
              <w:jc w:val="left"/>
              <w:rPr>
                <w:sz w:val="4"/>
                <w:szCs w:val="4"/>
              </w:rPr>
            </w:pPr>
            <w:r>
              <w:rPr>
                <w:sz w:val="4"/>
                <w:szCs w:val="4"/>
              </w:rPr>
            </w:r>
          </w:p>
        </w:tc>
        <w:tc>
          <w:tcPr>
            <w:tcW w:w="71" w:type="dxa"/>
            <w:tcBorders/>
            <w:shd w:fill="CCEEFF" w:val="clear"/>
            <w:vAlign w:val="center"/>
          </w:tcPr>
          <w:p>
            <w:pPr>
              <w:pStyle w:val="TableContents"/>
              <w:bidi w:val="0"/>
              <w:spacing w:before="0" w:after="0"/>
              <w:jc w:val="left"/>
              <w:rPr/>
            </w:pPr>
            <w:r>
              <w:rPr/>
              <w:t> </w:t>
            </w:r>
          </w:p>
        </w:tc>
        <w:tc>
          <w:tcPr>
            <w:tcW w:w="148"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752"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29.7</w:t>
            </w:r>
          </w:p>
        </w:tc>
        <w:tc>
          <w:tcPr>
            <w:tcW w:w="110" w:type="dxa"/>
            <w:tcBorders/>
            <w:shd w:fill="CCEEFF" w:val="clear"/>
            <w:vAlign w:val="center"/>
          </w:tcPr>
          <w:p>
            <w:pPr>
              <w:pStyle w:val="TableContents"/>
              <w:bidi w:val="0"/>
              <w:spacing w:before="0" w:after="283"/>
              <w:jc w:val="left"/>
              <w:rPr>
                <w:sz w:val="4"/>
                <w:szCs w:val="4"/>
              </w:rPr>
            </w:pPr>
            <w:r>
              <w:rPr>
                <w:sz w:val="4"/>
                <w:szCs w:val="4"/>
              </w:rPr>
            </w:r>
          </w:p>
        </w:tc>
      </w:tr>
      <w:tr>
        <w:trPr/>
        <w:tc>
          <w:tcPr>
            <w:tcW w:w="7430"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Income taxes paid during the period</w:t>
            </w:r>
          </w:p>
        </w:tc>
        <w:tc>
          <w:tcPr>
            <w:tcW w:w="148"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752"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52.1</w:t>
            </w:r>
          </w:p>
        </w:tc>
        <w:tc>
          <w:tcPr>
            <w:tcW w:w="112"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0"/>
              <w:jc w:val="left"/>
              <w:rPr/>
            </w:pPr>
            <w:r>
              <w:rPr/>
              <w:t> </w:t>
            </w:r>
          </w:p>
        </w:tc>
        <w:tc>
          <w:tcPr>
            <w:tcW w:w="148"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752"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36.0</w:t>
            </w:r>
          </w:p>
        </w:tc>
        <w:tc>
          <w:tcPr>
            <w:tcW w:w="110" w:type="dxa"/>
            <w:tcBorders/>
            <w:vAlign w:val="center"/>
          </w:tcPr>
          <w:p>
            <w:pPr>
              <w:pStyle w:val="TableContents"/>
              <w:bidi w:val="0"/>
              <w:spacing w:before="0" w:after="283"/>
              <w:jc w:val="left"/>
              <w:rPr>
                <w:sz w:val="4"/>
                <w:szCs w:val="4"/>
              </w:rPr>
            </w:pPr>
            <w:r>
              <w:rPr>
                <w:sz w:val="4"/>
                <w:szCs w:val="4"/>
              </w:rPr>
            </w:r>
          </w:p>
        </w:tc>
      </w:tr>
    </w:tbl>
    <w:p>
      <w:pPr>
        <w:pStyle w:val="TextBody"/>
        <w:widowControl/>
        <w:bidi w:val="0"/>
        <w:jc w:val="left"/>
        <w:rPr>
          <w:rFonts w:ascii="Times New Roman" w:hAnsi="Times New Roman" w:eastAsia="Times New Roman" w:cs="Times New Roman"/>
          <w:b w:val="false"/>
          <w:b w:val="false"/>
          <w:bCs w:val="false"/>
          <w:i w:val="false"/>
          <w:i w:val="false"/>
          <w:iCs w:val="false"/>
          <w:caps w:val="false"/>
          <w:smallCaps w:val="false"/>
          <w:color w:val="000000"/>
          <w:spacing w:val="0"/>
          <w:sz w:val="20"/>
          <w:szCs w:val="20"/>
        </w:rPr>
      </w:pPr>
      <w:r>
        <w:rPr>
          <w:rFonts w:eastAsia="Times New Roman" w:cs="Times New Roman" w:ascii="Times New Roman" w:hAnsi="Times New Roman"/>
          <w:b w:val="false"/>
          <w:bCs w:val="false"/>
          <w:i w:val="false"/>
          <w:iCs w:val="false"/>
          <w:caps w:val="false"/>
          <w:smallCaps w:val="false"/>
          <w:color w:val="000000"/>
          <w:spacing w:val="0"/>
          <w:sz w:val="20"/>
          <w:szCs w:val="20"/>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pPr>
      <w:r>
        <w:rPr/>
        <w:t> </w:t>
      </w:r>
    </w:p>
    <w:p>
      <w:pPr>
        <w:pStyle w:val="TextBody"/>
        <w:widowControl/>
        <w:bidi w:val="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See accompanying notes to the unaudited consolidated financial statements.</w:t>
      </w:r>
    </w:p>
    <w:p>
      <w:pPr>
        <w:pStyle w:val="TextBody"/>
        <w:bidi w:val="0"/>
        <w:spacing w:before="0" w:after="0"/>
        <w:ind w:left="0" w:right="0" w:hanging="0"/>
        <w:jc w:val="both"/>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211" w:type="dxa"/>
        <w:jc w:val="left"/>
        <w:tblInd w:w="0" w:type="dxa"/>
        <w:tblLayout w:type="fixed"/>
        <w:tblCellMar>
          <w:top w:w="0" w:type="dxa"/>
          <w:left w:w="0" w:type="dxa"/>
          <w:bottom w:w="0" w:type="dxa"/>
          <w:right w:w="0" w:type="dxa"/>
        </w:tblCellMar>
      </w:tblPr>
      <w:tblGrid>
        <w:gridCol w:w="211"/>
      </w:tblGrid>
      <w:tr>
        <w:trPr/>
        <w:tc>
          <w:tcPr>
            <w:tcW w:w="211" w:type="dxa"/>
            <w:tcBorders/>
            <w:vAlign w:val="center"/>
          </w:tcPr>
          <w:p>
            <w:pPr>
              <w:pStyle w:val="TableContents"/>
              <w:bidi w:val="0"/>
              <w:spacing w:before="0" w:after="283"/>
              <w:jc w:val="center"/>
              <w:rPr>
                <w:sz w:val="20"/>
              </w:rPr>
            </w:pPr>
            <w:r>
              <w:rPr>
                <w:sz w:val="20"/>
              </w:rPr>
              <w:t>6</w:t>
            </w:r>
          </w:p>
        </w:tc>
      </w:tr>
    </w:tbl>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0" w:after="0"/>
        <w:jc w:val="left"/>
        <w:rPr/>
      </w:pPr>
      <w:r>
        <w:rPr/>
      </w:r>
    </w:p>
    <w:p>
      <w:pPr>
        <w:pStyle w:val="TextBody"/>
        <w:bidi w:val="0"/>
        <w:spacing w:before="0" w:after="0"/>
        <w:jc w:val="left"/>
        <w:rPr/>
      </w:pPr>
      <w:r>
        <w:rPr/>
      </w:r>
    </w:p>
    <w:p>
      <w:pPr>
        <w:pStyle w:val="TextBody"/>
        <w:widowControl/>
        <w:bidi w:val="0"/>
        <w:spacing w:before="0" w:after="0"/>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EURONET WORLDWIDE, INC. AND SUBSIDIARIES</w:t>
      </w:r>
    </w:p>
    <w:p>
      <w:pPr>
        <w:pStyle w:val="TextBody"/>
        <w:widowControl/>
        <w:bidi w:val="0"/>
        <w:spacing w:before="0" w:after="0"/>
        <w:ind w:left="0" w:right="0" w:hanging="0"/>
        <w:jc w:val="left"/>
        <w:rPr/>
      </w:pPr>
      <w:hyperlink r:id="rId6">
        <w:bookmarkStart w:id="44" w:name="BH_0DMC6LCZGW00000000000000000000"/>
        <w:bookmarkEnd w:id="44"/>
        <w:r>
          <w:rPr>
            <w:rStyle w:val="InternetLink"/>
            <w:rFonts w:ascii="times new roman;times" w:hAnsi="times new roman;times"/>
            <w:b/>
            <w:i w:val="false"/>
            <w:caps w:val="false"/>
            <w:smallCaps w:val="false"/>
            <w:strike w:val="false"/>
            <w:dstrike w:val="false"/>
            <w:color w:val="000000"/>
            <w:spacing w:val="0"/>
            <w:sz w:val="20"/>
            <w:u w:val="none"/>
            <w:effect w:val="none"/>
          </w:rPr>
          <w:t>NOTES TO THE UNAUDITED CONSOLIDATED FINANCIAL STATEMENTS</w:t>
        </w:r>
      </w:hyperlink>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bidi w:val="0"/>
        <w:spacing w:before="0" w:after="0"/>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w:t>
      </w:r>
      <w:r>
        <w:rPr>
          <w:rFonts w:ascii="times new roman;times" w:hAnsi="times new roman;times"/>
          <w:b/>
          <w:i w:val="false"/>
          <w:caps w:val="false"/>
          <w:smallCaps w:val="false"/>
          <w:color w:val="000000"/>
          <w:spacing w:val="0"/>
          <w:sz w:val="20"/>
        </w:rPr>
        <w:t>1</w:t>
      </w:r>
      <w:r>
        <w:rPr>
          <w:rFonts w:ascii="times new roman;times" w:hAnsi="times new roman;times"/>
          <w:b/>
          <w:i w:val="false"/>
          <w:caps w:val="false"/>
          <w:smallCaps w:val="false"/>
          <w:color w:val="000000"/>
          <w:spacing w:val="0"/>
          <w:sz w:val="20"/>
        </w:rPr>
        <w:t>) GENERAL</w:t>
      </w:r>
    </w:p>
    <w:p>
      <w:pPr>
        <w:pStyle w:val="TextBody"/>
        <w:widowControl/>
        <w:bidi w:val="0"/>
        <w:spacing w:lineRule="auto" w:line="288" w:before="0" w:after="200"/>
        <w:ind w:left="0" w:right="0" w:hanging="0"/>
        <w:jc w:val="both"/>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Organization</w:t>
      </w:r>
    </w:p>
    <w:p>
      <w:pPr>
        <w:pStyle w:val="TextBody"/>
        <w:widowControl/>
        <w:bidi w:val="0"/>
        <w:spacing w:lineRule="auto" w:line="288" w:before="0" w:after="20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Euronet Worldwide, Inc. (the "Company" or "Euronet") was established as a Delaware corporation on December 13, 1996 and succeeded Euronet Holding N.V. as the group holding company, which was founded and established in 1994. Euronet is a leading electronic payments provider. Euronet offers payment and transaction processing and distribution solutions to financial institutions, retailers, service providers and individual consumers. Euronet's primary product offerings include comprehensive ATM, point-of-sale ("POS"), card outsourcing, card issuing and merchant acquiring services, electronic distribution of prepaid mobile airtime and other electronic payment products, and international payment services.</w:t>
      </w:r>
    </w:p>
    <w:p>
      <w:pPr>
        <w:pStyle w:val="TextBody"/>
        <w:widowControl/>
        <w:bidi w:val="0"/>
        <w:spacing w:lineRule="auto" w:line="288" w:before="0" w:after="200"/>
        <w:ind w:left="0" w:right="0" w:hanging="0"/>
        <w:jc w:val="both"/>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Basis of Presentation</w:t>
      </w:r>
    </w:p>
    <w:p>
      <w:pPr>
        <w:pStyle w:val="TextBody"/>
        <w:widowControl/>
        <w:bidi w:val="0"/>
        <w:spacing w:lineRule="auto" w:line="288" w:before="0" w:after="20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accompanying unaudited consolidated financial statements have been prepared from the records of the Company, in conformity with accounting principles generally accepted in the U.S. (“U.S. GAAP”) and pursuant to the rules and regulations of the Securities and Exchange Commission (“SEC”). In the opinion of management, such unaudited consolidated financial statements contain all adjustments (consisting only of normal recurring adjustments) necessary to fairly present the consolidated financial position and the results of operations, comprehensive income, changes in equity and cash flows for the interim periods. The unaudited consolidated financial statements should be read in conjunction with the Company's audited consolidated financial statements for the year ended </w:t>
      </w:r>
      <w:r>
        <w:rPr>
          <w:rFonts w:ascii="times new roman;times" w:hAnsi="times new roman;times"/>
          <w:b w:val="false"/>
          <w:i w:val="false"/>
          <w:caps w:val="false"/>
          <w:smallCaps w:val="false"/>
          <w:strike w:val="false"/>
          <w:dstrike w:val="false"/>
          <w:color w:val="000000"/>
          <w:spacing w:val="0"/>
          <w:sz w:val="20"/>
          <w:u w:val="none"/>
          <w:effect w:val="none"/>
        </w:rPr>
        <w:t>December 31, 2023</w:t>
      </w:r>
      <w:r>
        <w:rPr>
          <w:rFonts w:ascii="times new roman;times" w:hAnsi="times new roman;times"/>
          <w:b w:val="false"/>
          <w:i w:val="false"/>
          <w:caps w:val="false"/>
          <w:smallCaps w:val="false"/>
          <w:color w:val="000000"/>
          <w:spacing w:val="0"/>
          <w:sz w:val="20"/>
        </w:rPr>
        <w:t>, including the notes thereto, set forth in the Company's 2023 Annual Report on Form 10-K.</w:t>
      </w:r>
    </w:p>
    <w:p>
      <w:pPr>
        <w:pStyle w:val="TextBody"/>
        <w:widowControl/>
        <w:bidi w:val="0"/>
        <w:spacing w:lineRule="auto" w:line="288" w:before="0" w:after="200"/>
        <w:ind w:left="0" w:right="0" w:hanging="0"/>
        <w:jc w:val="both"/>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Use of Estimates</w:t>
      </w:r>
    </w:p>
    <w:p>
      <w:pPr>
        <w:pStyle w:val="TextBody"/>
        <w:widowControl/>
        <w:bidi w:val="0"/>
        <w:spacing w:lineRule="auto" w:line="288" w:before="0" w:after="20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preparation of financial statements in conformity with U.S. GAAP requires management to make certain estimates and assumptions that affect the reported amounts of assets and liabilities and disclosures of contingent assets and liabilities at the date of the financial statements, as well as the reported amounts of revenues and expenses during the reporting period. Significant items subject to such estimates and assumptions include computing income taxes, estimating the useful lives and potential impairment of long-lived assets and goodwill, as well as allocating the purchase price to assets acquired and liabilities assumed in acquisitions and revenue recognition. Actual results could differ from those estimates. The results of operations for interim periods are not necessarily indicative of the results to be expected for the full year ending December 31, 2024.</w:t>
      </w:r>
    </w:p>
    <w:p>
      <w:pPr>
        <w:pStyle w:val="TextBody"/>
        <w:widowControl/>
        <w:bidi w:val="0"/>
        <w:spacing w:lineRule="auto" w:line="288" w:before="0" w:after="200"/>
        <w:ind w:left="0" w:right="0" w:hanging="0"/>
        <w:jc w:val="both"/>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Seasonality</w:t>
      </w:r>
    </w:p>
    <w:p>
      <w:pPr>
        <w:pStyle w:val="TextBody"/>
        <w:widowControl/>
        <w:bidi w:val="0"/>
        <w:spacing w:lineRule="auto" w:line="288"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Company's EFT Processing Segment normally experiences its heaviest demand for dynamic currency conversion ("DCC") services during the third quarter of the fiscal year, normally coinciding with the tourism season. The epay Segment is normally impacted by seasonality during the fourth quarter and first quarter of each year due to higher transaction levels during the holiday season and lower levels following the holiday season. Also, epay sells large loyalty rewards campaigns to retailers, which could be deployed in any given quarter and will impact the activity in that quarter accordingly. Seasonality in the Money Transfer Segment varies by region of the world. In most markets, the Company usually experiences increased demand for money transfer services from the month of May through the fourth quarter of each year, coinciding with the increase in worker migration patterns and various holidays, and its lowest transaction levels during the first quarter of the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0"/>
              <w:ind w:left="0" w:right="0" w:hanging="0"/>
              <w:jc w:val="center"/>
              <w:rPr>
                <w:sz w:val="20"/>
              </w:rPr>
            </w:pPr>
            <w:r>
              <w:rPr>
                <w:sz w:val="20"/>
              </w:rPr>
              <w:t>7</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before="0" w:after="0"/>
        <w:jc w:val="left"/>
        <w:rPr/>
      </w:pPr>
      <w:r>
        <w:rPr/>
      </w:r>
    </w:p>
    <w:p>
      <w:pPr>
        <w:pStyle w:val="TextBody"/>
        <w:bidi w:val="0"/>
        <w:spacing w:lineRule="auto" w:line="288"/>
        <w:jc w:val="left"/>
        <w:rPr>
          <w:sz w:val="20"/>
        </w:rPr>
      </w:pPr>
      <w:r>
        <w:rPr>
          <w:sz w:val="20"/>
        </w:rPr>
      </w:r>
    </w:p>
    <w:p>
      <w:pPr>
        <w:pStyle w:val="TextBody"/>
        <w:bidi w:val="0"/>
        <w:spacing w:before="0" w:after="0"/>
        <w:ind w:left="0" w:right="0" w:hanging="0"/>
        <w:jc w:val="left"/>
        <w:rPr/>
      </w:pPr>
      <w:r>
        <w:rPr/>
      </w:r>
    </w:p>
    <w:p>
      <w:pPr>
        <w:pStyle w:val="TextBody"/>
        <w:widowControl/>
        <w:bidi w:val="0"/>
        <w:spacing w:lineRule="auto" w:line="288"/>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w:t>
      </w:r>
      <w:r>
        <w:rPr>
          <w:rFonts w:ascii="times new roman;times" w:hAnsi="times new roman;times"/>
          <w:b/>
          <w:i w:val="false"/>
          <w:caps w:val="false"/>
          <w:smallCaps w:val="false"/>
          <w:color w:val="000000"/>
          <w:spacing w:val="0"/>
          <w:sz w:val="20"/>
        </w:rPr>
        <w:t>2</w:t>
      </w:r>
      <w:r>
        <w:rPr>
          <w:rFonts w:ascii="times new roman;times" w:hAnsi="times new roman;times"/>
          <w:b/>
          <w:i w:val="false"/>
          <w:caps w:val="false"/>
          <w:smallCaps w:val="false"/>
          <w:color w:val="000000"/>
          <w:spacing w:val="0"/>
          <w:sz w:val="20"/>
        </w:rPr>
        <w:t>) RECENTLY ISSUED ACCOUNTING PRONOUNCEMENTS</w:t>
      </w:r>
    </w:p>
    <w:p>
      <w:pPr>
        <w:pStyle w:val="TextBody"/>
        <w:widowControl/>
        <w:bidi w:val="0"/>
        <w:spacing w:lineRule="auto" w:line="288"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bidi w:val="0"/>
        <w:spacing w:lineRule="auto" w:line="288"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In November 2023, the Financial Accounting Standards Board issued a new accounting pronouncement regarding segment reporting. The standard requires that public entities expand reportable segment disclosures, primarily through enhanced disclosures about significant segment expenses. The Company is required to adopt the new standard for its 2024 annual reporting and effective January 1, 2025 for its interim reporting, using a retrospective approach. Management is currently evaluating the potential impact that the adoption of this standard will have on the Company’s disclosures. </w:t>
      </w:r>
    </w:p>
    <w:p>
      <w:pPr>
        <w:pStyle w:val="TextBody"/>
        <w:widowControl/>
        <w:bidi w:val="0"/>
        <w:spacing w:lineRule="auto" w:line="288"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bidi w:val="0"/>
        <w:spacing w:lineRule="auto" w:line="288"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In December 2023, the Financial Accounting Standards Board issued a new accounting pronouncement regarding income tax disclosures. The standard requires that public entities disclose more consistent and detailed categories in their statutory-to-effective income tax rate reconciliations and further disaggregate income taxes paid by jurisdiction. The Company is required to adopt the new standard for its 2025 annual reporting, using a prospective approach. Management is currently evaluating the potential impact that the adoption of this standard will have on the Company’s disclosures. </w:t>
      </w:r>
    </w:p>
    <w:p>
      <w:pPr>
        <w:pStyle w:val="TextBody"/>
        <w:widowControl/>
        <w:bidi w:val="0"/>
        <w:spacing w:lineRule="auto" w:line="288" w:before="0" w:after="0"/>
        <w:ind w:left="0" w:right="0" w:hanging="0"/>
        <w:jc w:val="both"/>
        <w:rPr>
          <w:caps w:val="false"/>
          <w:smallCaps w:val="false"/>
          <w:color w:val="000000"/>
          <w:spacing w:val="0"/>
        </w:rPr>
      </w:pPr>
      <w:r>
        <w:rPr>
          <w:caps w:val="false"/>
          <w:smallCaps w:val="false"/>
          <w:color w:val="000000"/>
          <w:spacing w:val="0"/>
        </w:rPr>
        <w:t> </w:t>
      </w:r>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t>(</w:t>
      </w:r>
      <w:r>
        <w:rPr>
          <w:rFonts w:ascii="times new roman;times" w:hAnsi="times new roman;times"/>
          <w:b/>
          <w:sz w:val="20"/>
        </w:rPr>
        <w:t>3</w:t>
      </w:r>
      <w:r>
        <w:rPr>
          <w:rFonts w:ascii="times new roman;times" w:hAnsi="times new roman;times"/>
          <w:b/>
          <w:sz w:val="20"/>
        </w:rPr>
        <w:t>) ACQUISITIONS</w:t>
      </w:r>
    </w:p>
    <w:p>
      <w:pPr>
        <w:pStyle w:val="TextBody"/>
        <w:bidi w:val="0"/>
        <w:spacing w:lineRule="auto" w:line="288" w:before="0" w:after="0"/>
        <w:ind w:left="0" w:right="0" w:hanging="0"/>
        <w:jc w:val="both"/>
        <w:rPr/>
      </w:pPr>
      <w:r>
        <w:rPr/>
        <w:t> </w:t>
      </w:r>
    </w:p>
    <w:p>
      <w:pPr>
        <w:pStyle w:val="TextBody"/>
        <w:widowControl/>
        <w:bidi w:val="0"/>
        <w:spacing w:lineRule="auto" w:line="288" w:before="0" w:after="0"/>
        <w:ind w:left="0" w:right="0" w:hanging="0"/>
        <w:jc w:val="both"/>
        <w:rPr>
          <w:rFonts w:ascii="times new roman;times" w:hAnsi="times new roman;times"/>
          <w:b w:val="false"/>
          <w:i/>
          <w:color w:val="000000"/>
          <w:spacing w:val="0"/>
          <w:sz w:val="20"/>
        </w:rPr>
      </w:pPr>
      <w:r>
        <w:rPr>
          <w:rFonts w:ascii="times new roman;times" w:hAnsi="times new roman;times"/>
          <w:b w:val="false"/>
          <w:i/>
          <w:color w:val="000000"/>
          <w:spacing w:val="0"/>
          <w:sz w:val="20"/>
        </w:rPr>
        <w:t>Acquisitions 2024</w:t>
      </w:r>
    </w:p>
    <w:p>
      <w:pPr>
        <w:pStyle w:val="TextBody"/>
        <w:bidi w:val="0"/>
        <w:spacing w:lineRule="auto" w:line="288" w:before="0" w:after="0"/>
        <w:ind w:left="0" w:right="0" w:hanging="0"/>
        <w:jc w:val="both"/>
        <w:rPr/>
      </w:pPr>
      <w:r>
        <w:rPr/>
      </w:r>
    </w:p>
    <w:p>
      <w:pPr>
        <w:pStyle w:val="TextBody"/>
        <w:widowControl/>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On February 1, 2024, Euronet acquired Infinitium Group, a leading regional solutions provider with Payments Authentication services, for a purchase consideration of $70.0 million cash and $5.0 million of the Company’s common stock to be paid over two installments on February 1, 2026 and 2027. The Company preliminarily allocated $51.0 million of the purchase consideration to customer relationships, $5.6 million to acquired net assets, and the remaining $18.4 million to goodwill. During the second quarter 2024 we subsequently allocated $10.2 to goodwill due to a deferred tax liability position. For the quarter ended June 30, 2024, the Company made measurement period adjustment to reflect facts and circumstances in existence as of the effective time of the acquisition. This adjustment primarily included an adjustment to deferred tax liabilities and goodwill </w:t>
      </w:r>
      <w:r>
        <w:rPr>
          <w:rFonts w:ascii="times new roman;times" w:hAnsi="times new roman;times"/>
          <w:b w:val="false"/>
          <w:i w:val="false"/>
          <w:caps w:val="false"/>
          <w:smallCaps w:val="false"/>
          <w:color w:val="000000"/>
          <w:spacing w:val="0"/>
          <w:sz w:val="20"/>
        </w:rPr>
        <w:t>of $10.2 million</w:t>
      </w:r>
      <w:r>
        <w:rPr>
          <w:rFonts w:ascii="times new roman;times" w:hAnsi="times new roman;times"/>
          <w:sz w:val="20"/>
        </w:rPr>
        <w:t>.</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In the second quarter of 2024, Euronet acquired a business for an immaterial amount.</w:t>
      </w:r>
    </w:p>
    <w:p>
      <w:pPr>
        <w:pStyle w:val="TextBody"/>
        <w:bidi w:val="0"/>
        <w:spacing w:before="0" w:after="0"/>
        <w:ind w:left="0" w:right="0" w:hanging="0"/>
        <w:jc w:val="both"/>
        <w:rPr/>
      </w:pPr>
      <w:r>
        <w:rPr/>
        <w:t> </w:t>
      </w:r>
    </w:p>
    <w:p>
      <w:pPr>
        <w:pStyle w:val="TextBody"/>
        <w:widowControl/>
        <w:bidi w:val="0"/>
        <w:spacing w:lineRule="auto" w:line="288"/>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(4) SETTLEMENT ASSETS AND OBLIGATIONS</w:t>
      </w:r>
    </w:p>
    <w:p>
      <w:pPr>
        <w:pStyle w:val="TextBody"/>
        <w:widowControl/>
        <w:bidi w:val="0"/>
        <w:spacing w:lineRule="auto" w:line="288"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bidi w:val="0"/>
        <w:spacing w:lineRule="auto" w:line="288"/>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Settlement assets represent funds received or to be received from agents for unsettled money transfers and from merchants for unsettled prepaid transactions. The Company records corresponding settlement obligations relating to accounts payable. Settlement assets consist of cash and cash equivalents, restricted cash, accounts receivable and prepaid expenses and other current assets. The settlement cash held at the Company is primarily generated from the monies remitted by consumers through Company agents and financial institutions in payment of the face value of the payment service or foreign currency purchased and the related fees charged to purchase the currency. The Company uses its cash and cash equivalents to pay the face value of the payment service product upon presentation by the recipient. Cash received by Company agents and merchants generally becomes available to us within two weeks after initial receipt by the business partner. Receivables from business partners represent funds collected by such business partners that are in transit to us.</w:t>
      </w:r>
    </w:p>
    <w:p>
      <w:pPr>
        <w:pStyle w:val="TextBody"/>
        <w:widowControl/>
        <w:bidi w:val="0"/>
        <w:spacing w:lineRule="auto" w:line="288" w:before="0" w:after="0"/>
        <w:ind w:left="0" w:right="0" w:hanging="0"/>
        <w:jc w:val="both"/>
        <w:rPr>
          <w:caps w:val="false"/>
          <w:smallCaps w:val="false"/>
          <w:color w:val="000000"/>
          <w:spacing w:val="0"/>
        </w:rPr>
      </w:pPr>
      <w:r>
        <w:rPr>
          <w:caps w:val="false"/>
          <w:smallCaps w:val="false"/>
          <w:color w:val="000000"/>
          <w:spacing w:val="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211" w:type="dxa"/>
        <w:jc w:val="left"/>
        <w:tblInd w:w="0" w:type="dxa"/>
        <w:tblLayout w:type="fixed"/>
        <w:tblCellMar>
          <w:top w:w="0" w:type="dxa"/>
          <w:left w:w="0" w:type="dxa"/>
          <w:bottom w:w="0" w:type="dxa"/>
          <w:right w:w="0" w:type="dxa"/>
        </w:tblCellMar>
      </w:tblPr>
      <w:tblGrid>
        <w:gridCol w:w="211"/>
      </w:tblGrid>
      <w:tr>
        <w:trPr/>
        <w:tc>
          <w:tcPr>
            <w:tcW w:w="211" w:type="dxa"/>
            <w:tcBorders/>
            <w:vAlign w:val="center"/>
          </w:tcPr>
          <w:p>
            <w:pPr>
              <w:pStyle w:val="TableContents"/>
              <w:bidi w:val="0"/>
              <w:spacing w:before="0" w:after="283"/>
              <w:jc w:val="center"/>
              <w:rPr>
                <w:sz w:val="20"/>
              </w:rPr>
            </w:pPr>
            <w:r>
              <w:rPr>
                <w:sz w:val="20"/>
              </w:rPr>
              <w:t>8</w:t>
            </w:r>
          </w:p>
        </w:tc>
      </w:tr>
    </w:tbl>
    <w:p>
      <w:pPr>
        <w:pStyle w:val="TextBody"/>
        <w:widowControl/>
        <w:bidi w:val="0"/>
        <w:spacing w:lineRule="auto" w:line="288"/>
        <w:jc w:val="both"/>
        <w:rPr>
          <w:caps w:val="false"/>
          <w:smallCaps w:val="false"/>
          <w:color w:val="000000"/>
          <w:spacing w:val="0"/>
        </w:rPr>
      </w:pPr>
      <w:r>
        <w:rPr>
          <w:caps w:val="false"/>
          <w:smallCaps w:val="false"/>
          <w:color w:val="000000"/>
          <w:spacing w:val="0"/>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widowControl/>
        <w:bidi w:val="0"/>
        <w:spacing w:lineRule="auto" w:line="288"/>
        <w:jc w:val="both"/>
        <w:rPr/>
      </w:pPr>
      <w:r>
        <w:rPr/>
      </w:r>
    </w:p>
    <w:p>
      <w:pPr>
        <w:pStyle w:val="TextBody"/>
        <w:widowControl/>
        <w:bidi w:val="0"/>
        <w:spacing w:lineRule="auto" w:line="288"/>
        <w:jc w:val="left"/>
        <w:rPr>
          <w:sz w:val="20"/>
        </w:rPr>
      </w:pPr>
      <w:r>
        <w:rPr>
          <w:sz w:val="20"/>
        </w:rPr>
      </w:r>
    </w:p>
    <w:p>
      <w:pPr>
        <w:pStyle w:val="TextBody"/>
        <w:widowControl/>
        <w:bidi w:val="0"/>
        <w:spacing w:lineRule="auto" w:line="288"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bidi w:val="0"/>
        <w:spacing w:lineRule="auto" w:line="288"/>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Settlement obligations consist of accrued expenses for money transfers, content providers, and EFT customer deposits and accounts payable to agents and content providers. Money transfer accrued expenses represent amounts to be paid to transferees when they request funds. Most agents typically settle with transferees first then obtain reimbursement from us. Money order accrued expenses represent amounts not yet presented for payment. Due to the agent funding and settlement process, accrued expenses to agents represent amounts due to agents for money transfers that have not been settled with transferees.</w:t>
      </w:r>
    </w:p>
    <w:p>
      <w:pPr>
        <w:pStyle w:val="TextBody"/>
        <w:widowControl/>
        <w:bidi w:val="0"/>
        <w:spacing w:lineRule="auto" w:line="288" w:before="0" w:after="0"/>
        <w:ind w:left="0" w:right="0" w:hanging="0"/>
        <w:jc w:val="both"/>
        <w:rPr>
          <w:caps w:val="false"/>
          <w:smallCaps w:val="false"/>
          <w:color w:val="000000"/>
          <w:spacing w:val="0"/>
        </w:rPr>
      </w:pPr>
      <w:r>
        <w:rPr>
          <w:caps w:val="false"/>
          <w:smallCaps w:val="false"/>
          <w:color w:val="000000"/>
          <w:spacing w:val="0"/>
        </w:rPr>
        <w:t> </w:t>
      </w:r>
    </w:p>
    <w:tbl>
      <w:tblPr>
        <w:tblW w:w="6771" w:type="dxa"/>
        <w:jc w:val="center"/>
        <w:tblInd w:w="0" w:type="dxa"/>
        <w:tblLayout w:type="fixed"/>
        <w:tblCellMar>
          <w:top w:w="0" w:type="dxa"/>
          <w:left w:w="0" w:type="dxa"/>
          <w:bottom w:w="0" w:type="dxa"/>
          <w:right w:w="0" w:type="dxa"/>
        </w:tblCellMar>
      </w:tblPr>
      <w:tblGrid>
        <w:gridCol w:w="4895"/>
        <w:gridCol w:w="23"/>
        <w:gridCol w:w="125"/>
        <w:gridCol w:w="635"/>
        <w:gridCol w:w="23"/>
        <w:gridCol w:w="23"/>
        <w:gridCol w:w="166"/>
        <w:gridCol w:w="843"/>
        <w:gridCol w:w="38"/>
      </w:tblGrid>
      <w:tr>
        <w:trPr/>
        <w:tc>
          <w:tcPr>
            <w:tcW w:w="4895" w:type="dxa"/>
            <w:tcBorders/>
            <w:vAlign w:val="center"/>
          </w:tcPr>
          <w:p>
            <w:pPr>
              <w:pStyle w:val="TableContents"/>
              <w:bidi w:val="0"/>
              <w:spacing w:before="0" w:after="0"/>
              <w:ind w:left="0" w:right="0" w:hanging="0"/>
              <w:jc w:val="left"/>
              <w:rPr/>
            </w:pPr>
            <w:r>
              <w:rPr/>
              <w:t> </w:t>
            </w:r>
          </w:p>
        </w:tc>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815" w:type="dxa"/>
            <w:gridSpan w:val="6"/>
            <w:tcBorders/>
            <w:vAlign w:val="center"/>
          </w:tcPr>
          <w:p>
            <w:pPr>
              <w:pStyle w:val="TableContents"/>
              <w:bidi w:val="0"/>
              <w:spacing w:before="0" w:after="0"/>
              <w:ind w:left="0" w:right="0" w:hanging="0"/>
              <w:jc w:val="center"/>
              <w:rPr>
                <w:rFonts w:ascii="times new roman;times" w:hAnsi="times new roman;times"/>
                <w:b/>
                <w:sz w:val="16"/>
              </w:rPr>
            </w:pPr>
            <w:r>
              <w:rPr>
                <w:rFonts w:ascii="times new roman;times" w:hAnsi="times new roman;times"/>
                <w:b/>
                <w:sz w:val="16"/>
              </w:rPr>
              <w:t>As of</w:t>
            </w:r>
          </w:p>
        </w:tc>
        <w:tc>
          <w:tcPr>
            <w:tcW w:w="38" w:type="dxa"/>
            <w:tcBorders/>
            <w:vAlign w:val="center"/>
          </w:tcPr>
          <w:p>
            <w:pPr>
              <w:pStyle w:val="TableContents"/>
              <w:bidi w:val="0"/>
              <w:spacing w:before="0" w:after="283"/>
              <w:jc w:val="left"/>
              <w:rPr>
                <w:sz w:val="4"/>
                <w:szCs w:val="4"/>
              </w:rPr>
            </w:pPr>
            <w:r>
              <w:rPr>
                <w:sz w:val="4"/>
                <w:szCs w:val="4"/>
              </w:rPr>
            </w:r>
          </w:p>
        </w:tc>
      </w:tr>
      <w:tr>
        <w:trPr/>
        <w:tc>
          <w:tcPr>
            <w:tcW w:w="4895" w:type="dxa"/>
            <w:tcBorders/>
            <w:vAlign w:val="center"/>
          </w:tcPr>
          <w:p>
            <w:pPr>
              <w:pStyle w:val="TableContents"/>
              <w:bidi w:val="0"/>
              <w:spacing w:before="0" w:after="0"/>
              <w:jc w:val="left"/>
              <w:rPr>
                <w:rFonts w:ascii="times new roman;times" w:hAnsi="times new roman;times"/>
                <w:sz w:val="16"/>
              </w:rPr>
            </w:pPr>
            <w:r>
              <w:rPr>
                <w:rFonts w:ascii="times new roman;times" w:hAnsi="times new roman;times"/>
                <w:sz w:val="16"/>
              </w:rPr>
              <w:t>(in millions)</w:t>
            </w:r>
          </w:p>
        </w:tc>
        <w:tc>
          <w:tcPr>
            <w:tcW w:w="23" w:type="dxa"/>
            <w:tcBorders/>
            <w:vAlign w:val="center"/>
          </w:tcPr>
          <w:p>
            <w:pPr>
              <w:pStyle w:val="TableContents"/>
              <w:bidi w:val="0"/>
              <w:spacing w:before="0" w:after="283"/>
              <w:jc w:val="left"/>
              <w:rPr>
                <w:sz w:val="4"/>
                <w:szCs w:val="4"/>
              </w:rPr>
            </w:pPr>
            <w:r>
              <w:rPr>
                <w:sz w:val="4"/>
                <w:szCs w:val="4"/>
              </w:rPr>
            </w:r>
          </w:p>
        </w:tc>
        <w:tc>
          <w:tcPr>
            <w:tcW w:w="760" w:type="dxa"/>
            <w:gridSpan w:val="2"/>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June 30,</w:t>
            </w:r>
          </w:p>
          <w:p>
            <w:pPr>
              <w:pStyle w:val="TableContents"/>
              <w:bidi w:val="0"/>
              <w:spacing w:before="0" w:after="0"/>
              <w:ind w:left="0" w:right="0" w:hanging="0"/>
              <w:jc w:val="center"/>
              <w:rPr>
                <w:rFonts w:ascii="times new roman;times" w:hAnsi="times new roman;times"/>
                <w:b/>
                <w:sz w:val="16"/>
              </w:rPr>
            </w:pPr>
            <w:r>
              <w:rPr>
                <w:rFonts w:ascii="times new roman;times" w:hAnsi="times new roman;times"/>
                <w:b/>
                <w:sz w:val="16"/>
              </w:rPr>
              <w:t>2024</w:t>
            </w:r>
          </w:p>
        </w:tc>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09" w:type="dxa"/>
            <w:gridSpan w:val="2"/>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December 31,</w:t>
            </w:r>
          </w:p>
          <w:p>
            <w:pPr>
              <w:pStyle w:val="TableContents"/>
              <w:bidi w:val="0"/>
              <w:spacing w:before="0" w:after="0"/>
              <w:jc w:val="center"/>
              <w:rPr>
                <w:rFonts w:ascii="times new roman;times" w:hAnsi="times new roman;times"/>
                <w:b/>
                <w:sz w:val="16"/>
              </w:rPr>
            </w:pPr>
            <w:r>
              <w:rPr>
                <w:rFonts w:ascii="times new roman;times" w:hAnsi="times new roman;times"/>
                <w:b/>
                <w:sz w:val="16"/>
              </w:rPr>
              <w:t>2023</w:t>
            </w:r>
          </w:p>
        </w:tc>
        <w:tc>
          <w:tcPr>
            <w:tcW w:w="38" w:type="dxa"/>
            <w:tcBorders/>
            <w:vAlign w:val="center"/>
          </w:tcPr>
          <w:p>
            <w:pPr>
              <w:pStyle w:val="TableContents"/>
              <w:bidi w:val="0"/>
              <w:spacing w:before="0" w:after="283"/>
              <w:jc w:val="left"/>
              <w:rPr>
                <w:sz w:val="4"/>
                <w:szCs w:val="4"/>
              </w:rPr>
            </w:pPr>
            <w:r>
              <w:rPr>
                <w:sz w:val="4"/>
                <w:szCs w:val="4"/>
              </w:rPr>
            </w:r>
          </w:p>
        </w:tc>
      </w:tr>
      <w:tr>
        <w:trPr/>
        <w:tc>
          <w:tcPr>
            <w:tcW w:w="4895"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Settlement assets:</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vAlign w:val="center"/>
          </w:tcPr>
          <w:p>
            <w:pPr>
              <w:pStyle w:val="TableContents"/>
              <w:bidi w:val="0"/>
              <w:spacing w:before="0" w:after="0"/>
              <w:ind w:left="0" w:right="0" w:hanging="0"/>
              <w:jc w:val="left"/>
              <w:rPr/>
            </w:pPr>
            <w:r>
              <w:rPr/>
              <w:t> </w:t>
            </w:r>
          </w:p>
        </w:tc>
        <w:tc>
          <w:tcPr>
            <w:tcW w:w="23"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vAlign w:val="center"/>
          </w:tcPr>
          <w:p>
            <w:pPr>
              <w:pStyle w:val="TableContents"/>
              <w:bidi w:val="0"/>
              <w:spacing w:before="0" w:after="0"/>
              <w:jc w:val="left"/>
              <w:rPr/>
            </w:pPr>
            <w:r>
              <w:rPr/>
              <w:t> </w:t>
            </w:r>
          </w:p>
        </w:tc>
        <w:tc>
          <w:tcPr>
            <w:tcW w:w="38" w:type="dxa"/>
            <w:tcBorders/>
            <w:shd w:fill="CCEEFF" w:val="clear"/>
            <w:vAlign w:val="center"/>
          </w:tcPr>
          <w:p>
            <w:pPr>
              <w:pStyle w:val="TableContents"/>
              <w:bidi w:val="0"/>
              <w:spacing w:before="0" w:after="283"/>
              <w:jc w:val="left"/>
              <w:rPr>
                <w:sz w:val="4"/>
                <w:szCs w:val="4"/>
              </w:rPr>
            </w:pPr>
            <w:r>
              <w:rPr>
                <w:sz w:val="4"/>
                <w:szCs w:val="4"/>
              </w:rPr>
            </w:r>
          </w:p>
        </w:tc>
      </w:tr>
      <w:tr>
        <w:trPr/>
        <w:tc>
          <w:tcPr>
            <w:tcW w:w="4895"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Settlement cash and cash equivalents</w:t>
            </w:r>
          </w:p>
        </w:tc>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635"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342.7</w:t>
            </w:r>
          </w:p>
        </w:tc>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843"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327.4</w:t>
            </w:r>
          </w:p>
        </w:tc>
        <w:tc>
          <w:tcPr>
            <w:tcW w:w="38" w:type="dxa"/>
            <w:tcBorders/>
            <w:vAlign w:val="center"/>
          </w:tcPr>
          <w:p>
            <w:pPr>
              <w:pStyle w:val="TableContents"/>
              <w:bidi w:val="0"/>
              <w:spacing w:before="0" w:after="283"/>
              <w:jc w:val="left"/>
              <w:rPr>
                <w:sz w:val="4"/>
                <w:szCs w:val="4"/>
              </w:rPr>
            </w:pPr>
            <w:r>
              <w:rPr>
                <w:sz w:val="4"/>
                <w:szCs w:val="4"/>
              </w:rPr>
            </w:r>
          </w:p>
        </w:tc>
      </w:tr>
      <w:tr>
        <w:trPr/>
        <w:tc>
          <w:tcPr>
            <w:tcW w:w="4895"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Settlement restricted cash</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121.3</w:t>
            </w:r>
          </w:p>
        </w:tc>
        <w:tc>
          <w:tcPr>
            <w:tcW w:w="23"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125.0</w:t>
            </w:r>
          </w:p>
        </w:tc>
        <w:tc>
          <w:tcPr>
            <w:tcW w:w="38" w:type="dxa"/>
            <w:tcBorders/>
            <w:shd w:fill="CCEEFF" w:val="clear"/>
            <w:vAlign w:val="center"/>
          </w:tcPr>
          <w:p>
            <w:pPr>
              <w:pStyle w:val="TableContents"/>
              <w:bidi w:val="0"/>
              <w:spacing w:before="0" w:after="283"/>
              <w:jc w:val="left"/>
              <w:rPr>
                <w:sz w:val="4"/>
                <w:szCs w:val="4"/>
              </w:rPr>
            </w:pPr>
            <w:r>
              <w:rPr>
                <w:sz w:val="4"/>
                <w:szCs w:val="4"/>
              </w:rPr>
            </w:r>
          </w:p>
        </w:tc>
      </w:tr>
      <w:tr>
        <w:trPr/>
        <w:tc>
          <w:tcPr>
            <w:tcW w:w="4895"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Accounts receivable, net of credit losses of $30.4 and $35.7</w:t>
            </w:r>
            <w:r>
              <w:rPr>
                <w:rFonts w:ascii="times new roman;times" w:hAnsi="times new roman;times"/>
                <w:sz w:val="20"/>
              </w:rPr>
              <w:t> </w:t>
            </w:r>
          </w:p>
        </w:tc>
        <w:tc>
          <w:tcPr>
            <w:tcW w:w="23" w:type="dxa"/>
            <w:tcBorders/>
            <w:vAlign w:val="center"/>
          </w:tcPr>
          <w:p>
            <w:pPr>
              <w:pStyle w:val="TableContents"/>
              <w:bidi w:val="0"/>
              <w:spacing w:before="0" w:after="283"/>
              <w:jc w:val="left"/>
              <w:rPr>
                <w:sz w:val="4"/>
                <w:szCs w:val="4"/>
              </w:rPr>
            </w:pPr>
            <w:r>
              <w:rPr>
                <w:sz w:val="4"/>
                <w:szCs w:val="4"/>
              </w:rPr>
            </w:r>
          </w:p>
        </w:tc>
        <w:tc>
          <w:tcPr>
            <w:tcW w:w="760" w:type="dxa"/>
            <w:gridSpan w:val="2"/>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860.5</w:t>
            </w:r>
          </w:p>
        </w:tc>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09"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1,002.1</w:t>
            </w:r>
          </w:p>
        </w:tc>
        <w:tc>
          <w:tcPr>
            <w:tcW w:w="38" w:type="dxa"/>
            <w:tcBorders/>
            <w:vAlign w:val="center"/>
          </w:tcPr>
          <w:p>
            <w:pPr>
              <w:pStyle w:val="TableContents"/>
              <w:bidi w:val="0"/>
              <w:spacing w:before="0" w:after="283"/>
              <w:jc w:val="left"/>
              <w:rPr>
                <w:sz w:val="4"/>
                <w:szCs w:val="4"/>
              </w:rPr>
            </w:pPr>
            <w:r>
              <w:rPr>
                <w:sz w:val="4"/>
                <w:szCs w:val="4"/>
              </w:rPr>
            </w:r>
          </w:p>
        </w:tc>
      </w:tr>
      <w:tr>
        <w:trPr/>
        <w:tc>
          <w:tcPr>
            <w:tcW w:w="4895"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Prepaid expenses and other current assets</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153.8</w:t>
            </w:r>
          </w:p>
        </w:tc>
        <w:tc>
          <w:tcPr>
            <w:tcW w:w="23"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227.0</w:t>
            </w:r>
          </w:p>
        </w:tc>
        <w:tc>
          <w:tcPr>
            <w:tcW w:w="38" w:type="dxa"/>
            <w:tcBorders/>
            <w:shd w:fill="CCEEFF" w:val="clear"/>
            <w:vAlign w:val="center"/>
          </w:tcPr>
          <w:p>
            <w:pPr>
              <w:pStyle w:val="TableContents"/>
              <w:bidi w:val="0"/>
              <w:spacing w:before="0" w:after="283"/>
              <w:jc w:val="left"/>
              <w:rPr>
                <w:sz w:val="4"/>
                <w:szCs w:val="4"/>
              </w:rPr>
            </w:pPr>
            <w:r>
              <w:rPr>
                <w:sz w:val="4"/>
                <w:szCs w:val="4"/>
              </w:rPr>
            </w:r>
          </w:p>
        </w:tc>
      </w:tr>
      <w:tr>
        <w:trPr/>
        <w:tc>
          <w:tcPr>
            <w:tcW w:w="4895"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Total settlement assets</w:t>
            </w:r>
          </w:p>
        </w:tc>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635"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1,478.3</w:t>
            </w:r>
          </w:p>
        </w:tc>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843"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1,681.5</w:t>
            </w:r>
          </w:p>
        </w:tc>
        <w:tc>
          <w:tcPr>
            <w:tcW w:w="38" w:type="dxa"/>
            <w:tcBorders/>
            <w:vAlign w:val="center"/>
          </w:tcPr>
          <w:p>
            <w:pPr>
              <w:pStyle w:val="TableContents"/>
              <w:bidi w:val="0"/>
              <w:spacing w:before="0" w:after="283"/>
              <w:jc w:val="left"/>
              <w:rPr>
                <w:sz w:val="4"/>
                <w:szCs w:val="4"/>
              </w:rPr>
            </w:pPr>
            <w:r>
              <w:rPr>
                <w:sz w:val="4"/>
                <w:szCs w:val="4"/>
              </w:rPr>
            </w:r>
          </w:p>
        </w:tc>
      </w:tr>
      <w:tr>
        <w:trPr/>
        <w:tc>
          <w:tcPr>
            <w:tcW w:w="4895"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Settlement obligations:</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vAlign w:val="center"/>
          </w:tcPr>
          <w:p>
            <w:pPr>
              <w:pStyle w:val="TableContents"/>
              <w:bidi w:val="0"/>
              <w:spacing w:before="0" w:after="0"/>
              <w:ind w:left="0" w:right="0" w:hanging="0"/>
              <w:jc w:val="left"/>
              <w:rPr/>
            </w:pPr>
            <w:r>
              <w:rPr/>
              <w:t> </w:t>
            </w:r>
          </w:p>
        </w:tc>
        <w:tc>
          <w:tcPr>
            <w:tcW w:w="23"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vAlign w:val="center"/>
          </w:tcPr>
          <w:p>
            <w:pPr>
              <w:pStyle w:val="TableContents"/>
              <w:bidi w:val="0"/>
              <w:spacing w:before="0" w:after="0"/>
              <w:jc w:val="left"/>
              <w:rPr/>
            </w:pPr>
            <w:r>
              <w:rPr/>
              <w:t> </w:t>
            </w:r>
          </w:p>
        </w:tc>
        <w:tc>
          <w:tcPr>
            <w:tcW w:w="38" w:type="dxa"/>
            <w:tcBorders/>
            <w:shd w:fill="CCEEFF" w:val="clear"/>
            <w:vAlign w:val="center"/>
          </w:tcPr>
          <w:p>
            <w:pPr>
              <w:pStyle w:val="TableContents"/>
              <w:bidi w:val="0"/>
              <w:spacing w:before="0" w:after="283"/>
              <w:jc w:val="left"/>
              <w:rPr>
                <w:sz w:val="4"/>
                <w:szCs w:val="4"/>
              </w:rPr>
            </w:pPr>
            <w:r>
              <w:rPr>
                <w:sz w:val="4"/>
                <w:szCs w:val="4"/>
              </w:rPr>
            </w:r>
          </w:p>
        </w:tc>
      </w:tr>
      <w:tr>
        <w:trPr/>
        <w:tc>
          <w:tcPr>
            <w:tcW w:w="4895"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Trade account payables</w:t>
            </w:r>
          </w:p>
        </w:tc>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635"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537.7</w:t>
            </w:r>
          </w:p>
        </w:tc>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843"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708.6</w:t>
            </w:r>
          </w:p>
        </w:tc>
        <w:tc>
          <w:tcPr>
            <w:tcW w:w="38" w:type="dxa"/>
            <w:tcBorders/>
            <w:vAlign w:val="center"/>
          </w:tcPr>
          <w:p>
            <w:pPr>
              <w:pStyle w:val="TableContents"/>
              <w:bidi w:val="0"/>
              <w:spacing w:before="0" w:after="283"/>
              <w:jc w:val="left"/>
              <w:rPr>
                <w:sz w:val="4"/>
                <w:szCs w:val="4"/>
              </w:rPr>
            </w:pPr>
            <w:r>
              <w:rPr>
                <w:sz w:val="4"/>
                <w:szCs w:val="4"/>
              </w:rPr>
            </w:r>
          </w:p>
        </w:tc>
      </w:tr>
      <w:tr>
        <w:trPr/>
        <w:tc>
          <w:tcPr>
            <w:tcW w:w="4895"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Accrued expenses and other current liabilities</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940.6</w:t>
            </w:r>
          </w:p>
        </w:tc>
        <w:tc>
          <w:tcPr>
            <w:tcW w:w="23"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972.9</w:t>
            </w:r>
          </w:p>
        </w:tc>
        <w:tc>
          <w:tcPr>
            <w:tcW w:w="38" w:type="dxa"/>
            <w:tcBorders/>
            <w:shd w:fill="CCEEFF" w:val="clear"/>
            <w:vAlign w:val="center"/>
          </w:tcPr>
          <w:p>
            <w:pPr>
              <w:pStyle w:val="TableContents"/>
              <w:bidi w:val="0"/>
              <w:spacing w:before="0" w:after="283"/>
              <w:jc w:val="left"/>
              <w:rPr>
                <w:sz w:val="4"/>
                <w:szCs w:val="4"/>
              </w:rPr>
            </w:pPr>
            <w:r>
              <w:rPr>
                <w:sz w:val="4"/>
                <w:szCs w:val="4"/>
              </w:rPr>
            </w:r>
          </w:p>
        </w:tc>
      </w:tr>
      <w:tr>
        <w:trPr/>
        <w:tc>
          <w:tcPr>
            <w:tcW w:w="4895"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Total settlement obligations </w:t>
            </w:r>
          </w:p>
        </w:tc>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635"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1,478.3</w:t>
            </w:r>
          </w:p>
        </w:tc>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843"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1,681.5</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widowControl/>
        <w:bidi w:val="0"/>
        <w:spacing w:lineRule="auto" w:line="288"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bidi w:val="0"/>
        <w:spacing w:lineRule="auto" w:line="288"/>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table below reconciles cash and cash equivalents, restricted cash, ATM cash, settlement cash and cash equivalents, and settlement restricted cash as presented within "Cash and cash equivalents and restricted cash" in the Consolidated Statement of Cash Flows.</w:t>
      </w:r>
    </w:p>
    <w:p>
      <w:pPr>
        <w:pStyle w:val="TextBody"/>
        <w:widowControl/>
        <w:bidi w:val="0"/>
        <w:spacing w:lineRule="auto" w:line="288" w:before="0" w:after="0"/>
        <w:ind w:left="0" w:right="0" w:hanging="0"/>
        <w:jc w:val="both"/>
        <w:rPr>
          <w:caps w:val="false"/>
          <w:smallCaps w:val="false"/>
          <w:color w:val="000000"/>
          <w:spacing w:val="0"/>
        </w:rPr>
      </w:pPr>
      <w:r>
        <w:rPr>
          <w:caps w:val="false"/>
          <w:smallCaps w:val="false"/>
          <w:color w:val="000000"/>
          <w:spacing w:val="0"/>
        </w:rPr>
        <w:t> </w:t>
      </w:r>
    </w:p>
    <w:tbl>
      <w:tblPr>
        <w:tblW w:w="9170" w:type="dxa"/>
        <w:jc w:val="center"/>
        <w:tblInd w:w="0" w:type="dxa"/>
        <w:tblLayout w:type="fixed"/>
        <w:tblCellMar>
          <w:top w:w="0" w:type="dxa"/>
          <w:left w:w="0" w:type="dxa"/>
          <w:bottom w:w="0" w:type="dxa"/>
          <w:right w:w="0" w:type="dxa"/>
        </w:tblCellMar>
      </w:tblPr>
      <w:tblGrid>
        <w:gridCol w:w="5045"/>
        <w:gridCol w:w="60"/>
        <w:gridCol w:w="140"/>
        <w:gridCol w:w="740"/>
        <w:gridCol w:w="23"/>
        <w:gridCol w:w="60"/>
        <w:gridCol w:w="160"/>
        <w:gridCol w:w="849"/>
        <w:gridCol w:w="23"/>
        <w:gridCol w:w="60"/>
        <w:gridCol w:w="140"/>
        <w:gridCol w:w="740"/>
        <w:gridCol w:w="23"/>
        <w:gridCol w:w="60"/>
        <w:gridCol w:w="160"/>
        <w:gridCol w:w="849"/>
        <w:gridCol w:w="38"/>
      </w:tblGrid>
      <w:tr>
        <w:trPr/>
        <w:tc>
          <w:tcPr>
            <w:tcW w:w="504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4027" w:type="dxa"/>
            <w:gridSpan w:val="14"/>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As of</w:t>
            </w:r>
          </w:p>
        </w:tc>
        <w:tc>
          <w:tcPr>
            <w:tcW w:w="38" w:type="dxa"/>
            <w:tcBorders/>
            <w:vAlign w:val="center"/>
          </w:tcPr>
          <w:p>
            <w:pPr>
              <w:pStyle w:val="TableContents"/>
              <w:bidi w:val="0"/>
              <w:spacing w:before="0" w:after="0"/>
              <w:jc w:val="center"/>
              <w:rPr>
                <w:sz w:val="16"/>
              </w:rPr>
            </w:pPr>
            <w:r>
              <w:rPr>
                <w:sz w:val="16"/>
              </w:rPr>
            </w:r>
          </w:p>
        </w:tc>
      </w:tr>
      <w:tr>
        <w:trPr/>
        <w:tc>
          <w:tcPr>
            <w:tcW w:w="5045" w:type="dxa"/>
            <w:tcBorders/>
            <w:vAlign w:val="center"/>
          </w:tcPr>
          <w:p>
            <w:pPr>
              <w:pStyle w:val="TableContents"/>
              <w:bidi w:val="0"/>
              <w:spacing w:before="0" w:after="0"/>
              <w:jc w:val="left"/>
              <w:rPr>
                <w:rFonts w:ascii="times new roman;times" w:hAnsi="times new roman;times"/>
                <w:sz w:val="16"/>
              </w:rPr>
            </w:pPr>
            <w:r>
              <w:rPr>
                <w:rFonts w:ascii="times new roman;times" w:hAnsi="times new roman;times"/>
                <w:sz w:val="16"/>
              </w:rPr>
              <w:t>(in millions)</w:t>
            </w:r>
          </w:p>
        </w:tc>
        <w:tc>
          <w:tcPr>
            <w:tcW w:w="60" w:type="dxa"/>
            <w:tcBorders/>
            <w:vAlign w:val="center"/>
          </w:tcPr>
          <w:p>
            <w:pPr>
              <w:pStyle w:val="TableContents"/>
              <w:bidi w:val="0"/>
              <w:spacing w:before="0" w:after="0"/>
              <w:jc w:val="left"/>
              <w:rPr/>
            </w:pPr>
            <w:r>
              <w:rPr/>
              <w:t> </w:t>
            </w:r>
          </w:p>
        </w:tc>
        <w:tc>
          <w:tcPr>
            <w:tcW w:w="880" w:type="dxa"/>
            <w:gridSpan w:val="2"/>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June 30,</w:t>
            </w:r>
          </w:p>
          <w:p>
            <w:pPr>
              <w:pStyle w:val="TableContents"/>
              <w:bidi w:val="0"/>
              <w:spacing w:before="0" w:after="0"/>
              <w:jc w:val="center"/>
              <w:rPr>
                <w:rFonts w:ascii="times new roman;times" w:hAnsi="times new roman;times"/>
                <w:b/>
                <w:sz w:val="16"/>
              </w:rPr>
            </w:pPr>
            <w:r>
              <w:rPr>
                <w:rFonts w:ascii="times new roman;times" w:hAnsi="times new roman;times"/>
                <w:b/>
                <w:sz w:val="16"/>
              </w:rPr>
              <w:t>2024</w:t>
            </w:r>
          </w:p>
        </w:tc>
        <w:tc>
          <w:tcPr>
            <w:tcW w:w="23" w:type="dxa"/>
            <w:tcBorders/>
            <w:vAlign w:val="center"/>
          </w:tcPr>
          <w:p>
            <w:pPr>
              <w:pStyle w:val="TableContents"/>
              <w:bidi w:val="0"/>
              <w:spacing w:before="0" w:after="0"/>
              <w:jc w:val="center"/>
              <w:rPr>
                <w:sz w:val="16"/>
              </w:rPr>
            </w:pPr>
            <w:r>
              <w:rPr>
                <w:sz w:val="16"/>
              </w:rPr>
            </w:r>
          </w:p>
        </w:tc>
        <w:tc>
          <w:tcPr>
            <w:tcW w:w="60" w:type="dxa"/>
            <w:tcBorders/>
            <w:vAlign w:val="center"/>
          </w:tcPr>
          <w:p>
            <w:pPr>
              <w:pStyle w:val="TableContents"/>
              <w:bidi w:val="0"/>
              <w:spacing w:before="0" w:after="0"/>
              <w:jc w:val="left"/>
              <w:rPr/>
            </w:pPr>
            <w:r>
              <w:rPr/>
              <w:t> </w:t>
            </w:r>
          </w:p>
        </w:tc>
        <w:tc>
          <w:tcPr>
            <w:tcW w:w="1009" w:type="dxa"/>
            <w:gridSpan w:val="2"/>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December 31,</w:t>
            </w:r>
          </w:p>
          <w:p>
            <w:pPr>
              <w:pStyle w:val="TableContents"/>
              <w:bidi w:val="0"/>
              <w:spacing w:before="0" w:after="0"/>
              <w:jc w:val="center"/>
              <w:rPr>
                <w:rFonts w:ascii="times new roman;times" w:hAnsi="times new roman;times"/>
                <w:b/>
                <w:sz w:val="16"/>
              </w:rPr>
            </w:pPr>
            <w:r>
              <w:rPr>
                <w:rFonts w:ascii="times new roman;times" w:hAnsi="times new roman;times"/>
                <w:b/>
                <w:sz w:val="16"/>
              </w:rPr>
              <w:t>2023</w:t>
            </w:r>
          </w:p>
        </w:tc>
        <w:tc>
          <w:tcPr>
            <w:tcW w:w="23" w:type="dxa"/>
            <w:tcBorders/>
            <w:vAlign w:val="center"/>
          </w:tcPr>
          <w:p>
            <w:pPr>
              <w:pStyle w:val="TableContents"/>
              <w:bidi w:val="0"/>
              <w:spacing w:before="0" w:after="0"/>
              <w:jc w:val="center"/>
              <w:rPr>
                <w:sz w:val="16"/>
              </w:rPr>
            </w:pPr>
            <w:r>
              <w:rPr>
                <w:sz w:val="16"/>
              </w:rPr>
            </w:r>
          </w:p>
        </w:tc>
        <w:tc>
          <w:tcPr>
            <w:tcW w:w="60" w:type="dxa"/>
            <w:tcBorders/>
            <w:vAlign w:val="center"/>
          </w:tcPr>
          <w:p>
            <w:pPr>
              <w:pStyle w:val="TableContents"/>
              <w:bidi w:val="0"/>
              <w:spacing w:before="0" w:after="0"/>
              <w:jc w:val="left"/>
              <w:rPr/>
            </w:pPr>
            <w:r>
              <w:rPr/>
              <w:t> </w:t>
            </w:r>
          </w:p>
        </w:tc>
        <w:tc>
          <w:tcPr>
            <w:tcW w:w="880" w:type="dxa"/>
            <w:gridSpan w:val="2"/>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June 30,</w:t>
            </w:r>
          </w:p>
          <w:p>
            <w:pPr>
              <w:pStyle w:val="TableContents"/>
              <w:bidi w:val="0"/>
              <w:spacing w:before="0" w:after="0"/>
              <w:jc w:val="center"/>
              <w:rPr>
                <w:rFonts w:ascii="times new roman;times" w:hAnsi="times new roman;times"/>
                <w:b/>
                <w:sz w:val="16"/>
              </w:rPr>
            </w:pPr>
            <w:r>
              <w:rPr>
                <w:rFonts w:ascii="times new roman;times" w:hAnsi="times new roman;times"/>
                <w:b/>
                <w:sz w:val="16"/>
              </w:rPr>
              <w:t>2023</w:t>
            </w:r>
          </w:p>
        </w:tc>
        <w:tc>
          <w:tcPr>
            <w:tcW w:w="23" w:type="dxa"/>
            <w:tcBorders/>
            <w:vAlign w:val="center"/>
          </w:tcPr>
          <w:p>
            <w:pPr>
              <w:pStyle w:val="TableContents"/>
              <w:bidi w:val="0"/>
              <w:spacing w:before="0" w:after="0"/>
              <w:jc w:val="center"/>
              <w:rPr>
                <w:sz w:val="16"/>
              </w:rPr>
            </w:pPr>
            <w:r>
              <w:rPr>
                <w:sz w:val="16"/>
              </w:rPr>
            </w:r>
          </w:p>
        </w:tc>
        <w:tc>
          <w:tcPr>
            <w:tcW w:w="60" w:type="dxa"/>
            <w:tcBorders/>
            <w:vAlign w:val="center"/>
          </w:tcPr>
          <w:p>
            <w:pPr>
              <w:pStyle w:val="TableContents"/>
              <w:bidi w:val="0"/>
              <w:spacing w:before="0" w:after="0"/>
              <w:jc w:val="left"/>
              <w:rPr/>
            </w:pPr>
            <w:r>
              <w:rPr/>
              <w:t> </w:t>
            </w:r>
          </w:p>
        </w:tc>
        <w:tc>
          <w:tcPr>
            <w:tcW w:w="1009" w:type="dxa"/>
            <w:gridSpan w:val="2"/>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December 31,</w:t>
            </w:r>
          </w:p>
          <w:p>
            <w:pPr>
              <w:pStyle w:val="TableContents"/>
              <w:bidi w:val="0"/>
              <w:spacing w:before="0" w:after="0"/>
              <w:jc w:val="center"/>
              <w:rPr>
                <w:rFonts w:ascii="times new roman;times" w:hAnsi="times new roman;times"/>
                <w:b/>
                <w:sz w:val="16"/>
              </w:rPr>
            </w:pPr>
            <w:r>
              <w:rPr>
                <w:rFonts w:ascii="times new roman;times" w:hAnsi="times new roman;times"/>
                <w:b/>
                <w:sz w:val="16"/>
              </w:rPr>
              <w:t>2022</w:t>
            </w:r>
          </w:p>
        </w:tc>
        <w:tc>
          <w:tcPr>
            <w:tcW w:w="38" w:type="dxa"/>
            <w:tcBorders/>
            <w:vAlign w:val="center"/>
          </w:tcPr>
          <w:p>
            <w:pPr>
              <w:pStyle w:val="TableContents"/>
              <w:bidi w:val="0"/>
              <w:spacing w:before="0" w:after="0"/>
              <w:jc w:val="center"/>
              <w:rPr>
                <w:sz w:val="16"/>
              </w:rPr>
            </w:pPr>
            <w:r>
              <w:rPr>
                <w:sz w:val="16"/>
              </w:rPr>
            </w:r>
          </w:p>
        </w:tc>
      </w:tr>
      <w:tr>
        <w:trPr/>
        <w:tc>
          <w:tcPr>
            <w:tcW w:w="5045"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Cash and cash equivalents</w:t>
            </w:r>
          </w:p>
        </w:tc>
        <w:tc>
          <w:tcPr>
            <w:tcW w:w="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rFonts w:ascii="inherit" w:hAnsi="inherit"/>
                <w:sz w:val="20"/>
              </w:rPr>
            </w:pPr>
            <w:r>
              <w:rPr>
                <w:rFonts w:ascii="inherit" w:hAnsi="inherit"/>
                <w:sz w:val="20"/>
              </w:rPr>
              <w:t>$</w:t>
            </w:r>
          </w:p>
        </w:tc>
        <w:tc>
          <w:tcPr>
            <w:tcW w:w="740" w:type="dxa"/>
            <w:tcBorders/>
            <w:shd w:fill="CCEEFF" w:val="clear"/>
            <w:vAlign w:val="center"/>
          </w:tcPr>
          <w:p>
            <w:pPr>
              <w:pStyle w:val="TableContents"/>
              <w:bidi w:val="0"/>
              <w:spacing w:before="0" w:after="0"/>
              <w:jc w:val="right"/>
              <w:rPr>
                <w:rFonts w:ascii="inherit" w:hAnsi="inherit"/>
                <w:sz w:val="20"/>
              </w:rPr>
            </w:pPr>
            <w:r>
              <w:rPr>
                <w:rFonts w:ascii="inherit" w:hAnsi="inherit"/>
                <w:sz w:val="20"/>
              </w:rPr>
              <w:t>1,271.8</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160" w:type="dxa"/>
            <w:tcBorders/>
            <w:shd w:fill="CCEEFF" w:val="clear"/>
            <w:vAlign w:val="center"/>
          </w:tcPr>
          <w:p>
            <w:pPr>
              <w:pStyle w:val="TableContents"/>
              <w:bidi w:val="0"/>
              <w:spacing w:before="0" w:after="0"/>
              <w:jc w:val="left"/>
              <w:rPr>
                <w:rFonts w:ascii="inherit" w:hAnsi="inherit"/>
                <w:sz w:val="20"/>
              </w:rPr>
            </w:pPr>
            <w:r>
              <w:rPr>
                <w:rFonts w:ascii="inherit" w:hAnsi="inherit"/>
                <w:sz w:val="20"/>
              </w:rPr>
              <w:t>$</w:t>
            </w:r>
          </w:p>
        </w:tc>
        <w:tc>
          <w:tcPr>
            <w:tcW w:w="849" w:type="dxa"/>
            <w:tcBorders/>
            <w:shd w:fill="CCEEFF" w:val="clear"/>
            <w:vAlign w:val="center"/>
          </w:tcPr>
          <w:p>
            <w:pPr>
              <w:pStyle w:val="TableContents"/>
              <w:bidi w:val="0"/>
              <w:spacing w:before="0" w:after="0"/>
              <w:jc w:val="right"/>
              <w:rPr>
                <w:rFonts w:ascii="inherit" w:hAnsi="inherit"/>
                <w:sz w:val="20"/>
              </w:rPr>
            </w:pPr>
            <w:r>
              <w:rPr>
                <w:rFonts w:ascii="inherit" w:hAnsi="inherit"/>
                <w:sz w:val="20"/>
              </w:rPr>
              <w:t>1,254.2</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rFonts w:ascii="inherit" w:hAnsi="inherit"/>
                <w:sz w:val="20"/>
              </w:rPr>
            </w:pPr>
            <w:r>
              <w:rPr>
                <w:rFonts w:ascii="inherit" w:hAnsi="inherit"/>
                <w:sz w:val="20"/>
              </w:rPr>
              <w:t>$</w:t>
            </w:r>
          </w:p>
        </w:tc>
        <w:tc>
          <w:tcPr>
            <w:tcW w:w="740" w:type="dxa"/>
            <w:tcBorders/>
            <w:shd w:fill="CCEEFF" w:val="clear"/>
            <w:vAlign w:val="center"/>
          </w:tcPr>
          <w:p>
            <w:pPr>
              <w:pStyle w:val="TableContents"/>
              <w:bidi w:val="0"/>
              <w:spacing w:before="0" w:after="0"/>
              <w:jc w:val="right"/>
              <w:rPr>
                <w:rFonts w:ascii="inherit" w:hAnsi="inherit"/>
                <w:sz w:val="20"/>
              </w:rPr>
            </w:pPr>
            <w:r>
              <w:rPr>
                <w:rFonts w:ascii="inherit" w:hAnsi="inherit"/>
                <w:sz w:val="20"/>
              </w:rPr>
              <w:t>1,137.5</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160" w:type="dxa"/>
            <w:tcBorders/>
            <w:shd w:fill="CCEEFF" w:val="clear"/>
            <w:vAlign w:val="center"/>
          </w:tcPr>
          <w:p>
            <w:pPr>
              <w:pStyle w:val="TableContents"/>
              <w:bidi w:val="0"/>
              <w:spacing w:before="0" w:after="0"/>
              <w:jc w:val="left"/>
              <w:rPr>
                <w:rFonts w:ascii="inherit" w:hAnsi="inherit"/>
                <w:sz w:val="20"/>
              </w:rPr>
            </w:pPr>
            <w:r>
              <w:rPr>
                <w:rFonts w:ascii="inherit" w:hAnsi="inherit"/>
                <w:sz w:val="20"/>
              </w:rPr>
              <w:t>$</w:t>
            </w:r>
          </w:p>
        </w:tc>
        <w:tc>
          <w:tcPr>
            <w:tcW w:w="849" w:type="dxa"/>
            <w:tcBorders/>
            <w:shd w:fill="CCEEFF" w:val="clear"/>
            <w:vAlign w:val="center"/>
          </w:tcPr>
          <w:p>
            <w:pPr>
              <w:pStyle w:val="TableContents"/>
              <w:bidi w:val="0"/>
              <w:spacing w:before="0" w:after="0"/>
              <w:jc w:val="right"/>
              <w:rPr>
                <w:rFonts w:ascii="inherit" w:hAnsi="inherit"/>
                <w:sz w:val="20"/>
              </w:rPr>
            </w:pPr>
            <w:r>
              <w:rPr>
                <w:rFonts w:ascii="inherit" w:hAnsi="inherit"/>
                <w:sz w:val="20"/>
              </w:rPr>
              <w:t>1,131.2</w:t>
            </w:r>
          </w:p>
        </w:tc>
        <w:tc>
          <w:tcPr>
            <w:tcW w:w="38" w:type="dxa"/>
            <w:tcBorders/>
            <w:shd w:fill="CCEEFF" w:val="clear"/>
            <w:vAlign w:val="center"/>
          </w:tcPr>
          <w:p>
            <w:pPr>
              <w:pStyle w:val="TableContents"/>
              <w:bidi w:val="0"/>
              <w:spacing w:before="0" w:after="283"/>
              <w:jc w:val="left"/>
              <w:rPr>
                <w:sz w:val="4"/>
                <w:szCs w:val="4"/>
              </w:rPr>
            </w:pPr>
            <w:r>
              <w:rPr>
                <w:sz w:val="4"/>
                <w:szCs w:val="4"/>
              </w:rPr>
            </w:r>
          </w:p>
        </w:tc>
      </w:tr>
      <w:tr>
        <w:trPr/>
        <w:tc>
          <w:tcPr>
            <w:tcW w:w="5045"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Restricted cash</w:t>
            </w:r>
          </w:p>
        </w:tc>
        <w:tc>
          <w:tcPr>
            <w:tcW w:w="60" w:type="dxa"/>
            <w:tcBorders/>
            <w:vAlign w:val="center"/>
          </w:tcPr>
          <w:p>
            <w:pPr>
              <w:pStyle w:val="TableContents"/>
              <w:bidi w:val="0"/>
              <w:spacing w:before="0" w:after="0"/>
              <w:jc w:val="left"/>
              <w:rPr/>
            </w:pPr>
            <w:r>
              <w:rPr/>
              <w:t> </w:t>
            </w:r>
          </w:p>
        </w:tc>
        <w:tc>
          <w:tcPr>
            <w:tcW w:w="880" w:type="dxa"/>
            <w:gridSpan w:val="2"/>
            <w:tcBorders/>
            <w:vAlign w:val="center"/>
          </w:tcPr>
          <w:p>
            <w:pPr>
              <w:pStyle w:val="TableContents"/>
              <w:bidi w:val="0"/>
              <w:spacing w:before="0" w:after="0"/>
              <w:jc w:val="right"/>
              <w:rPr>
                <w:rFonts w:ascii="inherit" w:hAnsi="inherit"/>
                <w:sz w:val="20"/>
              </w:rPr>
            </w:pPr>
            <w:r>
              <w:rPr>
                <w:rFonts w:ascii="inherit" w:hAnsi="inherit"/>
                <w:sz w:val="20"/>
              </w:rPr>
              <w:t>23.8</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1009" w:type="dxa"/>
            <w:gridSpan w:val="2"/>
            <w:tcBorders/>
            <w:vAlign w:val="center"/>
          </w:tcPr>
          <w:p>
            <w:pPr>
              <w:pStyle w:val="TableContents"/>
              <w:bidi w:val="0"/>
              <w:spacing w:before="0" w:after="0"/>
              <w:jc w:val="right"/>
              <w:rPr>
                <w:rFonts w:ascii="inherit" w:hAnsi="inherit"/>
                <w:sz w:val="20"/>
              </w:rPr>
            </w:pPr>
            <w:r>
              <w:rPr>
                <w:rFonts w:ascii="inherit" w:hAnsi="inherit"/>
                <w:sz w:val="20"/>
              </w:rPr>
              <w:t>15.2</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880" w:type="dxa"/>
            <w:gridSpan w:val="2"/>
            <w:tcBorders/>
            <w:vAlign w:val="center"/>
          </w:tcPr>
          <w:p>
            <w:pPr>
              <w:pStyle w:val="TableContents"/>
              <w:bidi w:val="0"/>
              <w:spacing w:before="0" w:after="0"/>
              <w:jc w:val="right"/>
              <w:rPr>
                <w:rFonts w:ascii="inherit" w:hAnsi="inherit"/>
                <w:sz w:val="20"/>
              </w:rPr>
            </w:pPr>
            <w:r>
              <w:rPr>
                <w:rFonts w:ascii="inherit" w:hAnsi="inherit"/>
                <w:sz w:val="20"/>
              </w:rPr>
              <w:t>14.4</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1009" w:type="dxa"/>
            <w:gridSpan w:val="2"/>
            <w:tcBorders/>
            <w:vAlign w:val="center"/>
          </w:tcPr>
          <w:p>
            <w:pPr>
              <w:pStyle w:val="TableContents"/>
              <w:bidi w:val="0"/>
              <w:spacing w:before="0" w:after="0"/>
              <w:jc w:val="right"/>
              <w:rPr>
                <w:rFonts w:ascii="inherit" w:hAnsi="inherit"/>
                <w:sz w:val="20"/>
              </w:rPr>
            </w:pPr>
            <w:r>
              <w:rPr>
                <w:rFonts w:ascii="inherit" w:hAnsi="inherit"/>
                <w:sz w:val="20"/>
              </w:rPr>
              <w:t>7.4</w:t>
            </w:r>
          </w:p>
        </w:tc>
        <w:tc>
          <w:tcPr>
            <w:tcW w:w="38" w:type="dxa"/>
            <w:tcBorders/>
            <w:vAlign w:val="center"/>
          </w:tcPr>
          <w:p>
            <w:pPr>
              <w:pStyle w:val="TableContents"/>
              <w:bidi w:val="0"/>
              <w:spacing w:before="0" w:after="283"/>
              <w:jc w:val="left"/>
              <w:rPr>
                <w:sz w:val="4"/>
                <w:szCs w:val="4"/>
              </w:rPr>
            </w:pPr>
            <w:r>
              <w:rPr>
                <w:sz w:val="4"/>
                <w:szCs w:val="4"/>
              </w:rPr>
            </w:r>
          </w:p>
        </w:tc>
      </w:tr>
      <w:tr>
        <w:trPr/>
        <w:tc>
          <w:tcPr>
            <w:tcW w:w="5045"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ATM cash</w:t>
            </w:r>
          </w:p>
        </w:tc>
        <w:tc>
          <w:tcPr>
            <w:tcW w:w="60" w:type="dxa"/>
            <w:tcBorders/>
            <w:shd w:fill="CCEEFF" w:val="clear"/>
            <w:vAlign w:val="center"/>
          </w:tcPr>
          <w:p>
            <w:pPr>
              <w:pStyle w:val="TableContents"/>
              <w:bidi w:val="0"/>
              <w:spacing w:before="0" w:after="0"/>
              <w:jc w:val="left"/>
              <w:rPr/>
            </w:pPr>
            <w:r>
              <w:rPr/>
              <w:t> </w:t>
            </w:r>
          </w:p>
        </w:tc>
        <w:tc>
          <w:tcPr>
            <w:tcW w:w="880" w:type="dxa"/>
            <w:gridSpan w:val="2"/>
            <w:tcBorders/>
            <w:shd w:fill="CCEEFF" w:val="clear"/>
            <w:vAlign w:val="center"/>
          </w:tcPr>
          <w:p>
            <w:pPr>
              <w:pStyle w:val="TableContents"/>
              <w:bidi w:val="0"/>
              <w:spacing w:before="0" w:after="0"/>
              <w:jc w:val="right"/>
              <w:rPr>
                <w:rFonts w:ascii="inherit" w:hAnsi="inherit"/>
                <w:sz w:val="20"/>
              </w:rPr>
            </w:pPr>
            <w:r>
              <w:rPr>
                <w:rFonts w:ascii="inherit" w:hAnsi="inherit"/>
                <w:sz w:val="20"/>
              </w:rPr>
              <w:t>795.6</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1009" w:type="dxa"/>
            <w:gridSpan w:val="2"/>
            <w:tcBorders/>
            <w:shd w:fill="CCEEFF" w:val="clear"/>
            <w:vAlign w:val="center"/>
          </w:tcPr>
          <w:p>
            <w:pPr>
              <w:pStyle w:val="TableContents"/>
              <w:bidi w:val="0"/>
              <w:spacing w:before="0" w:after="0"/>
              <w:jc w:val="right"/>
              <w:rPr>
                <w:rFonts w:ascii="inherit" w:hAnsi="inherit"/>
                <w:sz w:val="20"/>
              </w:rPr>
            </w:pPr>
            <w:r>
              <w:rPr>
                <w:rFonts w:ascii="inherit" w:hAnsi="inherit"/>
                <w:sz w:val="20"/>
              </w:rPr>
              <w:t>525.2</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880" w:type="dxa"/>
            <w:gridSpan w:val="2"/>
            <w:tcBorders/>
            <w:shd w:fill="CCEEFF" w:val="clear"/>
            <w:vAlign w:val="center"/>
          </w:tcPr>
          <w:p>
            <w:pPr>
              <w:pStyle w:val="TableContents"/>
              <w:bidi w:val="0"/>
              <w:spacing w:before="0" w:after="0"/>
              <w:jc w:val="right"/>
              <w:rPr>
                <w:rFonts w:ascii="inherit" w:hAnsi="inherit"/>
                <w:sz w:val="20"/>
              </w:rPr>
            </w:pPr>
            <w:r>
              <w:rPr>
                <w:rFonts w:ascii="inherit" w:hAnsi="inherit"/>
                <w:sz w:val="20"/>
              </w:rPr>
              <w:t>776.3</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1009" w:type="dxa"/>
            <w:gridSpan w:val="2"/>
            <w:tcBorders/>
            <w:shd w:fill="CCEEFF" w:val="clear"/>
            <w:vAlign w:val="center"/>
          </w:tcPr>
          <w:p>
            <w:pPr>
              <w:pStyle w:val="TableContents"/>
              <w:bidi w:val="0"/>
              <w:spacing w:before="0" w:after="0"/>
              <w:jc w:val="right"/>
              <w:rPr>
                <w:rFonts w:ascii="inherit" w:hAnsi="inherit"/>
                <w:sz w:val="20"/>
              </w:rPr>
            </w:pPr>
            <w:r>
              <w:rPr>
                <w:rFonts w:ascii="inherit" w:hAnsi="inherit"/>
                <w:sz w:val="20"/>
              </w:rPr>
              <w:t>515.6</w:t>
            </w:r>
          </w:p>
        </w:tc>
        <w:tc>
          <w:tcPr>
            <w:tcW w:w="38" w:type="dxa"/>
            <w:tcBorders/>
            <w:shd w:fill="CCEEFF" w:val="clear"/>
            <w:vAlign w:val="center"/>
          </w:tcPr>
          <w:p>
            <w:pPr>
              <w:pStyle w:val="TableContents"/>
              <w:bidi w:val="0"/>
              <w:spacing w:before="0" w:after="283"/>
              <w:jc w:val="left"/>
              <w:rPr>
                <w:sz w:val="4"/>
                <w:szCs w:val="4"/>
              </w:rPr>
            </w:pPr>
            <w:r>
              <w:rPr>
                <w:sz w:val="4"/>
                <w:szCs w:val="4"/>
              </w:rPr>
            </w:r>
          </w:p>
        </w:tc>
      </w:tr>
      <w:tr>
        <w:trPr/>
        <w:tc>
          <w:tcPr>
            <w:tcW w:w="5045"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Settlement cash and cash equivalents</w:t>
            </w:r>
          </w:p>
        </w:tc>
        <w:tc>
          <w:tcPr>
            <w:tcW w:w="60" w:type="dxa"/>
            <w:tcBorders/>
            <w:vAlign w:val="center"/>
          </w:tcPr>
          <w:p>
            <w:pPr>
              <w:pStyle w:val="TableContents"/>
              <w:bidi w:val="0"/>
              <w:spacing w:before="0" w:after="0"/>
              <w:jc w:val="left"/>
              <w:rPr/>
            </w:pPr>
            <w:r>
              <w:rPr/>
              <w:t> </w:t>
            </w:r>
          </w:p>
        </w:tc>
        <w:tc>
          <w:tcPr>
            <w:tcW w:w="880" w:type="dxa"/>
            <w:gridSpan w:val="2"/>
            <w:tcBorders/>
            <w:vAlign w:val="center"/>
          </w:tcPr>
          <w:p>
            <w:pPr>
              <w:pStyle w:val="TableContents"/>
              <w:bidi w:val="0"/>
              <w:spacing w:before="0" w:after="0"/>
              <w:jc w:val="right"/>
              <w:rPr>
                <w:rFonts w:ascii="inherit" w:hAnsi="inherit"/>
                <w:sz w:val="20"/>
              </w:rPr>
            </w:pPr>
            <w:r>
              <w:rPr>
                <w:rFonts w:ascii="inherit" w:hAnsi="inherit"/>
                <w:sz w:val="20"/>
              </w:rPr>
              <w:t>342.7</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1009" w:type="dxa"/>
            <w:gridSpan w:val="2"/>
            <w:tcBorders/>
            <w:vAlign w:val="center"/>
          </w:tcPr>
          <w:p>
            <w:pPr>
              <w:pStyle w:val="TableContents"/>
              <w:bidi w:val="0"/>
              <w:spacing w:before="0" w:after="0"/>
              <w:jc w:val="right"/>
              <w:rPr>
                <w:rFonts w:ascii="inherit" w:hAnsi="inherit"/>
                <w:sz w:val="20"/>
              </w:rPr>
            </w:pPr>
            <w:r>
              <w:rPr>
                <w:rFonts w:ascii="inherit" w:hAnsi="inherit"/>
                <w:sz w:val="20"/>
              </w:rPr>
              <w:t>327.4</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880" w:type="dxa"/>
            <w:gridSpan w:val="2"/>
            <w:tcBorders/>
            <w:vAlign w:val="center"/>
          </w:tcPr>
          <w:p>
            <w:pPr>
              <w:pStyle w:val="TableContents"/>
              <w:bidi w:val="0"/>
              <w:spacing w:before="0" w:after="0"/>
              <w:jc w:val="right"/>
              <w:rPr>
                <w:rFonts w:ascii="inherit" w:hAnsi="inherit"/>
                <w:sz w:val="20"/>
              </w:rPr>
            </w:pPr>
            <w:r>
              <w:rPr>
                <w:rFonts w:ascii="inherit" w:hAnsi="inherit"/>
                <w:sz w:val="20"/>
              </w:rPr>
              <w:t>187.0</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1009" w:type="dxa"/>
            <w:gridSpan w:val="2"/>
            <w:tcBorders/>
            <w:vAlign w:val="center"/>
          </w:tcPr>
          <w:p>
            <w:pPr>
              <w:pStyle w:val="TableContents"/>
              <w:bidi w:val="0"/>
              <w:spacing w:before="0" w:after="0"/>
              <w:jc w:val="right"/>
              <w:rPr>
                <w:rFonts w:ascii="inherit" w:hAnsi="inherit"/>
                <w:sz w:val="20"/>
              </w:rPr>
            </w:pPr>
            <w:r>
              <w:rPr>
                <w:rFonts w:ascii="inherit" w:hAnsi="inherit"/>
                <w:sz w:val="20"/>
              </w:rPr>
              <w:t>242.7</w:t>
            </w:r>
          </w:p>
        </w:tc>
        <w:tc>
          <w:tcPr>
            <w:tcW w:w="38" w:type="dxa"/>
            <w:tcBorders/>
            <w:vAlign w:val="center"/>
          </w:tcPr>
          <w:p>
            <w:pPr>
              <w:pStyle w:val="TableContents"/>
              <w:bidi w:val="0"/>
              <w:spacing w:before="0" w:after="283"/>
              <w:jc w:val="left"/>
              <w:rPr>
                <w:sz w:val="4"/>
                <w:szCs w:val="4"/>
              </w:rPr>
            </w:pPr>
            <w:r>
              <w:rPr>
                <w:sz w:val="4"/>
                <w:szCs w:val="4"/>
              </w:rPr>
            </w:r>
          </w:p>
        </w:tc>
      </w:tr>
      <w:tr>
        <w:trPr/>
        <w:tc>
          <w:tcPr>
            <w:tcW w:w="5045"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Settlement restricted cash</w:t>
            </w:r>
          </w:p>
        </w:tc>
        <w:tc>
          <w:tcPr>
            <w:tcW w:w="60" w:type="dxa"/>
            <w:tcBorders/>
            <w:shd w:fill="CCEEFF" w:val="clear"/>
            <w:vAlign w:val="center"/>
          </w:tcPr>
          <w:p>
            <w:pPr>
              <w:pStyle w:val="TableContents"/>
              <w:bidi w:val="0"/>
              <w:spacing w:before="0" w:after="0"/>
              <w:jc w:val="left"/>
              <w:rPr/>
            </w:pPr>
            <w:r>
              <w:rPr/>
              <w:t> </w:t>
            </w:r>
          </w:p>
        </w:tc>
        <w:tc>
          <w:tcPr>
            <w:tcW w:w="880" w:type="dxa"/>
            <w:gridSpan w:val="2"/>
            <w:tcBorders/>
            <w:shd w:fill="CCEEFF" w:val="clear"/>
            <w:vAlign w:val="center"/>
          </w:tcPr>
          <w:p>
            <w:pPr>
              <w:pStyle w:val="TableContents"/>
              <w:bidi w:val="0"/>
              <w:spacing w:before="0" w:after="0"/>
              <w:jc w:val="right"/>
              <w:rPr>
                <w:rFonts w:ascii="inherit" w:hAnsi="inherit"/>
                <w:sz w:val="20"/>
              </w:rPr>
            </w:pPr>
            <w:r>
              <w:rPr>
                <w:rFonts w:ascii="inherit" w:hAnsi="inherit"/>
                <w:sz w:val="20"/>
              </w:rPr>
              <w:t>121.3</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1009" w:type="dxa"/>
            <w:gridSpan w:val="2"/>
            <w:tcBorders/>
            <w:shd w:fill="CCEEFF" w:val="clear"/>
            <w:vAlign w:val="center"/>
          </w:tcPr>
          <w:p>
            <w:pPr>
              <w:pStyle w:val="TableContents"/>
              <w:bidi w:val="0"/>
              <w:spacing w:before="0" w:after="0"/>
              <w:jc w:val="right"/>
              <w:rPr>
                <w:rFonts w:ascii="inherit" w:hAnsi="inherit"/>
                <w:sz w:val="20"/>
              </w:rPr>
            </w:pPr>
            <w:r>
              <w:rPr>
                <w:rFonts w:ascii="inherit" w:hAnsi="inherit"/>
                <w:sz w:val="20"/>
              </w:rPr>
              <w:t>125.0</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880" w:type="dxa"/>
            <w:gridSpan w:val="2"/>
            <w:tcBorders/>
            <w:shd w:fill="CCEEFF" w:val="clear"/>
            <w:vAlign w:val="center"/>
          </w:tcPr>
          <w:p>
            <w:pPr>
              <w:pStyle w:val="TableContents"/>
              <w:bidi w:val="0"/>
              <w:spacing w:before="0" w:after="0"/>
              <w:jc w:val="right"/>
              <w:rPr>
                <w:rFonts w:ascii="inherit" w:hAnsi="inherit"/>
                <w:sz w:val="20"/>
              </w:rPr>
            </w:pPr>
            <w:r>
              <w:rPr>
                <w:rFonts w:ascii="inherit" w:hAnsi="inherit"/>
                <w:sz w:val="20"/>
              </w:rPr>
              <w:t>77.4</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1009" w:type="dxa"/>
            <w:gridSpan w:val="2"/>
            <w:tcBorders/>
            <w:shd w:fill="CCEEFF" w:val="clear"/>
            <w:vAlign w:val="center"/>
          </w:tcPr>
          <w:p>
            <w:pPr>
              <w:pStyle w:val="TableContents"/>
              <w:bidi w:val="0"/>
              <w:spacing w:before="0" w:after="0"/>
              <w:jc w:val="right"/>
              <w:rPr>
                <w:rFonts w:ascii="inherit" w:hAnsi="inherit"/>
                <w:sz w:val="20"/>
              </w:rPr>
            </w:pPr>
            <w:r>
              <w:rPr>
                <w:rFonts w:ascii="inherit" w:hAnsi="inherit"/>
                <w:sz w:val="20"/>
              </w:rPr>
              <w:t>94.0</w:t>
            </w:r>
          </w:p>
        </w:tc>
        <w:tc>
          <w:tcPr>
            <w:tcW w:w="38" w:type="dxa"/>
            <w:tcBorders/>
            <w:shd w:fill="CCEEFF" w:val="clear"/>
            <w:vAlign w:val="center"/>
          </w:tcPr>
          <w:p>
            <w:pPr>
              <w:pStyle w:val="TableContents"/>
              <w:bidi w:val="0"/>
              <w:spacing w:before="0" w:after="283"/>
              <w:jc w:val="left"/>
              <w:rPr>
                <w:sz w:val="4"/>
                <w:szCs w:val="4"/>
              </w:rPr>
            </w:pPr>
            <w:r>
              <w:rPr>
                <w:sz w:val="4"/>
                <w:szCs w:val="4"/>
              </w:rPr>
            </w:r>
          </w:p>
        </w:tc>
      </w:tr>
      <w:tr>
        <w:trPr/>
        <w:tc>
          <w:tcPr>
            <w:tcW w:w="5045"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Cash and cash equivalents and restricted cash at end of period</w:t>
            </w:r>
          </w:p>
        </w:tc>
        <w:tc>
          <w:tcPr>
            <w:tcW w:w="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rFonts w:ascii="inherit" w:hAnsi="inherit"/>
                <w:sz w:val="20"/>
              </w:rPr>
            </w:pPr>
            <w:r>
              <w:rPr>
                <w:rFonts w:ascii="inherit" w:hAnsi="inherit"/>
                <w:sz w:val="20"/>
              </w:rPr>
              <w:t>$</w:t>
            </w:r>
          </w:p>
        </w:tc>
        <w:tc>
          <w:tcPr>
            <w:tcW w:w="740" w:type="dxa"/>
            <w:tcBorders/>
            <w:vAlign w:val="center"/>
          </w:tcPr>
          <w:p>
            <w:pPr>
              <w:pStyle w:val="TableContents"/>
              <w:bidi w:val="0"/>
              <w:spacing w:before="0" w:after="0"/>
              <w:jc w:val="right"/>
              <w:rPr>
                <w:rFonts w:ascii="inherit" w:hAnsi="inherit"/>
                <w:sz w:val="20"/>
              </w:rPr>
            </w:pPr>
            <w:r>
              <w:rPr>
                <w:rFonts w:ascii="inherit" w:hAnsi="inherit"/>
                <w:sz w:val="20"/>
              </w:rPr>
              <w:t>2,555.2</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160" w:type="dxa"/>
            <w:tcBorders/>
            <w:vAlign w:val="center"/>
          </w:tcPr>
          <w:p>
            <w:pPr>
              <w:pStyle w:val="TableContents"/>
              <w:bidi w:val="0"/>
              <w:spacing w:before="0" w:after="0"/>
              <w:jc w:val="left"/>
              <w:rPr>
                <w:rFonts w:ascii="inherit" w:hAnsi="inherit"/>
                <w:sz w:val="20"/>
              </w:rPr>
            </w:pPr>
            <w:r>
              <w:rPr>
                <w:rFonts w:ascii="inherit" w:hAnsi="inherit"/>
                <w:sz w:val="20"/>
              </w:rPr>
              <w:t>$</w:t>
            </w:r>
          </w:p>
        </w:tc>
        <w:tc>
          <w:tcPr>
            <w:tcW w:w="849" w:type="dxa"/>
            <w:tcBorders/>
            <w:vAlign w:val="center"/>
          </w:tcPr>
          <w:p>
            <w:pPr>
              <w:pStyle w:val="TableContents"/>
              <w:bidi w:val="0"/>
              <w:spacing w:before="0" w:after="0"/>
              <w:jc w:val="right"/>
              <w:rPr>
                <w:rFonts w:ascii="inherit" w:hAnsi="inherit"/>
                <w:sz w:val="20"/>
              </w:rPr>
            </w:pPr>
            <w:r>
              <w:rPr>
                <w:rFonts w:ascii="inherit" w:hAnsi="inherit"/>
                <w:sz w:val="20"/>
              </w:rPr>
              <w:t>2,247.0</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rFonts w:ascii="inherit" w:hAnsi="inherit"/>
                <w:sz w:val="20"/>
              </w:rPr>
            </w:pPr>
            <w:r>
              <w:rPr>
                <w:rFonts w:ascii="inherit" w:hAnsi="inherit"/>
                <w:sz w:val="20"/>
              </w:rPr>
              <w:t>$</w:t>
            </w:r>
          </w:p>
        </w:tc>
        <w:tc>
          <w:tcPr>
            <w:tcW w:w="740" w:type="dxa"/>
            <w:tcBorders/>
            <w:vAlign w:val="center"/>
          </w:tcPr>
          <w:p>
            <w:pPr>
              <w:pStyle w:val="TableContents"/>
              <w:bidi w:val="0"/>
              <w:spacing w:before="0" w:after="0"/>
              <w:jc w:val="right"/>
              <w:rPr>
                <w:rFonts w:ascii="inherit" w:hAnsi="inherit"/>
                <w:sz w:val="20"/>
              </w:rPr>
            </w:pPr>
            <w:r>
              <w:rPr>
                <w:rFonts w:ascii="inherit" w:hAnsi="inherit"/>
                <w:sz w:val="20"/>
              </w:rPr>
              <w:t>2,192.6</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160" w:type="dxa"/>
            <w:tcBorders/>
            <w:vAlign w:val="center"/>
          </w:tcPr>
          <w:p>
            <w:pPr>
              <w:pStyle w:val="TableContents"/>
              <w:bidi w:val="0"/>
              <w:spacing w:before="0" w:after="0"/>
              <w:jc w:val="left"/>
              <w:rPr>
                <w:rFonts w:ascii="inherit" w:hAnsi="inherit"/>
                <w:sz w:val="20"/>
              </w:rPr>
            </w:pPr>
            <w:r>
              <w:rPr>
                <w:rFonts w:ascii="inherit" w:hAnsi="inherit"/>
                <w:sz w:val="20"/>
              </w:rPr>
              <w:t>$</w:t>
            </w:r>
          </w:p>
        </w:tc>
        <w:tc>
          <w:tcPr>
            <w:tcW w:w="849" w:type="dxa"/>
            <w:tcBorders/>
            <w:vAlign w:val="center"/>
          </w:tcPr>
          <w:p>
            <w:pPr>
              <w:pStyle w:val="TableContents"/>
              <w:bidi w:val="0"/>
              <w:spacing w:before="0" w:after="0"/>
              <w:jc w:val="right"/>
              <w:rPr>
                <w:rFonts w:ascii="inherit" w:hAnsi="inherit"/>
                <w:sz w:val="20"/>
              </w:rPr>
            </w:pPr>
            <w:r>
              <w:rPr>
                <w:rFonts w:ascii="inherit" w:hAnsi="inherit"/>
                <w:sz w:val="20"/>
              </w:rPr>
              <w:t>1,990.9</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widowControl/>
        <w:bidi w:val="0"/>
        <w:spacing w:lineRule="auto" w:line="288" w:before="0" w:after="0"/>
        <w:ind w:left="0" w:right="0" w:hanging="0"/>
        <w:jc w:val="both"/>
        <w:rPr>
          <w:caps w:val="false"/>
          <w:smallCaps w:val="false"/>
          <w:color w:val="000000"/>
          <w:spacing w:val="0"/>
        </w:rPr>
      </w:pPr>
      <w:r>
        <w:rPr>
          <w:caps w:val="false"/>
          <w:smallCaps w:val="false"/>
          <w:color w:val="000000"/>
          <w:spacing w:val="0"/>
        </w:rPr>
        <w:t> </w:t>
      </w:r>
    </w:p>
    <w:p>
      <w:pPr>
        <w:pStyle w:val="TextBody"/>
        <w:bidi w:val="0"/>
        <w:spacing w:lineRule="auto" w:line="288" w:before="0" w:after="0"/>
        <w:ind w:left="0" w:right="0" w:hanging="0"/>
        <w:jc w:val="left"/>
        <w:rPr>
          <w:rFonts w:ascii="times new roman;times" w:hAnsi="times new roman;times"/>
          <w:b/>
          <w:color w:val="000000"/>
          <w:sz w:val="20"/>
        </w:rPr>
      </w:pPr>
      <w:r>
        <w:rPr>
          <w:rFonts w:ascii="times new roman;times" w:hAnsi="times new roman;times"/>
          <w:b/>
          <w:color w:val="000000"/>
          <w:sz w:val="20"/>
        </w:rPr>
        <w:t>(5) STOCKHOLDERS' EQUITY</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i/>
          <w:color w:val="000000"/>
          <w:sz w:val="20"/>
        </w:rPr>
      </w:pPr>
      <w:r>
        <w:rPr>
          <w:rFonts w:ascii="times new roman;times" w:hAnsi="times new roman;times"/>
          <w:i/>
          <w:color w:val="000000"/>
          <w:sz w:val="20"/>
        </w:rPr>
        <w:t>Earnings Per Share</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color w:val="000000"/>
          <w:sz w:val="20"/>
        </w:rPr>
      </w:pPr>
      <w:r>
        <w:rPr>
          <w:rFonts w:ascii="times new roman;times" w:hAnsi="times new roman;times"/>
          <w:color w:val="000000"/>
          <w:sz w:val="20"/>
        </w:rPr>
        <w:t>Basic earnings per share has been computed by dividing earnings available to common stockholders by the weighted average number of common shares outstanding during the respective period. Diluted earnings per share has been computed by dividing earnings available to common stockholders by the weighted average shares outstanding during the respective period, after adjusting for the potential dilution of options to purchase the Company’s common stock, assumed vesting of restricted stock units and the assumed conversion of the Company’s convertible debt, if such conversion would be dilutive.</w:t>
      </w:r>
    </w:p>
    <w:p>
      <w:pPr>
        <w:pStyle w:val="TextBody"/>
        <w:bidi w:val="0"/>
        <w:spacing w:lineRule="auto" w:line="288" w:before="0" w:after="0"/>
        <w:ind w:left="0" w:right="0" w:hanging="0"/>
        <w:jc w:val="both"/>
        <w:rPr>
          <w:color w:val="000000"/>
        </w:rPr>
      </w:pPr>
      <w:r>
        <w:rPr>
          <w:color w:val="000000"/>
        </w:rPr>
        <w:t> </w:t>
      </w:r>
    </w:p>
    <w:tbl>
      <w:tblPr>
        <w:tblW w:w="211" w:type="dxa"/>
        <w:jc w:val="left"/>
        <w:tblInd w:w="0" w:type="dxa"/>
        <w:tblLayout w:type="fixed"/>
        <w:tblCellMar>
          <w:top w:w="0" w:type="dxa"/>
          <w:left w:w="0" w:type="dxa"/>
          <w:bottom w:w="0" w:type="dxa"/>
          <w:right w:w="0" w:type="dxa"/>
        </w:tblCellMar>
      </w:tblPr>
      <w:tblGrid>
        <w:gridCol w:w="211"/>
      </w:tblGrid>
      <w:tr>
        <w:trPr/>
        <w:tc>
          <w:tcPr>
            <w:tcW w:w="211" w:type="dxa"/>
            <w:tcBorders/>
            <w:vAlign w:val="center"/>
          </w:tcPr>
          <w:p>
            <w:pPr>
              <w:pStyle w:val="TableContents"/>
              <w:bidi w:val="0"/>
              <w:spacing w:before="0" w:after="283"/>
              <w:jc w:val="center"/>
              <w:rPr>
                <w:sz w:val="20"/>
              </w:rPr>
            </w:pPr>
            <w:r>
              <w:rPr>
                <w:sz w:val="20"/>
              </w:rPr>
              <w:t>9</w:t>
            </w:r>
          </w:p>
        </w:tc>
      </w:tr>
    </w:tbl>
    <w:p>
      <w:pPr>
        <w:pStyle w:val="HorizontalLine"/>
        <w:bidi w:val="0"/>
        <w:spacing w:lineRule="atLeast" w:line="240"/>
        <w:jc w:val="both"/>
        <w:rPr/>
      </w:pPr>
      <w:r>
        <w:rPr/>
      </w:r>
    </w:p>
    <w:p>
      <w:pPr>
        <w:pStyle w:val="TextBody"/>
        <w:bidi w:val="0"/>
        <w:spacing w:lineRule="atLeast" w:line="240" w:before="0" w:after="0"/>
        <w:jc w:val="left"/>
        <w:rPr>
          <w:sz w:val="20"/>
        </w:rPr>
      </w:pPr>
      <w:r>
        <w:rPr>
          <w:sz w:val="20"/>
        </w:rPr>
      </w:r>
    </w:p>
    <w:p>
      <w:pPr>
        <w:pStyle w:val="TextBody"/>
        <w:bidi w:val="0"/>
        <w:spacing w:lineRule="atLeast" w:line="240" w:before="0" w:after="0"/>
        <w:ind w:left="0" w:right="0" w:hanging="0"/>
        <w:jc w:val="both"/>
        <w:rPr>
          <w:color w:val="000000"/>
          <w:sz w:val="20"/>
        </w:rPr>
      </w:pPr>
      <w:r>
        <w:rPr>
          <w:color w:val="000000"/>
          <w:sz w:val="20"/>
        </w:rPr>
      </w:r>
    </w:p>
    <w:p>
      <w:pPr>
        <w:pStyle w:val="TextBody"/>
        <w:bidi w:val="0"/>
        <w:spacing w:lineRule="auto" w:line="288" w:before="0" w:after="0"/>
        <w:jc w:val="both"/>
        <w:rPr>
          <w:rFonts w:ascii="times new roman;times" w:hAnsi="times new roman;times"/>
          <w:color w:val="000000"/>
          <w:sz w:val="20"/>
        </w:rPr>
      </w:pPr>
      <w:r>
        <w:rPr>
          <w:rFonts w:ascii="times new roman;times" w:hAnsi="times new roman;times"/>
          <w:color w:val="000000"/>
          <w:sz w:val="20"/>
        </w:rPr>
        <w:t>The following table provides the computation of diluted earnings and diluted weighted average number of common shares outstanding:</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5669"/>
        <w:gridCol w:w="140"/>
        <w:gridCol w:w="980"/>
        <w:gridCol w:w="23"/>
        <w:gridCol w:w="23"/>
        <w:gridCol w:w="140"/>
        <w:gridCol w:w="950"/>
        <w:gridCol w:w="23"/>
        <w:gridCol w:w="23"/>
        <w:gridCol w:w="125"/>
        <w:gridCol w:w="950"/>
        <w:gridCol w:w="23"/>
        <w:gridCol w:w="23"/>
        <w:gridCol w:w="125"/>
        <w:gridCol w:w="950"/>
        <w:gridCol w:w="38"/>
      </w:tblGrid>
      <w:tr>
        <w:trPr/>
        <w:tc>
          <w:tcPr>
            <w:tcW w:w="5669" w:type="dxa"/>
            <w:tcBorders/>
            <w:vAlign w:val="center"/>
          </w:tcPr>
          <w:p>
            <w:pPr>
              <w:pStyle w:val="TableContents"/>
              <w:bidi w:val="0"/>
              <w:spacing w:before="0" w:after="283"/>
              <w:ind w:left="0" w:right="0" w:hanging="0"/>
              <w:jc w:val="left"/>
              <w:rPr/>
            </w:pPr>
            <w:r>
              <w:rPr/>
              <w:t> </w:t>
            </w:r>
            <w:r>
              <w:rPr>
                <w:sz w:val="16"/>
              </w:rPr>
              <w:t>(in millions)</w:t>
            </w:r>
          </w:p>
        </w:tc>
        <w:tc>
          <w:tcPr>
            <w:tcW w:w="140" w:type="dxa"/>
            <w:tcBorders/>
            <w:vAlign w:val="center"/>
          </w:tcPr>
          <w:p>
            <w:pPr>
              <w:pStyle w:val="TableContents"/>
              <w:bidi w:val="0"/>
              <w:spacing w:before="0" w:after="283"/>
              <w:ind w:left="0" w:right="0" w:hanging="0"/>
              <w:jc w:val="left"/>
              <w:rPr>
                <w:sz w:val="4"/>
                <w:szCs w:val="4"/>
              </w:rPr>
            </w:pPr>
            <w:r>
              <w:rPr>
                <w:sz w:val="4"/>
                <w:szCs w:val="4"/>
              </w:rPr>
            </w:r>
          </w:p>
        </w:tc>
        <w:tc>
          <w:tcPr>
            <w:tcW w:w="2116" w:type="dxa"/>
            <w:gridSpan w:val="5"/>
            <w:tcBorders/>
            <w:vAlign w:val="bottom"/>
          </w:tcPr>
          <w:p>
            <w:pPr>
              <w:pStyle w:val="TableContents"/>
              <w:bidi w:val="0"/>
              <w:spacing w:before="0" w:after="0"/>
              <w:ind w:left="0" w:right="0" w:hanging="0"/>
              <w:jc w:val="center"/>
              <w:rPr>
                <w:sz w:val="16"/>
              </w:rPr>
            </w:pPr>
            <w:r>
              <w:rPr>
                <w:b/>
                <w:sz w:val="16"/>
              </w:rPr>
              <w:t>Three Months Ended</w:t>
            </w:r>
            <w:r>
              <w:rPr>
                <w:sz w:val="16"/>
              </w:rPr>
              <w:br/>
            </w:r>
            <w:r>
              <w:rPr>
                <w:b/>
                <w:sz w:val="16"/>
              </w:rPr>
              <w:t>June 30,</w:t>
            </w:r>
          </w:p>
        </w:tc>
        <w:tc>
          <w:tcPr>
            <w:tcW w:w="23" w:type="dxa"/>
            <w:tcBorders/>
            <w:vAlign w:val="center"/>
          </w:tcPr>
          <w:p>
            <w:pPr>
              <w:pStyle w:val="TableContents"/>
              <w:bidi w:val="0"/>
              <w:spacing w:before="0" w:after="283"/>
              <w:ind w:left="0" w:right="0" w:hanging="0"/>
              <w:jc w:val="left"/>
              <w:rPr/>
            </w:pPr>
            <w:r>
              <w:rPr/>
            </w:r>
          </w:p>
        </w:tc>
        <w:tc>
          <w:tcPr>
            <w:tcW w:w="23" w:type="dxa"/>
            <w:tcBorders/>
            <w:vAlign w:val="center"/>
          </w:tcPr>
          <w:p>
            <w:pPr>
              <w:pStyle w:val="TableContents"/>
              <w:bidi w:val="0"/>
              <w:spacing w:before="0" w:after="283"/>
              <w:ind w:left="0" w:right="0" w:hanging="0"/>
              <w:jc w:val="left"/>
              <w:rPr/>
            </w:pPr>
            <w:r>
              <w:rPr/>
            </w:r>
          </w:p>
        </w:tc>
        <w:tc>
          <w:tcPr>
            <w:tcW w:w="125" w:type="dxa"/>
            <w:tcBorders/>
            <w:vAlign w:val="center"/>
          </w:tcPr>
          <w:p>
            <w:pPr>
              <w:pStyle w:val="TableContents"/>
              <w:bidi w:val="0"/>
              <w:spacing w:before="0" w:after="283"/>
              <w:ind w:left="0" w:right="0" w:hanging="0"/>
              <w:jc w:val="left"/>
              <w:rPr/>
            </w:pPr>
            <w:r>
              <w:rPr/>
            </w:r>
          </w:p>
        </w:tc>
        <w:tc>
          <w:tcPr>
            <w:tcW w:w="2071" w:type="dxa"/>
            <w:gridSpan w:val="5"/>
            <w:tcBorders/>
            <w:vAlign w:val="center"/>
          </w:tcPr>
          <w:p>
            <w:pPr>
              <w:pStyle w:val="TableContents"/>
              <w:bidi w:val="0"/>
              <w:spacing w:before="0" w:after="0"/>
              <w:ind w:left="0" w:right="0" w:hanging="0"/>
              <w:jc w:val="center"/>
              <w:rPr>
                <w:b/>
                <w:sz w:val="16"/>
              </w:rPr>
            </w:pPr>
            <w:r>
              <w:rPr>
                <w:b/>
                <w:sz w:val="16"/>
              </w:rPr>
              <w:t>Six Months Ended</w:t>
              <w:br/>
              <w:t>June 30,</w:t>
            </w:r>
          </w:p>
        </w:tc>
        <w:tc>
          <w:tcPr>
            <w:tcW w:w="38" w:type="dxa"/>
            <w:tcBorders/>
            <w:vAlign w:val="center"/>
          </w:tcPr>
          <w:p>
            <w:pPr>
              <w:pStyle w:val="TableContents"/>
              <w:bidi w:val="0"/>
              <w:spacing w:before="0" w:after="283"/>
              <w:jc w:val="left"/>
              <w:rPr/>
            </w:pPr>
            <w:r>
              <w:rPr/>
            </w:r>
          </w:p>
        </w:tc>
      </w:tr>
      <w:tr>
        <w:trPr/>
        <w:tc>
          <w:tcPr>
            <w:tcW w:w="5669"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283"/>
              <w:ind w:left="0" w:right="0" w:hanging="0"/>
              <w:jc w:val="left"/>
              <w:rPr>
                <w:sz w:val="4"/>
                <w:szCs w:val="4"/>
              </w:rPr>
            </w:pPr>
            <w:r>
              <w:rPr>
                <w:sz w:val="4"/>
                <w:szCs w:val="4"/>
              </w:rPr>
            </w:r>
          </w:p>
        </w:tc>
        <w:tc>
          <w:tcPr>
            <w:tcW w:w="980" w:type="dxa"/>
            <w:tcBorders/>
            <w:vAlign w:val="bottom"/>
          </w:tcPr>
          <w:p>
            <w:pPr>
              <w:pStyle w:val="TableContents"/>
              <w:bidi w:val="0"/>
              <w:spacing w:before="0" w:after="0"/>
              <w:ind w:left="0" w:right="0" w:hanging="0"/>
              <w:jc w:val="center"/>
              <w:rPr>
                <w:b/>
                <w:sz w:val="16"/>
              </w:rPr>
            </w:pPr>
            <w:r>
              <w:rPr>
                <w:b/>
                <w:sz w:val="16"/>
              </w:rPr>
              <w:t>2024</w:t>
            </w:r>
          </w:p>
        </w:tc>
        <w:tc>
          <w:tcPr>
            <w:tcW w:w="23" w:type="dxa"/>
            <w:tcBorders/>
            <w:vAlign w:val="bottom"/>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ind w:left="0" w:right="0" w:hanging="0"/>
              <w:jc w:val="left"/>
              <w:rPr/>
            </w:pPr>
            <w:r>
              <w:rPr/>
            </w:r>
          </w:p>
        </w:tc>
        <w:tc>
          <w:tcPr>
            <w:tcW w:w="140" w:type="dxa"/>
            <w:tcBorders/>
            <w:vAlign w:val="center"/>
          </w:tcPr>
          <w:p>
            <w:pPr>
              <w:pStyle w:val="TableContents"/>
              <w:bidi w:val="0"/>
              <w:spacing w:before="0" w:after="0"/>
              <w:ind w:left="0" w:right="0" w:hanging="0"/>
              <w:jc w:val="center"/>
              <w:rPr>
                <w:sz w:val="16"/>
              </w:rPr>
            </w:pPr>
            <w:r>
              <w:rPr>
                <w:sz w:val="16"/>
              </w:rPr>
            </w:r>
          </w:p>
        </w:tc>
        <w:tc>
          <w:tcPr>
            <w:tcW w:w="950" w:type="dxa"/>
            <w:tcBorders/>
            <w:vAlign w:val="bottom"/>
          </w:tcPr>
          <w:p>
            <w:pPr>
              <w:pStyle w:val="TableContents"/>
              <w:bidi w:val="0"/>
              <w:spacing w:before="0" w:after="0"/>
              <w:ind w:left="0" w:right="0" w:hanging="0"/>
              <w:jc w:val="center"/>
              <w:rPr>
                <w:b/>
                <w:sz w:val="16"/>
              </w:rPr>
            </w:pPr>
            <w:r>
              <w:rPr>
                <w:b/>
                <w:sz w:val="16"/>
              </w:rPr>
              <w:t>2023</w:t>
            </w:r>
          </w:p>
        </w:tc>
        <w:tc>
          <w:tcPr>
            <w:tcW w:w="23" w:type="dxa"/>
            <w:tcBorders/>
            <w:vAlign w:val="center"/>
          </w:tcPr>
          <w:p>
            <w:pPr>
              <w:pStyle w:val="TableContents"/>
              <w:bidi w:val="0"/>
              <w:spacing w:before="0" w:after="0"/>
              <w:ind w:left="0" w:right="0" w:hanging="0"/>
              <w:jc w:val="center"/>
              <w:rPr>
                <w:sz w:val="16"/>
              </w:rPr>
            </w:pPr>
            <w:r>
              <w:rPr>
                <w:sz w:val="16"/>
              </w:rPr>
            </w:r>
          </w:p>
        </w:tc>
        <w:tc>
          <w:tcPr>
            <w:tcW w:w="23" w:type="dxa"/>
            <w:tcBorders/>
            <w:vAlign w:val="center"/>
          </w:tcPr>
          <w:p>
            <w:pPr>
              <w:pStyle w:val="TableContents"/>
              <w:bidi w:val="0"/>
              <w:spacing w:before="0" w:after="0"/>
              <w:ind w:left="0" w:right="0" w:hanging="0"/>
              <w:jc w:val="center"/>
              <w:rPr>
                <w:sz w:val="16"/>
              </w:rPr>
            </w:pPr>
            <w:r>
              <w:rPr>
                <w:sz w:val="16"/>
              </w:rPr>
            </w:r>
          </w:p>
        </w:tc>
        <w:tc>
          <w:tcPr>
            <w:tcW w:w="125" w:type="dxa"/>
            <w:tcBorders/>
            <w:vAlign w:val="center"/>
          </w:tcPr>
          <w:p>
            <w:pPr>
              <w:pStyle w:val="TableContents"/>
              <w:bidi w:val="0"/>
              <w:spacing w:before="0" w:after="0"/>
              <w:ind w:left="0" w:right="0" w:hanging="0"/>
              <w:jc w:val="center"/>
              <w:rPr>
                <w:sz w:val="16"/>
              </w:rPr>
            </w:pPr>
            <w:r>
              <w:rPr>
                <w:sz w:val="16"/>
              </w:rPr>
            </w:r>
          </w:p>
        </w:tc>
        <w:tc>
          <w:tcPr>
            <w:tcW w:w="950" w:type="dxa"/>
            <w:tcBorders/>
            <w:vAlign w:val="center"/>
          </w:tcPr>
          <w:p>
            <w:pPr>
              <w:pStyle w:val="TableContents"/>
              <w:bidi w:val="0"/>
              <w:spacing w:before="0" w:after="0"/>
              <w:ind w:left="0" w:right="0" w:hanging="0"/>
              <w:jc w:val="center"/>
              <w:rPr>
                <w:b/>
                <w:sz w:val="16"/>
              </w:rPr>
            </w:pPr>
            <w:r>
              <w:rPr>
                <w:b/>
                <w:sz w:val="16"/>
              </w:rPr>
              <w:t>2024</w:t>
            </w:r>
          </w:p>
        </w:tc>
        <w:tc>
          <w:tcPr>
            <w:tcW w:w="23" w:type="dxa"/>
            <w:tcBorders/>
            <w:vAlign w:val="center"/>
          </w:tcPr>
          <w:p>
            <w:pPr>
              <w:pStyle w:val="TableContents"/>
              <w:bidi w:val="0"/>
              <w:spacing w:before="0" w:after="0"/>
              <w:ind w:left="0" w:right="0" w:hanging="0"/>
              <w:jc w:val="center"/>
              <w:rPr>
                <w:sz w:val="16"/>
              </w:rPr>
            </w:pPr>
            <w:r>
              <w:rPr>
                <w:sz w:val="16"/>
              </w:rPr>
            </w:r>
          </w:p>
        </w:tc>
        <w:tc>
          <w:tcPr>
            <w:tcW w:w="23" w:type="dxa"/>
            <w:tcBorders/>
            <w:vAlign w:val="center"/>
          </w:tcPr>
          <w:p>
            <w:pPr>
              <w:pStyle w:val="TableContents"/>
              <w:bidi w:val="0"/>
              <w:spacing w:before="0" w:after="0"/>
              <w:ind w:left="0" w:right="0" w:hanging="0"/>
              <w:jc w:val="center"/>
              <w:rPr>
                <w:sz w:val="16"/>
              </w:rPr>
            </w:pPr>
            <w:r>
              <w:rPr>
                <w:sz w:val="16"/>
              </w:rPr>
            </w:r>
          </w:p>
        </w:tc>
        <w:tc>
          <w:tcPr>
            <w:tcW w:w="125" w:type="dxa"/>
            <w:tcBorders/>
            <w:vAlign w:val="center"/>
          </w:tcPr>
          <w:p>
            <w:pPr>
              <w:pStyle w:val="TableContents"/>
              <w:bidi w:val="0"/>
              <w:spacing w:before="0" w:after="0"/>
              <w:ind w:left="0" w:right="0" w:hanging="0"/>
              <w:jc w:val="center"/>
              <w:rPr>
                <w:sz w:val="16"/>
              </w:rPr>
            </w:pPr>
            <w:r>
              <w:rPr>
                <w:sz w:val="16"/>
              </w:rPr>
            </w:r>
          </w:p>
        </w:tc>
        <w:tc>
          <w:tcPr>
            <w:tcW w:w="950" w:type="dxa"/>
            <w:tcBorders/>
            <w:vAlign w:val="center"/>
          </w:tcPr>
          <w:p>
            <w:pPr>
              <w:pStyle w:val="TableContents"/>
              <w:bidi w:val="0"/>
              <w:spacing w:before="0" w:after="0"/>
              <w:ind w:left="0" w:right="0" w:hanging="0"/>
              <w:jc w:val="center"/>
              <w:rPr>
                <w:b/>
                <w:sz w:val="16"/>
              </w:rPr>
            </w:pPr>
            <w:r>
              <w:rPr>
                <w:b/>
                <w:sz w:val="16"/>
              </w:rPr>
              <w:t>2023</w:t>
            </w:r>
          </w:p>
        </w:tc>
        <w:tc>
          <w:tcPr>
            <w:tcW w:w="38" w:type="dxa"/>
            <w:tcBorders/>
            <w:vAlign w:val="center"/>
          </w:tcPr>
          <w:p>
            <w:pPr>
              <w:pStyle w:val="TableContents"/>
              <w:bidi w:val="0"/>
              <w:spacing w:before="0" w:after="0"/>
              <w:ind w:left="0" w:right="0" w:hanging="0"/>
              <w:jc w:val="center"/>
              <w:rPr>
                <w:sz w:val="16"/>
              </w:rPr>
            </w:pPr>
            <w:r>
              <w:rPr>
                <w:sz w:val="16"/>
              </w:rPr>
            </w:r>
          </w:p>
        </w:tc>
      </w:tr>
      <w:tr>
        <w:trPr/>
        <w:tc>
          <w:tcPr>
            <w:tcW w:w="5669"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Computation of diluted earnings:</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pPr>
            <w:r>
              <w:rPr/>
            </w:r>
          </w:p>
        </w:tc>
        <w:tc>
          <w:tcPr>
            <w:tcW w:w="140" w:type="dxa"/>
            <w:tcBorders/>
            <w:shd w:fill="CCEEFF" w:val="clear"/>
            <w:vAlign w:val="center"/>
          </w:tcPr>
          <w:p>
            <w:pPr>
              <w:pStyle w:val="TableContents"/>
              <w:bidi w:val="0"/>
              <w:spacing w:before="0" w:after="283"/>
              <w:jc w:val="left"/>
              <w:rPr/>
            </w:pPr>
            <w:r>
              <w:rPr/>
            </w:r>
          </w:p>
        </w:tc>
        <w:tc>
          <w:tcPr>
            <w:tcW w:w="950" w:type="dxa"/>
            <w:tcBorders/>
            <w:shd w:fill="CCEEFF" w:val="clear"/>
            <w:vAlign w:val="center"/>
          </w:tcPr>
          <w:p>
            <w:pPr>
              <w:pStyle w:val="TableContents"/>
              <w:bidi w:val="0"/>
              <w:spacing w:before="0" w:after="283"/>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125" w:type="dxa"/>
            <w:tcBorders/>
            <w:shd w:fill="CCEEFF" w:val="clear"/>
            <w:vAlign w:val="center"/>
          </w:tcPr>
          <w:p>
            <w:pPr>
              <w:pStyle w:val="TableContents"/>
              <w:bidi w:val="0"/>
              <w:spacing w:before="0" w:after="283"/>
              <w:jc w:val="left"/>
              <w:rPr/>
            </w:pPr>
            <w:r>
              <w:rPr/>
            </w:r>
          </w:p>
        </w:tc>
        <w:tc>
          <w:tcPr>
            <w:tcW w:w="950"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125" w:type="dxa"/>
            <w:tcBorders/>
            <w:shd w:fill="CCEEFF" w:val="clear"/>
            <w:vAlign w:val="center"/>
          </w:tcPr>
          <w:p>
            <w:pPr>
              <w:pStyle w:val="TableContents"/>
              <w:bidi w:val="0"/>
              <w:spacing w:before="0" w:after="283"/>
              <w:jc w:val="left"/>
              <w:rPr/>
            </w:pPr>
            <w:r>
              <w:rPr/>
            </w:r>
          </w:p>
        </w:tc>
        <w:tc>
          <w:tcPr>
            <w:tcW w:w="950" w:type="dxa"/>
            <w:tcBorders/>
            <w:shd w:fill="CCEEFF" w:val="clear"/>
            <w:vAlign w:val="center"/>
          </w:tcPr>
          <w:p>
            <w:pPr>
              <w:pStyle w:val="TableContents"/>
              <w:bidi w:val="0"/>
              <w:spacing w:before="0" w:after="283"/>
              <w:jc w:val="left"/>
              <w:rPr/>
            </w:pPr>
            <w:r>
              <w:rPr/>
            </w:r>
          </w:p>
        </w:tc>
        <w:tc>
          <w:tcPr>
            <w:tcW w:w="38" w:type="dxa"/>
            <w:tcBorders/>
            <w:shd w:fill="CCEEFF" w:val="clear"/>
            <w:vAlign w:val="center"/>
          </w:tcPr>
          <w:p>
            <w:pPr>
              <w:pStyle w:val="TableContents"/>
              <w:bidi w:val="0"/>
              <w:spacing w:before="0" w:after="283"/>
              <w:jc w:val="left"/>
              <w:rPr/>
            </w:pPr>
            <w:r>
              <w:rPr/>
            </w:r>
          </w:p>
        </w:tc>
      </w:tr>
      <w:tr>
        <w:trPr/>
        <w:tc>
          <w:tcPr>
            <w:tcW w:w="5669" w:type="dxa"/>
            <w:tcBorders/>
            <w:vAlign w:val="center"/>
          </w:tcPr>
          <w:p>
            <w:pPr>
              <w:pStyle w:val="TableContents"/>
              <w:bidi w:val="0"/>
              <w:spacing w:before="0" w:after="0"/>
              <w:jc w:val="left"/>
              <w:rPr/>
            </w:pPr>
            <w:r>
              <w:rPr/>
              <w:t>   </w:t>
            </w:r>
            <w:r>
              <w:rPr>
                <w:rFonts w:ascii="times new roman;times" w:hAnsi="times new roman;times"/>
                <w:sz w:val="20"/>
              </w:rPr>
              <w:t>Net income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0"/>
              <w:jc w:val="right"/>
              <w:rPr>
                <w:sz w:val="20"/>
              </w:rPr>
            </w:pPr>
            <w:r>
              <w:rPr>
                <w:sz w:val="20"/>
              </w:rPr>
              <w:t>83.1</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50" w:type="dxa"/>
            <w:tcBorders/>
            <w:vAlign w:val="center"/>
          </w:tcPr>
          <w:p>
            <w:pPr>
              <w:pStyle w:val="TableContents"/>
              <w:bidi w:val="0"/>
              <w:spacing w:before="0" w:after="0"/>
              <w:jc w:val="right"/>
              <w:rPr>
                <w:sz w:val="20"/>
              </w:rPr>
            </w:pPr>
            <w:r>
              <w:rPr>
                <w:sz w:val="20"/>
              </w:rPr>
              <w:t>86.1</w:t>
            </w:r>
          </w:p>
        </w:tc>
        <w:tc>
          <w:tcPr>
            <w:tcW w:w="23" w:type="dxa"/>
            <w:tcBorders/>
            <w:vAlign w:val="center"/>
          </w:tcPr>
          <w:p>
            <w:pPr>
              <w:pStyle w:val="TableContents"/>
              <w:bidi w:val="0"/>
              <w:spacing w:before="0" w:after="0"/>
              <w:jc w:val="right"/>
              <w:rPr>
                <w:sz w:val="20"/>
              </w:rPr>
            </w:pPr>
            <w:r>
              <w:rPr>
                <w:sz w:val="20"/>
              </w:rPr>
            </w:r>
          </w:p>
        </w:tc>
        <w:tc>
          <w:tcPr>
            <w:tcW w:w="23" w:type="dxa"/>
            <w:tcBorders/>
            <w:vAlign w:val="center"/>
          </w:tcPr>
          <w:p>
            <w:pPr>
              <w:pStyle w:val="TableContents"/>
              <w:bidi w:val="0"/>
              <w:spacing w:before="0" w:after="0"/>
              <w:jc w:val="right"/>
              <w:rPr>
                <w:sz w:val="20"/>
              </w:rPr>
            </w:pPr>
            <w:r>
              <w:rPr>
                <w:sz w:val="20"/>
              </w:rPr>
            </w:r>
          </w:p>
        </w:tc>
        <w:tc>
          <w:tcPr>
            <w:tcW w:w="125" w:type="dxa"/>
            <w:tcBorders/>
            <w:vAlign w:val="center"/>
          </w:tcPr>
          <w:p>
            <w:pPr>
              <w:pStyle w:val="TableContents"/>
              <w:widowControl/>
              <w:bidi w:val="0"/>
              <w:spacing w:before="0" w:after="0"/>
              <w:ind w:left="0" w:right="0" w:hanging="0"/>
              <w:jc w:val="left"/>
              <w:rPr>
                <w:rFonts w:ascii="times new roman" w:hAnsi="times new roman"/>
                <w:b w:val="false"/>
                <w:color w:val="000000"/>
                <w:spacing w:val="0"/>
                <w:sz w:val="20"/>
              </w:rPr>
            </w:pPr>
            <w:r>
              <w:rPr>
                <w:rFonts w:ascii="times new roman" w:hAnsi="times new roman"/>
                <w:b w:val="false"/>
                <w:color w:val="000000"/>
                <w:spacing w:val="0"/>
                <w:sz w:val="20"/>
              </w:rPr>
              <w:t>$</w:t>
            </w:r>
          </w:p>
        </w:tc>
        <w:tc>
          <w:tcPr>
            <w:tcW w:w="950" w:type="dxa"/>
            <w:tcBorders/>
            <w:vAlign w:val="center"/>
          </w:tcPr>
          <w:p>
            <w:pPr>
              <w:pStyle w:val="TableContents"/>
              <w:bidi w:val="0"/>
              <w:spacing w:before="0" w:after="0"/>
              <w:jc w:val="right"/>
              <w:rPr>
                <w:sz w:val="20"/>
              </w:rPr>
            </w:pPr>
            <w:r>
              <w:rPr>
                <w:sz w:val="20"/>
              </w:rPr>
              <w:t>109.3</w:t>
            </w:r>
          </w:p>
        </w:tc>
        <w:tc>
          <w:tcPr>
            <w:tcW w:w="23" w:type="dxa"/>
            <w:tcBorders/>
            <w:vAlign w:val="center"/>
          </w:tcPr>
          <w:p>
            <w:pPr>
              <w:pStyle w:val="TableContents"/>
              <w:bidi w:val="0"/>
              <w:spacing w:before="0" w:after="0"/>
              <w:jc w:val="right"/>
              <w:rPr>
                <w:sz w:val="20"/>
              </w:rPr>
            </w:pPr>
            <w:r>
              <w:rPr>
                <w:sz w:val="20"/>
              </w:rPr>
            </w:r>
          </w:p>
        </w:tc>
        <w:tc>
          <w:tcPr>
            <w:tcW w:w="23" w:type="dxa"/>
            <w:tcBorders/>
            <w:vAlign w:val="center"/>
          </w:tcPr>
          <w:p>
            <w:pPr>
              <w:pStyle w:val="TableContents"/>
              <w:bidi w:val="0"/>
              <w:spacing w:before="0" w:after="0"/>
              <w:jc w:val="right"/>
              <w:rPr>
                <w:sz w:val="20"/>
              </w:rPr>
            </w:pPr>
            <w:r>
              <w:rPr>
                <w:sz w:val="20"/>
              </w:rPr>
            </w:r>
          </w:p>
        </w:tc>
        <w:tc>
          <w:tcPr>
            <w:tcW w:w="125" w:type="dxa"/>
            <w:tcBorders/>
            <w:vAlign w:val="center"/>
          </w:tcPr>
          <w:p>
            <w:pPr>
              <w:pStyle w:val="TableContents"/>
              <w:widowControl/>
              <w:bidi w:val="0"/>
              <w:spacing w:before="0" w:after="0"/>
              <w:ind w:left="0" w:right="0" w:hanging="0"/>
              <w:jc w:val="left"/>
              <w:rPr>
                <w:rFonts w:ascii="times new roman" w:hAnsi="times new roman"/>
                <w:b w:val="false"/>
                <w:color w:val="000000"/>
                <w:spacing w:val="0"/>
                <w:sz w:val="20"/>
              </w:rPr>
            </w:pPr>
            <w:r>
              <w:rPr>
                <w:rFonts w:ascii="times new roman" w:hAnsi="times new roman"/>
                <w:b w:val="false"/>
                <w:color w:val="000000"/>
                <w:spacing w:val="0"/>
                <w:sz w:val="20"/>
              </w:rPr>
              <w:t>$</w:t>
            </w:r>
          </w:p>
        </w:tc>
        <w:tc>
          <w:tcPr>
            <w:tcW w:w="950" w:type="dxa"/>
            <w:tcBorders/>
            <w:vAlign w:val="center"/>
          </w:tcPr>
          <w:p>
            <w:pPr>
              <w:pStyle w:val="TableContents"/>
              <w:bidi w:val="0"/>
              <w:spacing w:before="0" w:after="0"/>
              <w:jc w:val="right"/>
              <w:rPr>
                <w:sz w:val="20"/>
              </w:rPr>
            </w:pPr>
            <w:r>
              <w:rPr>
                <w:sz w:val="20"/>
              </w:rPr>
              <w:t>106.2</w:t>
            </w:r>
          </w:p>
        </w:tc>
        <w:tc>
          <w:tcPr>
            <w:tcW w:w="38" w:type="dxa"/>
            <w:tcBorders/>
            <w:vAlign w:val="center"/>
          </w:tcPr>
          <w:p>
            <w:pPr>
              <w:pStyle w:val="TableContents"/>
              <w:bidi w:val="0"/>
              <w:spacing w:before="0" w:after="0"/>
              <w:jc w:val="right"/>
              <w:rPr>
                <w:sz w:val="20"/>
              </w:rPr>
            </w:pPr>
            <w:r>
              <w:rPr>
                <w:sz w:val="20"/>
              </w:rPr>
            </w:r>
          </w:p>
        </w:tc>
      </w:tr>
      <w:tr>
        <w:trPr/>
        <w:tc>
          <w:tcPr>
            <w:tcW w:w="5669" w:type="dxa"/>
            <w:tcBorders/>
            <w:shd w:fill="CCEEFF" w:val="clear"/>
            <w:vAlign w:val="center"/>
          </w:tcPr>
          <w:p>
            <w:pPr>
              <w:pStyle w:val="TableContents"/>
              <w:bidi w:val="0"/>
              <w:spacing w:before="0" w:after="0"/>
              <w:jc w:val="left"/>
              <w:rPr/>
            </w:pPr>
            <w:r>
              <w:rPr/>
              <w:t>   </w:t>
            </w:r>
            <w:r>
              <w:rPr>
                <w:rFonts w:ascii="times new roman;times" w:hAnsi="times new roman;times"/>
                <w:sz w:val="20"/>
              </w:rPr>
              <w:t>Add: Interest expense from assumed conversion of convertible notes, net of tax</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0"/>
              <w:jc w:val="right"/>
              <w:rPr>
                <w:sz w:val="20"/>
              </w:rPr>
            </w:pPr>
            <w:r>
              <w:rPr>
                <w:sz w:val="20"/>
              </w:rPr>
              <w:t>1.0</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pPr>
            <w:r>
              <w:rPr/>
            </w:r>
          </w:p>
        </w:tc>
        <w:tc>
          <w:tcPr>
            <w:tcW w:w="140" w:type="dxa"/>
            <w:tcBorders/>
            <w:shd w:fill="CCEEFF" w:val="clear"/>
            <w:vAlign w:val="center"/>
          </w:tcPr>
          <w:p>
            <w:pPr>
              <w:pStyle w:val="TableContents"/>
              <w:bidi w:val="0"/>
              <w:spacing w:before="0" w:after="0"/>
              <w:jc w:val="right"/>
              <w:rPr>
                <w:sz w:val="20"/>
              </w:rPr>
            </w:pPr>
            <w:r>
              <w:rPr>
                <w:sz w:val="20"/>
              </w:rPr>
            </w:r>
          </w:p>
        </w:tc>
        <w:tc>
          <w:tcPr>
            <w:tcW w:w="950" w:type="dxa"/>
            <w:tcBorders/>
            <w:shd w:fill="CCEEFF" w:val="clear"/>
            <w:vAlign w:val="center"/>
          </w:tcPr>
          <w:p>
            <w:pPr>
              <w:pStyle w:val="TableContents"/>
              <w:bidi w:val="0"/>
              <w:spacing w:before="0" w:after="0"/>
              <w:jc w:val="right"/>
              <w:rPr>
                <w:sz w:val="20"/>
              </w:rPr>
            </w:pPr>
            <w:r>
              <w:rPr>
                <w:sz w:val="20"/>
              </w:rPr>
              <w:t>1.1</w:t>
            </w:r>
          </w:p>
        </w:tc>
        <w:tc>
          <w:tcPr>
            <w:tcW w:w="23" w:type="dxa"/>
            <w:tcBorders/>
            <w:shd w:fill="CCEEFF" w:val="clear"/>
            <w:vAlign w:val="center"/>
          </w:tcPr>
          <w:p>
            <w:pPr>
              <w:pStyle w:val="TableContents"/>
              <w:bidi w:val="0"/>
              <w:spacing w:before="0" w:after="0"/>
              <w:jc w:val="right"/>
              <w:rPr>
                <w:sz w:val="20"/>
              </w:rPr>
            </w:pPr>
            <w:r>
              <w:rPr>
                <w:sz w:val="20"/>
              </w:rPr>
            </w:r>
          </w:p>
        </w:tc>
        <w:tc>
          <w:tcPr>
            <w:tcW w:w="23" w:type="dxa"/>
            <w:tcBorders/>
            <w:shd w:fill="CCEEFF" w:val="clear"/>
            <w:vAlign w:val="center"/>
          </w:tcPr>
          <w:p>
            <w:pPr>
              <w:pStyle w:val="TableContents"/>
              <w:bidi w:val="0"/>
              <w:spacing w:before="0" w:after="0"/>
              <w:jc w:val="right"/>
              <w:rPr>
                <w:sz w:val="20"/>
              </w:rPr>
            </w:pPr>
            <w:r>
              <w:rPr>
                <w:sz w:val="20"/>
              </w:rPr>
            </w:r>
          </w:p>
        </w:tc>
        <w:tc>
          <w:tcPr>
            <w:tcW w:w="125" w:type="dxa"/>
            <w:tcBorders/>
            <w:shd w:fill="CCEEFF" w:val="clear"/>
            <w:vAlign w:val="center"/>
          </w:tcPr>
          <w:p>
            <w:pPr>
              <w:pStyle w:val="TableContents"/>
              <w:bidi w:val="0"/>
              <w:spacing w:before="0" w:after="0"/>
              <w:jc w:val="left"/>
              <w:rPr>
                <w:sz w:val="20"/>
              </w:rPr>
            </w:pPr>
            <w:r>
              <w:rPr>
                <w:sz w:val="20"/>
              </w:rPr>
            </w:r>
          </w:p>
        </w:tc>
        <w:tc>
          <w:tcPr>
            <w:tcW w:w="950" w:type="dxa"/>
            <w:tcBorders/>
            <w:shd w:fill="CCEEFF" w:val="clear"/>
            <w:vAlign w:val="center"/>
          </w:tcPr>
          <w:p>
            <w:pPr>
              <w:pStyle w:val="TableContents"/>
              <w:bidi w:val="0"/>
              <w:spacing w:before="0" w:after="0"/>
              <w:jc w:val="right"/>
              <w:rPr>
                <w:sz w:val="20"/>
              </w:rPr>
            </w:pPr>
            <w:r>
              <w:rPr>
                <w:sz w:val="20"/>
              </w:rPr>
              <w:t>2.0</w:t>
            </w:r>
          </w:p>
        </w:tc>
        <w:tc>
          <w:tcPr>
            <w:tcW w:w="23" w:type="dxa"/>
            <w:tcBorders/>
            <w:shd w:fill="CCEEFF" w:val="clear"/>
            <w:vAlign w:val="center"/>
          </w:tcPr>
          <w:p>
            <w:pPr>
              <w:pStyle w:val="TableContents"/>
              <w:bidi w:val="0"/>
              <w:spacing w:before="0" w:after="0"/>
              <w:jc w:val="right"/>
              <w:rPr>
                <w:sz w:val="20"/>
              </w:rPr>
            </w:pPr>
            <w:r>
              <w:rPr>
                <w:sz w:val="20"/>
              </w:rPr>
            </w:r>
          </w:p>
        </w:tc>
        <w:tc>
          <w:tcPr>
            <w:tcW w:w="23" w:type="dxa"/>
            <w:tcBorders/>
            <w:shd w:fill="CCEEFF" w:val="clear"/>
            <w:vAlign w:val="center"/>
          </w:tcPr>
          <w:p>
            <w:pPr>
              <w:pStyle w:val="TableContents"/>
              <w:bidi w:val="0"/>
              <w:spacing w:before="0" w:after="0"/>
              <w:jc w:val="right"/>
              <w:rPr>
                <w:sz w:val="20"/>
              </w:rPr>
            </w:pPr>
            <w:r>
              <w:rPr>
                <w:sz w:val="20"/>
              </w:rPr>
            </w:r>
          </w:p>
        </w:tc>
        <w:tc>
          <w:tcPr>
            <w:tcW w:w="125" w:type="dxa"/>
            <w:tcBorders/>
            <w:shd w:fill="CCEEFF" w:val="clear"/>
            <w:vAlign w:val="center"/>
          </w:tcPr>
          <w:p>
            <w:pPr>
              <w:pStyle w:val="TableContents"/>
              <w:bidi w:val="0"/>
              <w:spacing w:before="0" w:after="0"/>
              <w:jc w:val="left"/>
              <w:rPr>
                <w:sz w:val="20"/>
              </w:rPr>
            </w:pPr>
            <w:r>
              <w:rPr>
                <w:sz w:val="20"/>
              </w:rPr>
            </w:r>
          </w:p>
        </w:tc>
        <w:tc>
          <w:tcPr>
            <w:tcW w:w="950" w:type="dxa"/>
            <w:tcBorders/>
            <w:shd w:fill="CCEEFF" w:val="clear"/>
            <w:vAlign w:val="center"/>
          </w:tcPr>
          <w:p>
            <w:pPr>
              <w:pStyle w:val="TableContents"/>
              <w:bidi w:val="0"/>
              <w:spacing w:before="0" w:after="0"/>
              <w:jc w:val="right"/>
              <w:rPr>
                <w:sz w:val="20"/>
              </w:rPr>
            </w:pPr>
            <w:r>
              <w:rPr>
                <w:sz w:val="20"/>
              </w:rPr>
              <w:t>2.0</w:t>
            </w:r>
          </w:p>
        </w:tc>
        <w:tc>
          <w:tcPr>
            <w:tcW w:w="38" w:type="dxa"/>
            <w:tcBorders/>
            <w:shd w:fill="CCEEFF" w:val="clear"/>
            <w:vAlign w:val="center"/>
          </w:tcPr>
          <w:p>
            <w:pPr>
              <w:pStyle w:val="TableContents"/>
              <w:bidi w:val="0"/>
              <w:spacing w:before="0" w:after="0"/>
              <w:jc w:val="right"/>
              <w:rPr>
                <w:sz w:val="20"/>
              </w:rPr>
            </w:pPr>
            <w:r>
              <w:rPr>
                <w:sz w:val="20"/>
              </w:rPr>
            </w:r>
          </w:p>
        </w:tc>
      </w:tr>
      <w:tr>
        <w:trPr/>
        <w:tc>
          <w:tcPr>
            <w:tcW w:w="5669" w:type="dxa"/>
            <w:tcBorders/>
            <w:vAlign w:val="center"/>
          </w:tcPr>
          <w:p>
            <w:pPr>
              <w:pStyle w:val="TableContents"/>
              <w:bidi w:val="0"/>
              <w:spacing w:before="0" w:after="0"/>
              <w:jc w:val="left"/>
              <w:rPr/>
            </w:pPr>
            <w:r>
              <w:rPr/>
              <w:t xml:space="preserve">      </w:t>
            </w:r>
            <w:r>
              <w:rPr>
                <w:rFonts w:ascii="times new roman;times" w:hAnsi="times new roman;times"/>
                <w:sz w:val="20"/>
              </w:rPr>
              <w:t>Net income for diluted earnings per share calculation</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0"/>
              <w:jc w:val="right"/>
              <w:rPr>
                <w:sz w:val="20"/>
              </w:rPr>
            </w:pPr>
            <w:r>
              <w:rPr>
                <w:sz w:val="20"/>
              </w:rPr>
              <w:t>84.1</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0"/>
              <w:jc w:val="left"/>
              <w:rPr>
                <w:sz w:val="20"/>
              </w:rPr>
            </w:pPr>
            <w:r>
              <w:rPr>
                <w:sz w:val="20"/>
              </w:rPr>
              <w:t>$</w:t>
            </w:r>
          </w:p>
        </w:tc>
        <w:tc>
          <w:tcPr>
            <w:tcW w:w="950" w:type="dxa"/>
            <w:tcBorders/>
            <w:vAlign w:val="center"/>
          </w:tcPr>
          <w:p>
            <w:pPr>
              <w:pStyle w:val="TableContents"/>
              <w:bidi w:val="0"/>
              <w:spacing w:before="0" w:after="0"/>
              <w:jc w:val="right"/>
              <w:rPr>
                <w:sz w:val="20"/>
              </w:rPr>
            </w:pPr>
            <w:r>
              <w:rPr>
                <w:sz w:val="20"/>
              </w:rPr>
              <w:t>87.2</w:t>
            </w:r>
          </w:p>
        </w:tc>
        <w:tc>
          <w:tcPr>
            <w:tcW w:w="23" w:type="dxa"/>
            <w:tcBorders/>
            <w:vAlign w:val="center"/>
          </w:tcPr>
          <w:p>
            <w:pPr>
              <w:pStyle w:val="TableContents"/>
              <w:bidi w:val="0"/>
              <w:spacing w:before="0" w:after="0"/>
              <w:jc w:val="right"/>
              <w:rPr>
                <w:sz w:val="20"/>
              </w:rPr>
            </w:pPr>
            <w:r>
              <w:rPr>
                <w:sz w:val="20"/>
              </w:rPr>
            </w:r>
          </w:p>
        </w:tc>
        <w:tc>
          <w:tcPr>
            <w:tcW w:w="23" w:type="dxa"/>
            <w:tcBorders/>
            <w:vAlign w:val="center"/>
          </w:tcPr>
          <w:p>
            <w:pPr>
              <w:pStyle w:val="TableContents"/>
              <w:bidi w:val="0"/>
              <w:spacing w:before="0" w:after="0"/>
              <w:jc w:val="right"/>
              <w:rPr>
                <w:sz w:val="20"/>
              </w:rPr>
            </w:pPr>
            <w:r>
              <w:rPr>
                <w:sz w:val="20"/>
              </w:rPr>
            </w:r>
          </w:p>
        </w:tc>
        <w:tc>
          <w:tcPr>
            <w:tcW w:w="125" w:type="dxa"/>
            <w:tcBorders/>
            <w:vAlign w:val="center"/>
          </w:tcPr>
          <w:p>
            <w:pPr>
              <w:pStyle w:val="TableContents"/>
              <w:widowControl/>
              <w:bidi w:val="0"/>
              <w:spacing w:before="0" w:after="0"/>
              <w:ind w:left="0" w:right="0" w:hanging="0"/>
              <w:jc w:val="left"/>
              <w:rPr>
                <w:rFonts w:ascii="times new roman" w:hAnsi="times new roman"/>
                <w:b w:val="false"/>
                <w:color w:val="000000"/>
                <w:spacing w:val="0"/>
                <w:sz w:val="20"/>
              </w:rPr>
            </w:pPr>
            <w:r>
              <w:rPr>
                <w:rFonts w:ascii="times new roman" w:hAnsi="times new roman"/>
                <w:b w:val="false"/>
                <w:color w:val="000000"/>
                <w:spacing w:val="0"/>
                <w:sz w:val="20"/>
              </w:rPr>
              <w:t>$</w:t>
            </w:r>
          </w:p>
        </w:tc>
        <w:tc>
          <w:tcPr>
            <w:tcW w:w="950" w:type="dxa"/>
            <w:tcBorders/>
            <w:vAlign w:val="center"/>
          </w:tcPr>
          <w:p>
            <w:pPr>
              <w:pStyle w:val="TableContents"/>
              <w:bidi w:val="0"/>
              <w:spacing w:before="0" w:after="0"/>
              <w:jc w:val="right"/>
              <w:rPr>
                <w:sz w:val="20"/>
              </w:rPr>
            </w:pPr>
            <w:r>
              <w:rPr>
                <w:sz w:val="20"/>
              </w:rPr>
              <w:t>111.3</w:t>
            </w:r>
          </w:p>
        </w:tc>
        <w:tc>
          <w:tcPr>
            <w:tcW w:w="23" w:type="dxa"/>
            <w:tcBorders/>
            <w:vAlign w:val="center"/>
          </w:tcPr>
          <w:p>
            <w:pPr>
              <w:pStyle w:val="TableContents"/>
              <w:bidi w:val="0"/>
              <w:spacing w:before="0" w:after="0"/>
              <w:jc w:val="right"/>
              <w:rPr>
                <w:sz w:val="20"/>
              </w:rPr>
            </w:pPr>
            <w:r>
              <w:rPr>
                <w:sz w:val="20"/>
              </w:rPr>
            </w:r>
          </w:p>
        </w:tc>
        <w:tc>
          <w:tcPr>
            <w:tcW w:w="23" w:type="dxa"/>
            <w:tcBorders/>
            <w:vAlign w:val="center"/>
          </w:tcPr>
          <w:p>
            <w:pPr>
              <w:pStyle w:val="TableContents"/>
              <w:bidi w:val="0"/>
              <w:spacing w:before="0" w:after="0"/>
              <w:jc w:val="right"/>
              <w:rPr>
                <w:sz w:val="20"/>
              </w:rPr>
            </w:pPr>
            <w:r>
              <w:rPr>
                <w:sz w:val="20"/>
              </w:rPr>
            </w:r>
          </w:p>
        </w:tc>
        <w:tc>
          <w:tcPr>
            <w:tcW w:w="125" w:type="dxa"/>
            <w:tcBorders/>
            <w:vAlign w:val="center"/>
          </w:tcPr>
          <w:p>
            <w:pPr>
              <w:pStyle w:val="TableContents"/>
              <w:widowControl/>
              <w:bidi w:val="0"/>
              <w:spacing w:before="0" w:after="0"/>
              <w:ind w:left="0" w:right="0" w:hanging="0"/>
              <w:jc w:val="left"/>
              <w:rPr>
                <w:rFonts w:ascii="times new roman" w:hAnsi="times new roman"/>
                <w:b w:val="false"/>
                <w:color w:val="000000"/>
                <w:spacing w:val="0"/>
                <w:sz w:val="20"/>
              </w:rPr>
            </w:pPr>
            <w:r>
              <w:rPr>
                <w:rFonts w:ascii="times new roman" w:hAnsi="times new roman"/>
                <w:b w:val="false"/>
                <w:color w:val="000000"/>
                <w:spacing w:val="0"/>
                <w:sz w:val="20"/>
              </w:rPr>
              <w:t>$</w:t>
            </w:r>
          </w:p>
        </w:tc>
        <w:tc>
          <w:tcPr>
            <w:tcW w:w="950" w:type="dxa"/>
            <w:tcBorders/>
            <w:vAlign w:val="center"/>
          </w:tcPr>
          <w:p>
            <w:pPr>
              <w:pStyle w:val="TableContents"/>
              <w:bidi w:val="0"/>
              <w:spacing w:before="0" w:after="0"/>
              <w:jc w:val="right"/>
              <w:rPr>
                <w:sz w:val="20"/>
              </w:rPr>
            </w:pPr>
            <w:r>
              <w:rPr>
                <w:sz w:val="20"/>
              </w:rPr>
              <w:t>108.2</w:t>
            </w:r>
          </w:p>
        </w:tc>
        <w:tc>
          <w:tcPr>
            <w:tcW w:w="38" w:type="dxa"/>
            <w:tcBorders/>
            <w:vAlign w:val="center"/>
          </w:tcPr>
          <w:p>
            <w:pPr>
              <w:pStyle w:val="TableContents"/>
              <w:bidi w:val="0"/>
              <w:spacing w:before="0" w:after="0"/>
              <w:jc w:val="right"/>
              <w:rPr>
                <w:sz w:val="20"/>
              </w:rPr>
            </w:pPr>
            <w:r>
              <w:rPr>
                <w:sz w:val="20"/>
              </w:rPr>
            </w:r>
          </w:p>
        </w:tc>
      </w:tr>
      <w:tr>
        <w:trPr/>
        <w:tc>
          <w:tcPr>
            <w:tcW w:w="5669" w:type="dxa"/>
            <w:tcBorders/>
            <w:shd w:fill="CCEEFF" w:val="clear"/>
            <w:vAlign w:val="center"/>
          </w:tcPr>
          <w:p>
            <w:pPr>
              <w:pStyle w:val="TableContents"/>
              <w:bidi w:val="0"/>
              <w:spacing w:before="0" w:after="283"/>
              <w:jc w:val="left"/>
              <w:rPr/>
            </w:pPr>
            <w:r>
              <w:rPr/>
            </w:r>
          </w:p>
        </w:tc>
        <w:tc>
          <w:tcPr>
            <w:tcW w:w="140" w:type="dxa"/>
            <w:tcBorders/>
            <w:shd w:fill="CCEEFF" w:val="clear"/>
            <w:vAlign w:val="center"/>
          </w:tcPr>
          <w:p>
            <w:pPr>
              <w:pStyle w:val="TableContents"/>
              <w:bidi w:val="0"/>
              <w:spacing w:before="0" w:after="283"/>
              <w:jc w:val="left"/>
              <w:rPr/>
            </w:pPr>
            <w:r>
              <w:rPr/>
            </w:r>
          </w:p>
        </w:tc>
        <w:tc>
          <w:tcPr>
            <w:tcW w:w="980"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140" w:type="dxa"/>
            <w:tcBorders/>
            <w:shd w:fill="CCEEFF" w:val="clear"/>
            <w:vAlign w:val="center"/>
          </w:tcPr>
          <w:p>
            <w:pPr>
              <w:pStyle w:val="TableContents"/>
              <w:bidi w:val="0"/>
              <w:spacing w:before="0" w:after="283"/>
              <w:jc w:val="left"/>
              <w:rPr/>
            </w:pPr>
            <w:r>
              <w:rPr/>
            </w:r>
          </w:p>
        </w:tc>
        <w:tc>
          <w:tcPr>
            <w:tcW w:w="950"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125" w:type="dxa"/>
            <w:tcBorders/>
            <w:shd w:fill="CCEEFF" w:val="clear"/>
            <w:vAlign w:val="center"/>
          </w:tcPr>
          <w:p>
            <w:pPr>
              <w:pStyle w:val="TableContents"/>
              <w:bidi w:val="0"/>
              <w:spacing w:before="0" w:after="283"/>
              <w:jc w:val="left"/>
              <w:rPr/>
            </w:pPr>
            <w:r>
              <w:rPr/>
            </w:r>
          </w:p>
        </w:tc>
        <w:tc>
          <w:tcPr>
            <w:tcW w:w="950"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125" w:type="dxa"/>
            <w:tcBorders/>
            <w:shd w:fill="CCEEFF" w:val="clear"/>
            <w:vAlign w:val="center"/>
          </w:tcPr>
          <w:p>
            <w:pPr>
              <w:pStyle w:val="TableContents"/>
              <w:bidi w:val="0"/>
              <w:spacing w:before="0" w:after="283"/>
              <w:jc w:val="left"/>
              <w:rPr/>
            </w:pPr>
            <w:r>
              <w:rPr/>
            </w:r>
          </w:p>
        </w:tc>
        <w:tc>
          <w:tcPr>
            <w:tcW w:w="950" w:type="dxa"/>
            <w:tcBorders/>
            <w:shd w:fill="CCEEFF" w:val="clear"/>
            <w:vAlign w:val="center"/>
          </w:tcPr>
          <w:p>
            <w:pPr>
              <w:pStyle w:val="TableContents"/>
              <w:bidi w:val="0"/>
              <w:spacing w:before="0" w:after="283"/>
              <w:jc w:val="left"/>
              <w:rPr/>
            </w:pPr>
            <w:r>
              <w:rPr/>
            </w:r>
          </w:p>
        </w:tc>
        <w:tc>
          <w:tcPr>
            <w:tcW w:w="38" w:type="dxa"/>
            <w:tcBorders/>
            <w:shd w:fill="CCEEFF" w:val="clear"/>
            <w:vAlign w:val="center"/>
          </w:tcPr>
          <w:p>
            <w:pPr>
              <w:pStyle w:val="TableContents"/>
              <w:bidi w:val="0"/>
              <w:spacing w:before="0" w:after="283"/>
              <w:jc w:val="left"/>
              <w:rPr/>
            </w:pPr>
            <w:r>
              <w:rPr/>
            </w:r>
          </w:p>
        </w:tc>
      </w:tr>
      <w:tr>
        <w:trPr/>
        <w:tc>
          <w:tcPr>
            <w:tcW w:w="5669" w:type="dxa"/>
            <w:tcBorders/>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Computation of diluted weighted average shares outstanding:</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r>
          </w:p>
        </w:tc>
        <w:tc>
          <w:tcPr>
            <w:tcW w:w="95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95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950" w:type="dxa"/>
            <w:tcBorders/>
            <w:vAlign w:val="center"/>
          </w:tcPr>
          <w:p>
            <w:pPr>
              <w:pStyle w:val="TableContents"/>
              <w:bidi w:val="0"/>
              <w:spacing w:before="0" w:after="283"/>
              <w:jc w:val="left"/>
              <w:rPr/>
            </w:pPr>
            <w:r>
              <w:rPr/>
            </w:r>
          </w:p>
        </w:tc>
        <w:tc>
          <w:tcPr>
            <w:tcW w:w="38" w:type="dxa"/>
            <w:tcBorders/>
            <w:vAlign w:val="center"/>
          </w:tcPr>
          <w:p>
            <w:pPr>
              <w:pStyle w:val="TableContents"/>
              <w:bidi w:val="0"/>
              <w:spacing w:before="0" w:after="283"/>
              <w:jc w:val="left"/>
              <w:rPr/>
            </w:pPr>
            <w:r>
              <w:rPr/>
            </w:r>
          </w:p>
        </w:tc>
      </w:tr>
      <w:tr>
        <w:trPr/>
        <w:tc>
          <w:tcPr>
            <w:tcW w:w="5669" w:type="dxa"/>
            <w:tcBorders/>
            <w:shd w:fill="CCEEFF" w:val="clear"/>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Basic weighted average shares outstanding</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0"/>
              <w:jc w:val="right"/>
              <w:rPr>
                <w:sz w:val="20"/>
              </w:rPr>
            </w:pPr>
            <w:r>
              <w:rPr>
                <w:sz w:val="20"/>
              </w:rPr>
              <w:t>45,429,998</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pPr>
            <w:r>
              <w:rPr/>
            </w:r>
          </w:p>
        </w:tc>
        <w:tc>
          <w:tcPr>
            <w:tcW w:w="140" w:type="dxa"/>
            <w:tcBorders/>
            <w:shd w:fill="CCEEFF" w:val="clear"/>
            <w:vAlign w:val="center"/>
          </w:tcPr>
          <w:p>
            <w:pPr>
              <w:pStyle w:val="TableContents"/>
              <w:bidi w:val="0"/>
              <w:spacing w:before="0" w:after="0"/>
              <w:jc w:val="right"/>
              <w:rPr>
                <w:sz w:val="20"/>
              </w:rPr>
            </w:pPr>
            <w:r>
              <w:rPr>
                <w:sz w:val="20"/>
              </w:rPr>
            </w:r>
          </w:p>
        </w:tc>
        <w:tc>
          <w:tcPr>
            <w:tcW w:w="950" w:type="dxa"/>
            <w:tcBorders/>
            <w:shd w:fill="CCEEFF" w:val="clear"/>
            <w:vAlign w:val="center"/>
          </w:tcPr>
          <w:p>
            <w:pPr>
              <w:pStyle w:val="TableContents"/>
              <w:bidi w:val="0"/>
              <w:spacing w:before="0" w:after="0"/>
              <w:jc w:val="right"/>
              <w:rPr>
                <w:sz w:val="20"/>
              </w:rPr>
            </w:pPr>
            <w:r>
              <w:rPr>
                <w:sz w:val="20"/>
              </w:rPr>
              <w:t>49,637,589</w:t>
            </w:r>
          </w:p>
        </w:tc>
        <w:tc>
          <w:tcPr>
            <w:tcW w:w="23" w:type="dxa"/>
            <w:tcBorders/>
            <w:shd w:fill="CCEEFF" w:val="clear"/>
            <w:vAlign w:val="center"/>
          </w:tcPr>
          <w:p>
            <w:pPr>
              <w:pStyle w:val="TableContents"/>
              <w:bidi w:val="0"/>
              <w:spacing w:before="0" w:after="0"/>
              <w:jc w:val="right"/>
              <w:rPr>
                <w:sz w:val="20"/>
              </w:rPr>
            </w:pPr>
            <w:r>
              <w:rPr>
                <w:sz w:val="20"/>
              </w:rPr>
            </w:r>
          </w:p>
        </w:tc>
        <w:tc>
          <w:tcPr>
            <w:tcW w:w="23" w:type="dxa"/>
            <w:tcBorders/>
            <w:shd w:fill="CCEEFF" w:val="clear"/>
            <w:vAlign w:val="center"/>
          </w:tcPr>
          <w:p>
            <w:pPr>
              <w:pStyle w:val="TableContents"/>
              <w:bidi w:val="0"/>
              <w:spacing w:before="0" w:after="0"/>
              <w:jc w:val="right"/>
              <w:rPr>
                <w:sz w:val="20"/>
              </w:rPr>
            </w:pPr>
            <w:r>
              <w:rPr>
                <w:sz w:val="20"/>
              </w:rPr>
            </w:r>
          </w:p>
        </w:tc>
        <w:tc>
          <w:tcPr>
            <w:tcW w:w="125" w:type="dxa"/>
            <w:tcBorders/>
            <w:shd w:fill="CCEEFF" w:val="clear"/>
            <w:vAlign w:val="center"/>
          </w:tcPr>
          <w:p>
            <w:pPr>
              <w:pStyle w:val="TableContents"/>
              <w:bidi w:val="0"/>
              <w:spacing w:before="0" w:after="0"/>
              <w:jc w:val="right"/>
              <w:rPr>
                <w:sz w:val="20"/>
              </w:rPr>
            </w:pPr>
            <w:r>
              <w:rPr>
                <w:sz w:val="20"/>
              </w:rPr>
            </w:r>
          </w:p>
        </w:tc>
        <w:tc>
          <w:tcPr>
            <w:tcW w:w="950" w:type="dxa"/>
            <w:tcBorders/>
            <w:shd w:fill="CCEEFF" w:val="clear"/>
            <w:vAlign w:val="center"/>
          </w:tcPr>
          <w:p>
            <w:pPr>
              <w:pStyle w:val="TableContents"/>
              <w:bidi w:val="0"/>
              <w:spacing w:before="0" w:after="0"/>
              <w:jc w:val="right"/>
              <w:rPr>
                <w:sz w:val="20"/>
              </w:rPr>
            </w:pPr>
            <w:r>
              <w:rPr>
                <w:sz w:val="20"/>
              </w:rPr>
              <w:t>45,623,470</w:t>
            </w:r>
          </w:p>
        </w:tc>
        <w:tc>
          <w:tcPr>
            <w:tcW w:w="23" w:type="dxa"/>
            <w:tcBorders/>
            <w:shd w:fill="CCEEFF" w:val="clear"/>
            <w:vAlign w:val="center"/>
          </w:tcPr>
          <w:p>
            <w:pPr>
              <w:pStyle w:val="TableContents"/>
              <w:bidi w:val="0"/>
              <w:spacing w:before="0" w:after="0"/>
              <w:jc w:val="right"/>
              <w:rPr>
                <w:sz w:val="20"/>
              </w:rPr>
            </w:pPr>
            <w:r>
              <w:rPr>
                <w:sz w:val="20"/>
              </w:rPr>
            </w:r>
          </w:p>
        </w:tc>
        <w:tc>
          <w:tcPr>
            <w:tcW w:w="23" w:type="dxa"/>
            <w:tcBorders/>
            <w:shd w:fill="CCEEFF" w:val="clear"/>
            <w:vAlign w:val="center"/>
          </w:tcPr>
          <w:p>
            <w:pPr>
              <w:pStyle w:val="TableContents"/>
              <w:bidi w:val="0"/>
              <w:spacing w:before="0" w:after="0"/>
              <w:jc w:val="right"/>
              <w:rPr>
                <w:sz w:val="20"/>
              </w:rPr>
            </w:pPr>
            <w:r>
              <w:rPr>
                <w:sz w:val="20"/>
              </w:rPr>
            </w:r>
          </w:p>
        </w:tc>
        <w:tc>
          <w:tcPr>
            <w:tcW w:w="125" w:type="dxa"/>
            <w:tcBorders/>
            <w:shd w:fill="CCEEFF" w:val="clear"/>
            <w:vAlign w:val="center"/>
          </w:tcPr>
          <w:p>
            <w:pPr>
              <w:pStyle w:val="TableContents"/>
              <w:bidi w:val="0"/>
              <w:spacing w:before="0" w:after="0"/>
              <w:jc w:val="right"/>
              <w:rPr>
                <w:sz w:val="20"/>
              </w:rPr>
            </w:pPr>
            <w:r>
              <w:rPr>
                <w:sz w:val="20"/>
              </w:rPr>
            </w:r>
          </w:p>
        </w:tc>
        <w:tc>
          <w:tcPr>
            <w:tcW w:w="950" w:type="dxa"/>
            <w:tcBorders/>
            <w:shd w:fill="CCEEFF" w:val="clear"/>
            <w:vAlign w:val="center"/>
          </w:tcPr>
          <w:p>
            <w:pPr>
              <w:pStyle w:val="TableContents"/>
              <w:bidi w:val="0"/>
              <w:spacing w:before="0" w:after="0"/>
              <w:jc w:val="right"/>
              <w:rPr>
                <w:sz w:val="20"/>
              </w:rPr>
            </w:pPr>
            <w:r>
              <w:rPr>
                <w:sz w:val="20"/>
              </w:rPr>
              <w:t>49,724,478</w:t>
            </w:r>
          </w:p>
        </w:tc>
        <w:tc>
          <w:tcPr>
            <w:tcW w:w="38" w:type="dxa"/>
            <w:tcBorders/>
            <w:shd w:fill="CCEEFF" w:val="clear"/>
            <w:vAlign w:val="center"/>
          </w:tcPr>
          <w:p>
            <w:pPr>
              <w:pStyle w:val="TableContents"/>
              <w:bidi w:val="0"/>
              <w:spacing w:before="0" w:after="0"/>
              <w:jc w:val="right"/>
              <w:rPr>
                <w:sz w:val="20"/>
              </w:rPr>
            </w:pPr>
            <w:r>
              <w:rPr>
                <w:sz w:val="20"/>
              </w:rPr>
            </w:r>
          </w:p>
        </w:tc>
      </w:tr>
      <w:tr>
        <w:trPr/>
        <w:tc>
          <w:tcPr>
            <w:tcW w:w="5669" w:type="dxa"/>
            <w:tcBorders/>
            <w:vAlign w:val="center"/>
          </w:tcPr>
          <w:p>
            <w:pPr>
              <w:pStyle w:val="TableContents"/>
              <w:bidi w:val="0"/>
              <w:spacing w:before="0" w:after="0"/>
              <w:ind w:left="0" w:right="0" w:hanging="360"/>
              <w:jc w:val="left"/>
              <w:rPr>
                <w:rFonts w:ascii="times new roman;times" w:hAnsi="times new roman;times"/>
                <w:sz w:val="20"/>
              </w:rPr>
            </w:pPr>
            <w:r>
              <w:rPr>
                <w:rFonts w:ascii="times new roman;times" w:hAnsi="times new roman;times"/>
                <w:sz w:val="20"/>
              </w:rPr>
              <w:t>Incremental shares from assumed exercise of stock options and vesting of restricted stock units</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0"/>
              <w:jc w:val="right"/>
              <w:rPr>
                <w:sz w:val="20"/>
              </w:rPr>
            </w:pPr>
            <w:r>
              <w:rPr>
                <w:sz w:val="20"/>
              </w:rPr>
              <w:t>488,454</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0"/>
              <w:jc w:val="right"/>
              <w:rPr>
                <w:sz w:val="20"/>
              </w:rPr>
            </w:pPr>
            <w:r>
              <w:rPr>
                <w:sz w:val="20"/>
              </w:rPr>
            </w:r>
          </w:p>
        </w:tc>
        <w:tc>
          <w:tcPr>
            <w:tcW w:w="950" w:type="dxa"/>
            <w:tcBorders/>
            <w:vAlign w:val="center"/>
          </w:tcPr>
          <w:p>
            <w:pPr>
              <w:pStyle w:val="TableContents"/>
              <w:bidi w:val="0"/>
              <w:spacing w:before="0" w:after="0"/>
              <w:jc w:val="right"/>
              <w:rPr>
                <w:sz w:val="20"/>
              </w:rPr>
            </w:pPr>
            <w:r>
              <w:rPr>
                <w:sz w:val="20"/>
              </w:rPr>
              <w:t>452,008</w:t>
            </w:r>
          </w:p>
        </w:tc>
        <w:tc>
          <w:tcPr>
            <w:tcW w:w="23" w:type="dxa"/>
            <w:tcBorders/>
            <w:vAlign w:val="center"/>
          </w:tcPr>
          <w:p>
            <w:pPr>
              <w:pStyle w:val="TableContents"/>
              <w:bidi w:val="0"/>
              <w:spacing w:before="0" w:after="0"/>
              <w:jc w:val="right"/>
              <w:rPr>
                <w:sz w:val="20"/>
              </w:rPr>
            </w:pPr>
            <w:r>
              <w:rPr>
                <w:sz w:val="20"/>
              </w:rPr>
            </w:r>
          </w:p>
        </w:tc>
        <w:tc>
          <w:tcPr>
            <w:tcW w:w="23" w:type="dxa"/>
            <w:tcBorders/>
            <w:vAlign w:val="center"/>
          </w:tcPr>
          <w:p>
            <w:pPr>
              <w:pStyle w:val="TableContents"/>
              <w:bidi w:val="0"/>
              <w:spacing w:before="0" w:after="0"/>
              <w:jc w:val="right"/>
              <w:rPr>
                <w:sz w:val="20"/>
              </w:rPr>
            </w:pPr>
            <w:r>
              <w:rPr>
                <w:sz w:val="20"/>
              </w:rPr>
            </w:r>
          </w:p>
        </w:tc>
        <w:tc>
          <w:tcPr>
            <w:tcW w:w="125" w:type="dxa"/>
            <w:tcBorders/>
            <w:vAlign w:val="center"/>
          </w:tcPr>
          <w:p>
            <w:pPr>
              <w:pStyle w:val="TableContents"/>
              <w:bidi w:val="0"/>
              <w:spacing w:before="0" w:after="0"/>
              <w:jc w:val="right"/>
              <w:rPr>
                <w:sz w:val="20"/>
              </w:rPr>
            </w:pPr>
            <w:r>
              <w:rPr>
                <w:sz w:val="20"/>
              </w:rPr>
            </w:r>
          </w:p>
        </w:tc>
        <w:tc>
          <w:tcPr>
            <w:tcW w:w="950" w:type="dxa"/>
            <w:tcBorders/>
            <w:vAlign w:val="center"/>
          </w:tcPr>
          <w:p>
            <w:pPr>
              <w:pStyle w:val="TableContents"/>
              <w:bidi w:val="0"/>
              <w:spacing w:before="0" w:after="0"/>
              <w:jc w:val="right"/>
              <w:rPr>
                <w:sz w:val="20"/>
              </w:rPr>
            </w:pPr>
            <w:r>
              <w:rPr>
                <w:sz w:val="20"/>
              </w:rPr>
              <w:t>423,354</w:t>
            </w:r>
          </w:p>
        </w:tc>
        <w:tc>
          <w:tcPr>
            <w:tcW w:w="23" w:type="dxa"/>
            <w:tcBorders/>
            <w:vAlign w:val="center"/>
          </w:tcPr>
          <w:p>
            <w:pPr>
              <w:pStyle w:val="TableContents"/>
              <w:bidi w:val="0"/>
              <w:spacing w:before="0" w:after="0"/>
              <w:jc w:val="right"/>
              <w:rPr>
                <w:sz w:val="20"/>
              </w:rPr>
            </w:pPr>
            <w:r>
              <w:rPr>
                <w:sz w:val="20"/>
              </w:rPr>
            </w:r>
          </w:p>
        </w:tc>
        <w:tc>
          <w:tcPr>
            <w:tcW w:w="23" w:type="dxa"/>
            <w:tcBorders/>
            <w:vAlign w:val="center"/>
          </w:tcPr>
          <w:p>
            <w:pPr>
              <w:pStyle w:val="TableContents"/>
              <w:bidi w:val="0"/>
              <w:spacing w:before="0" w:after="0"/>
              <w:jc w:val="right"/>
              <w:rPr>
                <w:sz w:val="20"/>
              </w:rPr>
            </w:pPr>
            <w:r>
              <w:rPr>
                <w:sz w:val="20"/>
              </w:rPr>
            </w:r>
          </w:p>
        </w:tc>
        <w:tc>
          <w:tcPr>
            <w:tcW w:w="125" w:type="dxa"/>
            <w:tcBorders/>
            <w:vAlign w:val="center"/>
          </w:tcPr>
          <w:p>
            <w:pPr>
              <w:pStyle w:val="TableContents"/>
              <w:bidi w:val="0"/>
              <w:spacing w:before="0" w:after="0"/>
              <w:jc w:val="right"/>
              <w:rPr>
                <w:sz w:val="20"/>
              </w:rPr>
            </w:pPr>
            <w:r>
              <w:rPr>
                <w:sz w:val="20"/>
              </w:rPr>
            </w:r>
          </w:p>
        </w:tc>
        <w:tc>
          <w:tcPr>
            <w:tcW w:w="950" w:type="dxa"/>
            <w:tcBorders/>
            <w:vAlign w:val="center"/>
          </w:tcPr>
          <w:p>
            <w:pPr>
              <w:pStyle w:val="TableContents"/>
              <w:bidi w:val="0"/>
              <w:spacing w:before="0" w:after="0"/>
              <w:jc w:val="right"/>
              <w:rPr>
                <w:sz w:val="20"/>
              </w:rPr>
            </w:pPr>
            <w:r>
              <w:rPr>
                <w:sz w:val="20"/>
              </w:rPr>
              <w:t>412,223</w:t>
            </w:r>
          </w:p>
        </w:tc>
        <w:tc>
          <w:tcPr>
            <w:tcW w:w="38" w:type="dxa"/>
            <w:tcBorders/>
            <w:vAlign w:val="center"/>
          </w:tcPr>
          <w:p>
            <w:pPr>
              <w:pStyle w:val="TableContents"/>
              <w:bidi w:val="0"/>
              <w:spacing w:before="0" w:after="0"/>
              <w:jc w:val="right"/>
              <w:rPr>
                <w:sz w:val="20"/>
              </w:rPr>
            </w:pPr>
            <w:r>
              <w:rPr>
                <w:sz w:val="20"/>
              </w:rPr>
            </w:r>
          </w:p>
        </w:tc>
      </w:tr>
      <w:tr>
        <w:trPr/>
        <w:tc>
          <w:tcPr>
            <w:tcW w:w="5669" w:type="dxa"/>
            <w:tcBorders/>
            <w:shd w:fill="CCEEFF" w:val="clear"/>
            <w:vAlign w:val="center"/>
          </w:tcPr>
          <w:p>
            <w:pPr>
              <w:pStyle w:val="TableContents"/>
              <w:bidi w:val="0"/>
              <w:spacing w:before="0" w:after="0"/>
              <w:jc w:val="left"/>
              <w:rPr>
                <w:rFonts w:ascii="times new roman;times" w:hAnsi="times new roman;times"/>
              </w:rPr>
            </w:pPr>
            <w:r>
              <w:rPr>
                <w:rFonts w:ascii="times new roman;times" w:hAnsi="times new roman;times"/>
              </w:rPr>
              <w:t>Incremental shares from assumed conversion of convertible debt</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right"/>
              <w:rPr/>
            </w:pPr>
            <w:r>
              <w:rPr/>
              <w:t>2,781,818</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pPr>
            <w:r>
              <w:rPr/>
            </w:r>
          </w:p>
        </w:tc>
        <w:tc>
          <w:tcPr>
            <w:tcW w:w="140" w:type="dxa"/>
            <w:tcBorders/>
            <w:shd w:fill="CCEEFF" w:val="clear"/>
            <w:vAlign w:val="center"/>
          </w:tcPr>
          <w:p>
            <w:pPr>
              <w:pStyle w:val="TableContents"/>
              <w:bidi w:val="0"/>
              <w:spacing w:before="0" w:after="0"/>
              <w:jc w:val="right"/>
              <w:rPr>
                <w:sz w:val="20"/>
              </w:rPr>
            </w:pPr>
            <w:r>
              <w:rPr>
                <w:sz w:val="20"/>
              </w:rPr>
            </w:r>
          </w:p>
        </w:tc>
        <w:tc>
          <w:tcPr>
            <w:tcW w:w="950" w:type="dxa"/>
            <w:tcBorders/>
            <w:shd w:fill="CCEEFF" w:val="clear"/>
            <w:vAlign w:val="center"/>
          </w:tcPr>
          <w:p>
            <w:pPr>
              <w:pStyle w:val="TableContents"/>
              <w:bidi w:val="0"/>
              <w:spacing w:before="0" w:after="0"/>
              <w:jc w:val="right"/>
              <w:rPr>
                <w:sz w:val="20"/>
              </w:rPr>
            </w:pPr>
            <w:r>
              <w:rPr>
                <w:sz w:val="20"/>
              </w:rPr>
              <w:t>2,781,818</w:t>
            </w:r>
          </w:p>
        </w:tc>
        <w:tc>
          <w:tcPr>
            <w:tcW w:w="23" w:type="dxa"/>
            <w:tcBorders/>
            <w:shd w:fill="CCEEFF" w:val="clear"/>
            <w:vAlign w:val="center"/>
          </w:tcPr>
          <w:p>
            <w:pPr>
              <w:pStyle w:val="TableContents"/>
              <w:bidi w:val="0"/>
              <w:spacing w:before="0" w:after="0"/>
              <w:jc w:val="right"/>
              <w:rPr>
                <w:sz w:val="20"/>
              </w:rPr>
            </w:pPr>
            <w:r>
              <w:rPr>
                <w:sz w:val="20"/>
              </w:rPr>
            </w:r>
          </w:p>
        </w:tc>
        <w:tc>
          <w:tcPr>
            <w:tcW w:w="23" w:type="dxa"/>
            <w:tcBorders/>
            <w:shd w:fill="CCEEFF" w:val="clear"/>
            <w:vAlign w:val="center"/>
          </w:tcPr>
          <w:p>
            <w:pPr>
              <w:pStyle w:val="TableContents"/>
              <w:bidi w:val="0"/>
              <w:spacing w:before="0" w:after="0"/>
              <w:jc w:val="right"/>
              <w:rPr>
                <w:sz w:val="20"/>
              </w:rPr>
            </w:pPr>
            <w:r>
              <w:rPr>
                <w:sz w:val="20"/>
              </w:rPr>
            </w:r>
          </w:p>
        </w:tc>
        <w:tc>
          <w:tcPr>
            <w:tcW w:w="125" w:type="dxa"/>
            <w:tcBorders/>
            <w:shd w:fill="CCEEFF" w:val="clear"/>
            <w:vAlign w:val="center"/>
          </w:tcPr>
          <w:p>
            <w:pPr>
              <w:pStyle w:val="TableContents"/>
              <w:bidi w:val="0"/>
              <w:spacing w:before="0" w:after="0"/>
              <w:jc w:val="right"/>
              <w:rPr>
                <w:sz w:val="20"/>
              </w:rPr>
            </w:pPr>
            <w:r>
              <w:rPr>
                <w:sz w:val="20"/>
              </w:rPr>
            </w:r>
          </w:p>
        </w:tc>
        <w:tc>
          <w:tcPr>
            <w:tcW w:w="950" w:type="dxa"/>
            <w:tcBorders/>
            <w:shd w:fill="CCEEFF" w:val="clear"/>
            <w:vAlign w:val="center"/>
          </w:tcPr>
          <w:p>
            <w:pPr>
              <w:pStyle w:val="TableContents"/>
              <w:bidi w:val="0"/>
              <w:spacing w:before="0" w:after="0"/>
              <w:jc w:val="right"/>
              <w:rPr>
                <w:sz w:val="20"/>
              </w:rPr>
            </w:pPr>
            <w:r>
              <w:rPr>
                <w:sz w:val="20"/>
              </w:rPr>
              <w:t>2,781,818</w:t>
            </w:r>
          </w:p>
        </w:tc>
        <w:tc>
          <w:tcPr>
            <w:tcW w:w="23" w:type="dxa"/>
            <w:tcBorders/>
            <w:shd w:fill="CCEEFF" w:val="clear"/>
            <w:vAlign w:val="center"/>
          </w:tcPr>
          <w:p>
            <w:pPr>
              <w:pStyle w:val="TableContents"/>
              <w:bidi w:val="0"/>
              <w:spacing w:before="0" w:after="0"/>
              <w:jc w:val="right"/>
              <w:rPr>
                <w:sz w:val="20"/>
              </w:rPr>
            </w:pPr>
            <w:r>
              <w:rPr>
                <w:sz w:val="20"/>
              </w:rPr>
            </w:r>
          </w:p>
        </w:tc>
        <w:tc>
          <w:tcPr>
            <w:tcW w:w="23" w:type="dxa"/>
            <w:tcBorders/>
            <w:shd w:fill="CCEEFF" w:val="clear"/>
            <w:vAlign w:val="center"/>
          </w:tcPr>
          <w:p>
            <w:pPr>
              <w:pStyle w:val="TableContents"/>
              <w:bidi w:val="0"/>
              <w:spacing w:before="0" w:after="0"/>
              <w:jc w:val="right"/>
              <w:rPr>
                <w:sz w:val="20"/>
              </w:rPr>
            </w:pPr>
            <w:r>
              <w:rPr>
                <w:sz w:val="20"/>
              </w:rPr>
            </w:r>
          </w:p>
        </w:tc>
        <w:tc>
          <w:tcPr>
            <w:tcW w:w="125" w:type="dxa"/>
            <w:tcBorders/>
            <w:shd w:fill="CCEEFF" w:val="clear"/>
            <w:vAlign w:val="center"/>
          </w:tcPr>
          <w:p>
            <w:pPr>
              <w:pStyle w:val="TableContents"/>
              <w:bidi w:val="0"/>
              <w:spacing w:before="0" w:after="0"/>
              <w:jc w:val="right"/>
              <w:rPr>
                <w:sz w:val="20"/>
              </w:rPr>
            </w:pPr>
            <w:r>
              <w:rPr>
                <w:sz w:val="20"/>
              </w:rPr>
            </w:r>
          </w:p>
        </w:tc>
        <w:tc>
          <w:tcPr>
            <w:tcW w:w="950" w:type="dxa"/>
            <w:tcBorders/>
            <w:shd w:fill="CCEEFF" w:val="clear"/>
            <w:vAlign w:val="center"/>
          </w:tcPr>
          <w:p>
            <w:pPr>
              <w:pStyle w:val="TableContents"/>
              <w:bidi w:val="0"/>
              <w:spacing w:before="0" w:after="0"/>
              <w:jc w:val="right"/>
              <w:rPr>
                <w:sz w:val="20"/>
              </w:rPr>
            </w:pPr>
            <w:r>
              <w:rPr>
                <w:sz w:val="20"/>
              </w:rPr>
              <w:t>2,781,818</w:t>
            </w:r>
          </w:p>
        </w:tc>
        <w:tc>
          <w:tcPr>
            <w:tcW w:w="38" w:type="dxa"/>
            <w:tcBorders/>
            <w:shd w:fill="CCEEFF" w:val="clear"/>
            <w:vAlign w:val="center"/>
          </w:tcPr>
          <w:p>
            <w:pPr>
              <w:pStyle w:val="TableContents"/>
              <w:bidi w:val="0"/>
              <w:spacing w:before="0" w:after="0"/>
              <w:jc w:val="right"/>
              <w:rPr>
                <w:sz w:val="20"/>
              </w:rPr>
            </w:pPr>
            <w:r>
              <w:rPr>
                <w:sz w:val="20"/>
              </w:rPr>
            </w:r>
          </w:p>
        </w:tc>
      </w:tr>
      <w:tr>
        <w:trPr/>
        <w:tc>
          <w:tcPr>
            <w:tcW w:w="5669"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Diluted weighted average shares outstanding </w:t>
            </w:r>
          </w:p>
        </w:tc>
        <w:tc>
          <w:tcPr>
            <w:tcW w:w="140" w:type="dxa"/>
            <w:tcBorders/>
            <w:vAlign w:val="center"/>
          </w:tcPr>
          <w:p>
            <w:pPr>
              <w:pStyle w:val="TableContents"/>
              <w:bidi w:val="0"/>
              <w:spacing w:before="0" w:after="283"/>
              <w:jc w:val="left"/>
              <w:rPr/>
            </w:pPr>
            <w:r>
              <w:rPr/>
            </w:r>
          </w:p>
        </w:tc>
        <w:tc>
          <w:tcPr>
            <w:tcW w:w="980" w:type="dxa"/>
            <w:tcBorders/>
            <w:vAlign w:val="center"/>
          </w:tcPr>
          <w:p>
            <w:pPr>
              <w:pStyle w:val="TableContents"/>
              <w:bidi w:val="0"/>
              <w:spacing w:before="0" w:after="0"/>
              <w:jc w:val="right"/>
              <w:rPr>
                <w:sz w:val="20"/>
              </w:rPr>
            </w:pPr>
            <w:r>
              <w:rPr>
                <w:sz w:val="20"/>
              </w:rPr>
              <w:t>48,700,270</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0"/>
              <w:jc w:val="left"/>
              <w:rPr>
                <w:sz w:val="20"/>
              </w:rPr>
            </w:pPr>
            <w:r>
              <w:rPr>
                <w:sz w:val="20"/>
              </w:rPr>
            </w:r>
          </w:p>
        </w:tc>
        <w:tc>
          <w:tcPr>
            <w:tcW w:w="950" w:type="dxa"/>
            <w:tcBorders/>
            <w:vAlign w:val="center"/>
          </w:tcPr>
          <w:p>
            <w:pPr>
              <w:pStyle w:val="TableContents"/>
              <w:bidi w:val="0"/>
              <w:spacing w:before="0" w:after="0"/>
              <w:jc w:val="right"/>
              <w:rPr>
                <w:sz w:val="20"/>
              </w:rPr>
            </w:pPr>
            <w:r>
              <w:rPr>
                <w:sz w:val="20"/>
              </w:rPr>
              <w:t>52,871,415</w:t>
            </w:r>
          </w:p>
        </w:tc>
        <w:tc>
          <w:tcPr>
            <w:tcW w:w="23" w:type="dxa"/>
            <w:tcBorders/>
            <w:vAlign w:val="center"/>
          </w:tcPr>
          <w:p>
            <w:pPr>
              <w:pStyle w:val="TableContents"/>
              <w:bidi w:val="0"/>
              <w:spacing w:before="0" w:after="0"/>
              <w:jc w:val="right"/>
              <w:rPr>
                <w:sz w:val="20"/>
              </w:rPr>
            </w:pPr>
            <w:r>
              <w:rPr>
                <w:sz w:val="20"/>
              </w:rPr>
            </w:r>
          </w:p>
        </w:tc>
        <w:tc>
          <w:tcPr>
            <w:tcW w:w="23" w:type="dxa"/>
            <w:tcBorders/>
            <w:vAlign w:val="center"/>
          </w:tcPr>
          <w:p>
            <w:pPr>
              <w:pStyle w:val="TableContents"/>
              <w:bidi w:val="0"/>
              <w:spacing w:before="0" w:after="0"/>
              <w:jc w:val="right"/>
              <w:rPr>
                <w:sz w:val="20"/>
              </w:rPr>
            </w:pPr>
            <w:r>
              <w:rPr>
                <w:sz w:val="20"/>
              </w:rPr>
            </w:r>
          </w:p>
        </w:tc>
        <w:tc>
          <w:tcPr>
            <w:tcW w:w="125" w:type="dxa"/>
            <w:tcBorders/>
            <w:vAlign w:val="center"/>
          </w:tcPr>
          <w:p>
            <w:pPr>
              <w:pStyle w:val="TableContents"/>
              <w:bidi w:val="0"/>
              <w:spacing w:before="0" w:after="0"/>
              <w:jc w:val="right"/>
              <w:rPr>
                <w:sz w:val="20"/>
              </w:rPr>
            </w:pPr>
            <w:r>
              <w:rPr>
                <w:sz w:val="20"/>
              </w:rPr>
            </w:r>
          </w:p>
        </w:tc>
        <w:tc>
          <w:tcPr>
            <w:tcW w:w="950" w:type="dxa"/>
            <w:tcBorders/>
            <w:vAlign w:val="center"/>
          </w:tcPr>
          <w:p>
            <w:pPr>
              <w:pStyle w:val="TableContents"/>
              <w:bidi w:val="0"/>
              <w:spacing w:before="0" w:after="0"/>
              <w:jc w:val="right"/>
              <w:rPr>
                <w:sz w:val="20"/>
              </w:rPr>
            </w:pPr>
            <w:r>
              <w:rPr>
                <w:sz w:val="20"/>
              </w:rPr>
              <w:t>48,828,642</w:t>
            </w:r>
          </w:p>
        </w:tc>
        <w:tc>
          <w:tcPr>
            <w:tcW w:w="23" w:type="dxa"/>
            <w:tcBorders/>
            <w:vAlign w:val="center"/>
          </w:tcPr>
          <w:p>
            <w:pPr>
              <w:pStyle w:val="TableContents"/>
              <w:bidi w:val="0"/>
              <w:spacing w:before="0" w:after="0"/>
              <w:jc w:val="right"/>
              <w:rPr>
                <w:sz w:val="20"/>
              </w:rPr>
            </w:pPr>
            <w:r>
              <w:rPr>
                <w:sz w:val="20"/>
              </w:rPr>
            </w:r>
          </w:p>
        </w:tc>
        <w:tc>
          <w:tcPr>
            <w:tcW w:w="23" w:type="dxa"/>
            <w:tcBorders/>
            <w:vAlign w:val="center"/>
          </w:tcPr>
          <w:p>
            <w:pPr>
              <w:pStyle w:val="TableContents"/>
              <w:bidi w:val="0"/>
              <w:spacing w:before="0" w:after="0"/>
              <w:jc w:val="right"/>
              <w:rPr>
                <w:sz w:val="20"/>
              </w:rPr>
            </w:pPr>
            <w:r>
              <w:rPr>
                <w:sz w:val="20"/>
              </w:rPr>
            </w:r>
          </w:p>
        </w:tc>
        <w:tc>
          <w:tcPr>
            <w:tcW w:w="125" w:type="dxa"/>
            <w:tcBorders/>
            <w:vAlign w:val="center"/>
          </w:tcPr>
          <w:p>
            <w:pPr>
              <w:pStyle w:val="TableContents"/>
              <w:bidi w:val="0"/>
              <w:spacing w:before="0" w:after="0"/>
              <w:jc w:val="right"/>
              <w:rPr>
                <w:sz w:val="20"/>
              </w:rPr>
            </w:pPr>
            <w:r>
              <w:rPr>
                <w:sz w:val="20"/>
              </w:rPr>
            </w:r>
          </w:p>
        </w:tc>
        <w:tc>
          <w:tcPr>
            <w:tcW w:w="950" w:type="dxa"/>
            <w:tcBorders/>
            <w:vAlign w:val="center"/>
          </w:tcPr>
          <w:p>
            <w:pPr>
              <w:pStyle w:val="TableContents"/>
              <w:bidi w:val="0"/>
              <w:spacing w:before="0" w:after="0"/>
              <w:jc w:val="right"/>
              <w:rPr>
                <w:sz w:val="20"/>
              </w:rPr>
            </w:pPr>
            <w:r>
              <w:rPr>
                <w:sz w:val="20"/>
              </w:rPr>
              <w:t>52,918,519</w:t>
            </w:r>
          </w:p>
        </w:tc>
        <w:tc>
          <w:tcPr>
            <w:tcW w:w="38" w:type="dxa"/>
            <w:tcBorders/>
            <w:vAlign w:val="center"/>
          </w:tcPr>
          <w:p>
            <w:pPr>
              <w:pStyle w:val="TableContents"/>
              <w:bidi w:val="0"/>
              <w:spacing w:before="0" w:after="0"/>
              <w:jc w:val="right"/>
              <w:rPr>
                <w:sz w:val="20"/>
              </w:rPr>
            </w:pPr>
            <w:r>
              <w:rPr>
                <w:sz w:val="20"/>
              </w:rPr>
            </w:r>
          </w:p>
        </w:tc>
      </w:tr>
    </w:tbl>
    <w:p>
      <w:pPr>
        <w:pStyle w:val="TextBody"/>
        <w:bidi w:val="0"/>
        <w:spacing w:lineRule="auto" w:line="288"/>
        <w:ind w:left="0" w:right="0" w:hanging="0"/>
        <w:jc w:val="left"/>
        <w:rPr>
          <w:color w:val="000000"/>
          <w:sz w:val="20"/>
        </w:rPr>
      </w:pPr>
      <w:r>
        <w:rPr>
          <w:color w:val="000000"/>
          <w:sz w:val="20"/>
        </w:rPr>
      </w:r>
    </w:p>
    <w:p>
      <w:pPr>
        <w:pStyle w:val="TextBody"/>
        <w:widowControl/>
        <w:bidi w:val="0"/>
        <w:spacing w:lineRule="auto" w:line="288" w:before="0" w:after="200"/>
        <w:ind w:left="0" w:right="0" w:hanging="0"/>
        <w:jc w:val="both"/>
        <w:rPr>
          <w:rFonts w:ascii="times new roman;times" w:hAnsi="times new roman;times"/>
          <w:color w:val="000000"/>
          <w:sz w:val="20"/>
        </w:rPr>
      </w:pPr>
      <w:r>
        <w:rPr>
          <w:rFonts w:ascii="times new roman;times" w:hAnsi="times new roman;times"/>
          <w:color w:val="000000"/>
          <w:sz w:val="20"/>
        </w:rPr>
        <w:t>The table includes all stock options and restricted stock units that are dilutive to the Company's weighted average common shares outstanding during the period. The calculation of diluted earnings per share excludes stock options or shares of restricted stock units that are anti-dilutive to the Company's weighted average common shares outstanding of approximately 3.1 million and 3.2 million</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for the </w:t>
      </w:r>
      <w:r>
        <w:rPr>
          <w:rFonts w:ascii="times new roman;times" w:hAnsi="times new roman;times"/>
          <w:color w:val="000000"/>
          <w:sz w:val="20"/>
        </w:rPr>
        <w:t>three and six</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months ended </w:t>
      </w:r>
      <w:r>
        <w:rPr>
          <w:rFonts w:ascii="times new roman;times" w:hAnsi="times new roman;times"/>
          <w:color w:val="000000"/>
          <w:sz w:val="20"/>
        </w:rPr>
        <w:t>June 30, 2024 and 2.6 million and 2.6 million for the three and six months ended June 30, 2023, respectively.</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The Company issued Convertible Senior Notes ("Convertible Notes") due March 2049 on March 18, 2019. The Convertible Notes currently have a settlement feature requiring us upon conversion to settle the principal amount of the debt and any conversion value in excess of the principal value ("conversion premium"), for cash or shares of Euronet's common stock or a combination thereof, at the Company's option. The Company has stated its intent to settle any conversion of these notes by paying cash for the principal value and issuing common stock for any conversion premium; however, after adopting ASU 2020-06, 2.8 million incremental shares assumed for conversion of convertible notes is required to be included in the dilutive earnings per share calculation, if dilutive, regardless of whether the market price trigger has been met. Therefore, the Convertible Notes were included in the calculation of diluted earnings per share if their inclusion was dilutive. The dilutive effect increases the more the market price for the Company's common stock exceeds the conversion price of </w:t>
      </w:r>
      <w:r>
        <w:rPr>
          <w:rFonts w:ascii="times new roman;times" w:hAnsi="times new roman;times"/>
          <w:sz w:val="20"/>
        </w:rPr>
        <w:t>$188.73 </w:t>
      </w:r>
      <w:r>
        <w:rPr>
          <w:rFonts w:ascii="times new roman;times" w:hAnsi="times new roman;times"/>
          <w:sz w:val="20"/>
        </w:rPr>
        <w:t xml:space="preserve">per share. </w:t>
      </w:r>
      <w:r>
        <w:rPr>
          <w:rFonts w:ascii="times new roman;times" w:hAnsi="times new roman;times"/>
          <w:color w:val="000000"/>
          <w:sz w:val="20"/>
        </w:rPr>
        <w:t>See Note 10, Debt Obligations, to the consolidated financial statements for more information about the Convertible Notes.</w:t>
      </w:r>
    </w:p>
    <w:p>
      <w:pPr>
        <w:pStyle w:val="TextBody"/>
        <w:bidi w:val="0"/>
        <w:spacing w:lineRule="auto" w:line="288" w:before="0" w:after="200"/>
        <w:ind w:left="0" w:right="0" w:hanging="0"/>
        <w:jc w:val="both"/>
        <w:rPr>
          <w:rFonts w:ascii="times new roman;times" w:hAnsi="times new roman;times"/>
          <w:i/>
          <w:color w:val="000000"/>
          <w:sz w:val="20"/>
        </w:rPr>
      </w:pPr>
      <w:r>
        <w:rPr>
          <w:rFonts w:ascii="times new roman;times" w:hAnsi="times new roman;times"/>
          <w:i/>
          <w:color w:val="000000"/>
          <w:sz w:val="20"/>
        </w:rPr>
        <w:t>Share repurchases</w:t>
      </w:r>
    </w:p>
    <w:p>
      <w:pPr>
        <w:pStyle w:val="TextBody"/>
        <w:widowControl/>
        <w:bidi w:val="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On September 13, 2022, the Company put a repurchase program in place to repurchase up to $350 million in value, but not more than 7.0 million shares of common stock through September 13, 2024. As of June 30, 2024, no shares were available to be repurchased under this repurchase program. On September 13, 2023, the Company put a repurchase program in place to repurchase up to $350 million in value, but not more than 7.0 million shares of common stock through September 13, 2025. As of June 30, 2024, 6.9 million shares were available to be repurchased under this repurchase program. </w:t>
      </w:r>
      <w:r>
        <w:rPr>
          <w:rFonts w:ascii="times new roman;times" w:hAnsi="times new roman;times"/>
          <w:b w:val="false"/>
          <w:i w:val="false"/>
          <w:caps w:val="false"/>
          <w:smallCaps w:val="false"/>
          <w:color w:val="000000"/>
          <w:spacing w:val="0"/>
          <w:sz w:val="20"/>
        </w:rPr>
        <w:t>Repurchases under the programs may take place in the open market or in privately negotiated transactions, including derivative transactions, and may be made under a Rule 10b5-1 plan.</w:t>
      </w:r>
    </w:p>
    <w:p>
      <w:pPr>
        <w:pStyle w:val="TextBody"/>
        <w:widowControl/>
        <w:bidi w:val="0"/>
        <w:ind w:left="0" w:right="0" w:hanging="0"/>
        <w:jc w:val="left"/>
        <w:rPr/>
      </w:pPr>
      <w:r>
        <w:rPr/>
      </w:r>
    </w:p>
    <w:p>
      <w:pPr>
        <w:pStyle w:val="TextBody"/>
        <w:bidi w:val="0"/>
        <w:spacing w:lineRule="auto" w:line="288" w:before="0" w:after="200"/>
        <w:ind w:left="0" w:right="0" w:hanging="0"/>
        <w:jc w:val="both"/>
        <w:rPr>
          <w:rFonts w:ascii="times new roman;times" w:hAnsi="times new roman;times"/>
          <w:i/>
          <w:color w:val="000000"/>
          <w:sz w:val="20"/>
        </w:rPr>
      </w:pPr>
      <w:r>
        <w:rPr>
          <w:rFonts w:ascii="times new roman;times" w:hAnsi="times new roman;times"/>
          <w:i/>
          <w:color w:val="000000"/>
          <w:sz w:val="20"/>
        </w:rPr>
        <w:t>Accumulated Other Comprehensive Loss</w:t>
      </w:r>
    </w:p>
    <w:p>
      <w:pPr>
        <w:pStyle w:val="TextBody"/>
        <w:widowControl/>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Accumulated other comprehensive loss consists entirely of foreign currency translation adjustments. The Company recorded foreign currency translation adjustments of ($10.0) million and ($55.0) million for the three and six months ended June 30, 2024</w:t>
      </w:r>
      <w:r>
        <w:rPr>
          <w:rFonts w:ascii="times new roman;times" w:hAnsi="times new roman;times"/>
          <w:sz w:val="20"/>
        </w:rPr>
        <w:t> and $10.0 million and $30.8 </w:t>
      </w:r>
      <w:r>
        <w:rPr>
          <w:rFonts w:ascii="times new roman;times" w:hAnsi="times new roman;times"/>
          <w:b w:val="false"/>
          <w:i w:val="false"/>
          <w:caps w:val="false"/>
          <w:smallCaps w:val="false"/>
          <w:color w:val="000000"/>
          <w:spacing w:val="0"/>
          <w:sz w:val="20"/>
        </w:rPr>
        <w:t>million </w:t>
      </w:r>
      <w:r>
        <w:rPr>
          <w:rFonts w:ascii="times new roman;times" w:hAnsi="times new roman;times"/>
          <w:sz w:val="20"/>
        </w:rPr>
        <w:t xml:space="preserve">for the three and six months ended June 30, 2023, respectively. </w:t>
      </w:r>
      <w:r>
        <w:rPr>
          <w:rFonts w:ascii="times new roman;times" w:hAnsi="times new roman;times"/>
          <w:sz w:val="20"/>
        </w:rPr>
        <w:t>There were no reclassifications of foreign currency translation adjustments into the consolidated statements of income for the three and six months ended June 30, 2024 and 2023.</w:t>
      </w:r>
    </w:p>
    <w:p>
      <w:pPr>
        <w:pStyle w:val="TextBody"/>
        <w:bidi w:val="0"/>
        <w:spacing w:lineRule="auto" w:line="288" w:before="0" w:after="0"/>
        <w:ind w:left="0" w:right="0" w:hanging="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10</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widowControl/>
        <w:bidi w:val="0"/>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w:t>
      </w:r>
      <w:r>
        <w:rPr>
          <w:rFonts w:ascii="times new roman;times" w:hAnsi="times new roman;times"/>
          <w:b/>
          <w:i w:val="false"/>
          <w:caps w:val="false"/>
          <w:smallCaps w:val="false"/>
          <w:color w:val="000000"/>
          <w:spacing w:val="0"/>
          <w:sz w:val="20"/>
        </w:rPr>
        <w:t>6</w:t>
      </w:r>
      <w:r>
        <w:rPr>
          <w:rFonts w:ascii="times new roman;times" w:hAnsi="times new roman;times"/>
          <w:b/>
          <w:i w:val="false"/>
          <w:caps w:val="false"/>
          <w:smallCaps w:val="false"/>
          <w:color w:val="000000"/>
          <w:spacing w:val="0"/>
          <w:sz w:val="20"/>
        </w:rPr>
        <w:t>) GOODWILL AND ACQUIRED INTANGIBLE ASSETS, NET</w:t>
      </w:r>
    </w:p>
    <w:p>
      <w:pPr>
        <w:pStyle w:val="TextBody"/>
        <w:widowControl/>
        <w:bidi w:val="0"/>
        <w:spacing w:lineRule="auto" w:line="288"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bidi w:val="0"/>
        <w:spacing w:lineRule="auto" w:line="288"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A summary of acquired intangible assets and goodwill activity for the six months ended </w:t>
      </w:r>
      <w:r>
        <w:rPr>
          <w:rFonts w:ascii="times new roman;times" w:hAnsi="times new roman;times"/>
          <w:b w:val="false"/>
          <w:i w:val="false"/>
          <w:caps w:val="false"/>
          <w:smallCaps w:val="false"/>
          <w:strike w:val="false"/>
          <w:dstrike w:val="false"/>
          <w:color w:val="000000"/>
          <w:spacing w:val="0"/>
          <w:sz w:val="20"/>
          <w:u w:val="none"/>
          <w:effect w:val="none"/>
        </w:rPr>
        <w:t>June 30, 2024</w:t>
      </w:r>
      <w:r>
        <w:rPr>
          <w:rFonts w:ascii="times new roman;times" w:hAnsi="times new roman;times"/>
          <w:b w:val="false"/>
          <w:i w:val="false"/>
          <w:caps w:val="false"/>
          <w:smallCaps w:val="false"/>
          <w:color w:val="000000"/>
          <w:spacing w:val="0"/>
          <w:sz w:val="20"/>
        </w:rPr>
        <w:t> is presented below:</w:t>
      </w:r>
    </w:p>
    <w:tbl>
      <w:tblPr>
        <w:tblW w:w="5965" w:type="dxa"/>
        <w:jc w:val="left"/>
        <w:tblInd w:w="0" w:type="dxa"/>
        <w:tblLayout w:type="fixed"/>
        <w:tblCellMar>
          <w:top w:w="0" w:type="dxa"/>
          <w:left w:w="0" w:type="dxa"/>
          <w:bottom w:w="0" w:type="dxa"/>
          <w:right w:w="0" w:type="dxa"/>
        </w:tblCellMar>
      </w:tblPr>
      <w:tblGrid>
        <w:gridCol w:w="3290"/>
        <w:gridCol w:w="60"/>
        <w:gridCol w:w="154"/>
        <w:gridCol w:w="601"/>
        <w:gridCol w:w="95"/>
        <w:gridCol w:w="60"/>
        <w:gridCol w:w="139"/>
        <w:gridCol w:w="541"/>
        <w:gridCol w:w="95"/>
        <w:gridCol w:w="60"/>
        <w:gridCol w:w="125"/>
        <w:gridCol w:w="635"/>
        <w:gridCol w:w="110"/>
      </w:tblGrid>
      <w:tr>
        <w:trPr/>
        <w:tc>
          <w:tcPr>
            <w:tcW w:w="32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r>
      <w:tr>
        <w:trPr/>
        <w:tc>
          <w:tcPr>
            <w:tcW w:w="3290" w:type="dxa"/>
            <w:tcBorders/>
            <w:vAlign w:val="center"/>
          </w:tcPr>
          <w:p>
            <w:pPr>
              <w:pStyle w:val="TableContents"/>
              <w:bidi w:val="0"/>
              <w:spacing w:before="0" w:after="0"/>
              <w:jc w:val="left"/>
              <w:rPr>
                <w:rFonts w:ascii="times new roman;times" w:hAnsi="times new roman;times"/>
                <w:sz w:val="16"/>
              </w:rPr>
            </w:pPr>
            <w:r>
              <w:rPr>
                <w:rFonts w:ascii="times new roman;times" w:hAnsi="times new roman;times"/>
                <w:sz w:val="16"/>
              </w:rPr>
              <w:t>(in millions)</w:t>
            </w:r>
          </w:p>
        </w:tc>
        <w:tc>
          <w:tcPr>
            <w:tcW w:w="60" w:type="dxa"/>
            <w:tcBorders/>
            <w:vAlign w:val="center"/>
          </w:tcPr>
          <w:p>
            <w:pPr>
              <w:pStyle w:val="TableContents"/>
              <w:bidi w:val="0"/>
              <w:spacing w:before="0" w:after="0"/>
              <w:jc w:val="left"/>
              <w:rPr/>
            </w:pPr>
            <w:r>
              <w:rPr/>
              <w:t> </w:t>
            </w:r>
          </w:p>
        </w:tc>
        <w:tc>
          <w:tcPr>
            <w:tcW w:w="755" w:type="dxa"/>
            <w:gridSpan w:val="2"/>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Acquired</w:t>
            </w:r>
          </w:p>
          <w:p>
            <w:pPr>
              <w:pStyle w:val="TableContents"/>
              <w:bidi w:val="0"/>
              <w:spacing w:before="0" w:after="0"/>
              <w:jc w:val="center"/>
              <w:rPr>
                <w:rFonts w:ascii="times new roman;times" w:hAnsi="times new roman;times"/>
                <w:b/>
                <w:sz w:val="16"/>
              </w:rPr>
            </w:pPr>
            <w:r>
              <w:rPr>
                <w:rFonts w:ascii="times new roman;times" w:hAnsi="times new roman;times"/>
                <w:b/>
                <w:sz w:val="16"/>
              </w:rPr>
              <w:t>Intangible</w:t>
            </w:r>
          </w:p>
          <w:p>
            <w:pPr>
              <w:pStyle w:val="TableContents"/>
              <w:bidi w:val="0"/>
              <w:spacing w:before="0" w:after="0"/>
              <w:jc w:val="center"/>
              <w:rPr>
                <w:rFonts w:ascii="times new roman;times" w:hAnsi="times new roman;times"/>
                <w:b/>
                <w:sz w:val="16"/>
              </w:rPr>
            </w:pPr>
            <w:r>
              <w:rPr>
                <w:rFonts w:ascii="times new roman;times" w:hAnsi="times new roman;times"/>
                <w:b/>
                <w:sz w:val="16"/>
              </w:rPr>
              <w:t>Assets</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680" w:type="dxa"/>
            <w:gridSpan w:val="2"/>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Goodwill</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760" w:type="dxa"/>
            <w:gridSpan w:val="2"/>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Total</w:t>
            </w:r>
          </w:p>
          <w:p>
            <w:pPr>
              <w:pStyle w:val="TableContents"/>
              <w:bidi w:val="0"/>
              <w:spacing w:before="0" w:after="0"/>
              <w:jc w:val="center"/>
              <w:rPr>
                <w:rFonts w:ascii="times new roman;times" w:hAnsi="times new roman;times"/>
                <w:b/>
                <w:sz w:val="16"/>
              </w:rPr>
            </w:pPr>
            <w:r>
              <w:rPr>
                <w:rFonts w:ascii="times new roman;times" w:hAnsi="times new roman;times"/>
                <w:b/>
                <w:sz w:val="16"/>
              </w:rPr>
              <w:t>Intangible</w:t>
            </w:r>
          </w:p>
          <w:p>
            <w:pPr>
              <w:pStyle w:val="TableContents"/>
              <w:bidi w:val="0"/>
              <w:spacing w:before="0" w:after="0"/>
              <w:jc w:val="center"/>
              <w:rPr>
                <w:rFonts w:ascii="times new roman;times" w:hAnsi="times new roman;times"/>
                <w:b/>
                <w:sz w:val="16"/>
              </w:rPr>
            </w:pPr>
            <w:r>
              <w:rPr>
                <w:rFonts w:ascii="times new roman;times" w:hAnsi="times new roman;times"/>
                <w:b/>
                <w:sz w:val="16"/>
              </w:rPr>
              <w:t>Assets</w:t>
            </w:r>
          </w:p>
        </w:tc>
        <w:tc>
          <w:tcPr>
            <w:tcW w:w="110" w:type="dxa"/>
            <w:tcBorders/>
            <w:vAlign w:val="center"/>
          </w:tcPr>
          <w:p>
            <w:pPr>
              <w:pStyle w:val="TableContents"/>
              <w:bidi w:val="0"/>
              <w:spacing w:before="0" w:after="283"/>
              <w:jc w:val="left"/>
              <w:rPr>
                <w:sz w:val="4"/>
                <w:szCs w:val="4"/>
              </w:rPr>
            </w:pPr>
            <w:r>
              <w:rPr>
                <w:sz w:val="4"/>
                <w:szCs w:val="4"/>
              </w:rPr>
            </w:r>
          </w:p>
        </w:tc>
      </w:tr>
      <w:tr>
        <w:trPr/>
        <w:tc>
          <w:tcPr>
            <w:tcW w:w="3290"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Balance as of December 31, 2023</w:t>
            </w:r>
          </w:p>
        </w:tc>
        <w:tc>
          <w:tcPr>
            <w:tcW w:w="60" w:type="dxa"/>
            <w:tcBorders/>
            <w:shd w:fill="CCEEFF" w:val="clear"/>
            <w:vAlign w:val="center"/>
          </w:tcPr>
          <w:p>
            <w:pPr>
              <w:pStyle w:val="TableContents"/>
              <w:bidi w:val="0"/>
              <w:spacing w:before="0" w:after="0"/>
              <w:jc w:val="left"/>
              <w:rPr/>
            </w:pPr>
            <w:r>
              <w:rPr/>
              <w:t> </w:t>
            </w:r>
          </w:p>
        </w:tc>
        <w:tc>
          <w:tcPr>
            <w:tcW w:w="154"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601"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167.6</w:t>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139"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541"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847.5</w:t>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635"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1,015.1</w:t>
            </w:r>
          </w:p>
        </w:tc>
        <w:tc>
          <w:tcPr>
            <w:tcW w:w="110" w:type="dxa"/>
            <w:tcBorders/>
            <w:shd w:fill="CCEEFF" w:val="clear"/>
            <w:vAlign w:val="center"/>
          </w:tcPr>
          <w:p>
            <w:pPr>
              <w:pStyle w:val="TableContents"/>
              <w:bidi w:val="0"/>
              <w:spacing w:before="0" w:after="283"/>
              <w:jc w:val="left"/>
              <w:rPr>
                <w:sz w:val="4"/>
                <w:szCs w:val="4"/>
              </w:rPr>
            </w:pPr>
            <w:r>
              <w:rPr>
                <w:sz w:val="4"/>
                <w:szCs w:val="4"/>
              </w:rPr>
            </w:r>
          </w:p>
        </w:tc>
      </w:tr>
      <w:tr>
        <w:trPr/>
        <w:tc>
          <w:tcPr>
            <w:tcW w:w="3290" w:type="dxa"/>
            <w:tcBorders/>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Increases (decreases):</w:t>
            </w:r>
          </w:p>
        </w:tc>
        <w:tc>
          <w:tcPr>
            <w:tcW w:w="60" w:type="dxa"/>
            <w:tcBorders/>
            <w:vAlign w:val="center"/>
          </w:tcPr>
          <w:p>
            <w:pPr>
              <w:pStyle w:val="TableContents"/>
              <w:bidi w:val="0"/>
              <w:spacing w:before="0" w:after="0"/>
              <w:jc w:val="left"/>
              <w:rPr/>
            </w:pPr>
            <w:r>
              <w:rPr/>
              <w:t> </w:t>
            </w:r>
          </w:p>
        </w:tc>
        <w:tc>
          <w:tcPr>
            <w:tcW w:w="755" w:type="dxa"/>
            <w:gridSpan w:val="2"/>
            <w:tcBorders/>
            <w:vAlign w:val="center"/>
          </w:tcPr>
          <w:p>
            <w:pPr>
              <w:pStyle w:val="TableContents"/>
              <w:bidi w:val="0"/>
              <w:spacing w:before="0" w:after="0"/>
              <w:jc w:val="left"/>
              <w:rPr/>
            </w:pPr>
            <w:r>
              <w:rPr/>
              <w:t> </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680" w:type="dxa"/>
            <w:gridSpan w:val="2"/>
            <w:tcBorders/>
            <w:vAlign w:val="center"/>
          </w:tcPr>
          <w:p>
            <w:pPr>
              <w:pStyle w:val="TableContents"/>
              <w:bidi w:val="0"/>
              <w:spacing w:before="0" w:after="0"/>
              <w:jc w:val="left"/>
              <w:rPr/>
            </w:pPr>
            <w:r>
              <w:rPr/>
              <w:t> </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760" w:type="dxa"/>
            <w:gridSpan w:val="2"/>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283"/>
              <w:jc w:val="left"/>
              <w:rPr>
                <w:sz w:val="4"/>
                <w:szCs w:val="4"/>
              </w:rPr>
            </w:pPr>
            <w:r>
              <w:rPr>
                <w:sz w:val="4"/>
                <w:szCs w:val="4"/>
              </w:rPr>
            </w:r>
          </w:p>
        </w:tc>
      </w:tr>
      <w:tr>
        <w:trPr/>
        <w:tc>
          <w:tcPr>
            <w:tcW w:w="3290"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Acquisition</w:t>
            </w:r>
          </w:p>
        </w:tc>
        <w:tc>
          <w:tcPr>
            <w:tcW w:w="60" w:type="dxa"/>
            <w:tcBorders/>
            <w:shd w:fill="CCEEFF" w:val="clear"/>
            <w:vAlign w:val="center"/>
          </w:tcPr>
          <w:p>
            <w:pPr>
              <w:pStyle w:val="TableContents"/>
              <w:bidi w:val="0"/>
              <w:spacing w:before="0" w:after="0"/>
              <w:jc w:val="left"/>
              <w:rPr/>
            </w:pPr>
            <w:r>
              <w:rPr/>
              <w:t> </w:t>
            </w:r>
          </w:p>
        </w:tc>
        <w:tc>
          <w:tcPr>
            <w:tcW w:w="755"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51.0</w:t>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680"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49.4</w:t>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760"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100.4</w:t>
            </w:r>
          </w:p>
        </w:tc>
        <w:tc>
          <w:tcPr>
            <w:tcW w:w="110" w:type="dxa"/>
            <w:tcBorders/>
            <w:shd w:fill="CCEEFF" w:val="clear"/>
            <w:vAlign w:val="center"/>
          </w:tcPr>
          <w:p>
            <w:pPr>
              <w:pStyle w:val="TableContents"/>
              <w:bidi w:val="0"/>
              <w:spacing w:before="0" w:after="283"/>
              <w:jc w:val="left"/>
              <w:rPr>
                <w:sz w:val="4"/>
                <w:szCs w:val="4"/>
              </w:rPr>
            </w:pPr>
            <w:r>
              <w:rPr>
                <w:sz w:val="4"/>
                <w:szCs w:val="4"/>
              </w:rPr>
            </w:r>
          </w:p>
        </w:tc>
      </w:tr>
      <w:tr>
        <w:trPr/>
        <w:tc>
          <w:tcPr>
            <w:tcW w:w="3290"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Amortization</w:t>
            </w:r>
          </w:p>
        </w:tc>
        <w:tc>
          <w:tcPr>
            <w:tcW w:w="60" w:type="dxa"/>
            <w:tcBorders/>
            <w:vAlign w:val="center"/>
          </w:tcPr>
          <w:p>
            <w:pPr>
              <w:pStyle w:val="TableContents"/>
              <w:bidi w:val="0"/>
              <w:spacing w:before="0" w:after="0"/>
              <w:jc w:val="left"/>
              <w:rPr/>
            </w:pPr>
            <w:r>
              <w:rPr/>
              <w:t> </w:t>
            </w:r>
          </w:p>
        </w:tc>
        <w:tc>
          <w:tcPr>
            <w:tcW w:w="755"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(12.0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0"/>
              <w:jc w:val="left"/>
              <w:rPr/>
            </w:pPr>
            <w:r>
              <w:rPr/>
              <w:t> </w:t>
            </w:r>
          </w:p>
        </w:tc>
        <w:tc>
          <w:tcPr>
            <w:tcW w:w="680" w:type="dxa"/>
            <w:gridSpan w:val="2"/>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760"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(12.0</w:t>
            </w:r>
          </w:p>
        </w:tc>
        <w:tc>
          <w:tcPr>
            <w:tcW w:w="110" w:type="dxa"/>
            <w:tcBorders/>
            <w:vAlign w:val="center"/>
          </w:tcPr>
          <w:p>
            <w:pPr>
              <w:pStyle w:val="TableContents"/>
              <w:bidi w:val="0"/>
              <w:spacing w:before="0" w:after="283"/>
              <w:jc w:val="left"/>
              <w:rPr/>
            </w:pPr>
            <w:r>
              <w:rPr/>
              <w:t>)</w:t>
            </w:r>
          </w:p>
        </w:tc>
      </w:tr>
      <w:tr>
        <w:trPr/>
        <w:tc>
          <w:tcPr>
            <w:tcW w:w="3290"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Foreign currency exchange rate changes</w:t>
            </w:r>
          </w:p>
        </w:tc>
        <w:tc>
          <w:tcPr>
            <w:tcW w:w="60" w:type="dxa"/>
            <w:tcBorders/>
            <w:shd w:fill="CCEEFF" w:val="clear"/>
            <w:vAlign w:val="center"/>
          </w:tcPr>
          <w:p>
            <w:pPr>
              <w:pStyle w:val="TableContents"/>
              <w:bidi w:val="0"/>
              <w:spacing w:before="0" w:after="0"/>
              <w:jc w:val="left"/>
              <w:rPr/>
            </w:pPr>
            <w:r>
              <w:rPr/>
              <w:t> </w:t>
            </w:r>
          </w:p>
        </w:tc>
        <w:tc>
          <w:tcPr>
            <w:tcW w:w="755"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0"/>
              <w:jc w:val="left"/>
              <w:rPr/>
            </w:pPr>
            <w:r>
              <w:rPr/>
              <w:t> </w:t>
            </w:r>
          </w:p>
        </w:tc>
        <w:tc>
          <w:tcPr>
            <w:tcW w:w="680"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0"/>
              <w:jc w:val="left"/>
              <w:rPr/>
            </w:pPr>
            <w:r>
              <w:rPr/>
              <w:t> </w:t>
            </w:r>
          </w:p>
        </w:tc>
        <w:tc>
          <w:tcPr>
            <w:tcW w:w="760"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(25.3</w:t>
            </w:r>
          </w:p>
        </w:tc>
        <w:tc>
          <w:tcPr>
            <w:tcW w:w="110" w:type="dxa"/>
            <w:tcBorders/>
            <w:shd w:fill="CCEEFF" w:val="clear"/>
            <w:vAlign w:val="center"/>
          </w:tcPr>
          <w:p>
            <w:pPr>
              <w:pStyle w:val="TableContents"/>
              <w:bidi w:val="0"/>
              <w:spacing w:before="0" w:after="283"/>
              <w:jc w:val="left"/>
              <w:rPr/>
            </w:pPr>
            <w:r>
              <w:rPr/>
              <w:t>)</w:t>
            </w:r>
          </w:p>
        </w:tc>
      </w:tr>
      <w:tr>
        <w:trPr/>
        <w:tc>
          <w:tcPr>
            <w:tcW w:w="3290"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Balance as of June 30, 2024</w:t>
            </w:r>
          </w:p>
        </w:tc>
        <w:tc>
          <w:tcPr>
            <w:tcW w:w="60" w:type="dxa"/>
            <w:tcBorders/>
            <w:vAlign w:val="center"/>
          </w:tcPr>
          <w:p>
            <w:pPr>
              <w:pStyle w:val="TableContents"/>
              <w:bidi w:val="0"/>
              <w:spacing w:before="0" w:after="0"/>
              <w:jc w:val="left"/>
              <w:rPr/>
            </w:pPr>
            <w:r>
              <w:rPr/>
              <w:t> </w:t>
            </w:r>
          </w:p>
        </w:tc>
        <w:tc>
          <w:tcPr>
            <w:tcW w:w="154"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601"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200.7</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139"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541"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877.5</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635"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1,078.2</w:t>
            </w:r>
          </w:p>
        </w:tc>
        <w:tc>
          <w:tcPr>
            <w:tcW w:w="110" w:type="dxa"/>
            <w:tcBorders/>
            <w:vAlign w:val="center"/>
          </w:tcPr>
          <w:p>
            <w:pPr>
              <w:pStyle w:val="TableContents"/>
              <w:bidi w:val="0"/>
              <w:spacing w:before="0" w:after="283"/>
              <w:jc w:val="left"/>
              <w:rPr>
                <w:sz w:val="4"/>
                <w:szCs w:val="4"/>
              </w:rPr>
            </w:pPr>
            <w:r>
              <w:rPr>
                <w:sz w:val="4"/>
                <w:szCs w:val="4"/>
              </w:rPr>
            </w:r>
          </w:p>
        </w:tc>
      </w:tr>
    </w:tbl>
    <w:p>
      <w:pPr>
        <w:pStyle w:val="TextBody"/>
        <w:widowControl/>
        <w:bidi w:val="0"/>
        <w:spacing w:lineRule="auto" w:line="288"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bidi w:val="0"/>
        <w:spacing w:lineRule="auto" w:line="288"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Of the total goodwill balance of $877.5 million as of June 30, 2024, $382.1</w:t>
      </w:r>
      <w:r>
        <w:rPr>
          <w:rFonts w:ascii="times new roman;times" w:hAnsi="times new roman;times"/>
          <w:b w:val="false"/>
          <w:i w:val="false"/>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million relates to the Money Transfer Segment, $372.4 million relates to the EFT Processing Segment and the remaining $123.0 million relates to the epay Segment. Estimated amortization expense on acquired intangible assets with finite lives as of June 30, 2024, is expected to total $9.6 million for the remainder of 2024, $17.9 million for 2025, $17.6 million for 2026, $16.3 million for 2027, $15.9 million for 2028 and $15.9 million for 2029.</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bidi w:val="0"/>
        <w:spacing w:lineRule="auto" w:line="288" w:before="0" w:after="0"/>
        <w:ind w:left="0" w:right="0" w:hanging="0"/>
        <w:jc w:val="left"/>
        <w:rPr>
          <w:rFonts w:ascii="times new roman;times" w:hAnsi="times new roman;times"/>
          <w:b/>
          <w:strike w:val="false"/>
          <w:dstrike w:val="false"/>
          <w:color w:val="000000"/>
          <w:sz w:val="20"/>
          <w:u w:val="none"/>
          <w:effect w:val="none"/>
        </w:rPr>
      </w:pPr>
      <w:r>
        <w:rPr>
          <w:rFonts w:ascii="times new roman;times" w:hAnsi="times new roman;times"/>
          <w:b/>
          <w:strike w:val="false"/>
          <w:dstrike w:val="false"/>
          <w:color w:val="000000"/>
          <w:sz w:val="20"/>
          <w:u w:val="none"/>
          <w:effect w:val="none"/>
        </w:rPr>
        <w:t>(7) CONVERTIBLE NOTES RECEIVABLE</w:t>
      </w:r>
    </w:p>
    <w:p>
      <w:pPr>
        <w:pStyle w:val="TextBody"/>
        <w:bidi w:val="0"/>
        <w:spacing w:lineRule="auto" w:line="288" w:before="0" w:after="0"/>
        <w:ind w:left="0" w:right="0" w:hanging="0"/>
        <w:jc w:val="both"/>
        <w:rPr>
          <w:color w:val="000000"/>
        </w:rPr>
      </w:pPr>
      <w:r>
        <w:rPr>
          <w:color w:val="000000"/>
        </w:rPr>
        <w:t> </w:t>
      </w:r>
    </w:p>
    <w:p>
      <w:pPr>
        <w:pStyle w:val="TextBody"/>
        <w:bidi w:val="0"/>
        <w:spacing w:lineRule="auto" w:line="288" w:before="0" w:after="0"/>
        <w:ind w:left="0" w:right="0" w:hanging="0"/>
        <w:jc w:val="both"/>
        <w:rPr>
          <w:rFonts w:ascii="times new roman;times" w:hAnsi="times new roman;times"/>
          <w:color w:val="000000"/>
          <w:sz w:val="20"/>
        </w:rPr>
      </w:pPr>
      <w:r>
        <w:rPr>
          <w:rFonts w:ascii="times new roman;times" w:hAnsi="times new roman;times"/>
          <w:color w:val="000000"/>
          <w:sz w:val="20"/>
        </w:rPr>
        <w:t>The Company loaned a total of $60.0 million to Koin Mobile, LLC and Marker Trax, LLC under two promissory notes (the "Notes"), which were fully executed on October 19, 2023. Under the terms of the Notes, interest will accrue on the Notes at 2% per annum and all unpaid principal and interest will be due and payable on October 18, 2028 if not converted earlier as discussed below. The Company has a security interest in all of the assets of Koin Mobile, LLC and Marker Trax, LLC. The outstanding principal and accrued interest were $60.0 million and $0.8 million at June 30, 2024, respectively. </w:t>
      </w:r>
    </w:p>
    <w:p>
      <w:pPr>
        <w:pStyle w:val="TextBody"/>
        <w:bidi w:val="0"/>
        <w:spacing w:lineRule="auto" w:line="288" w:before="0" w:after="0"/>
        <w:ind w:left="0" w:right="0" w:hanging="0"/>
        <w:jc w:val="both"/>
        <w:rPr>
          <w:color w:val="000000"/>
        </w:rPr>
      </w:pPr>
      <w:r>
        <w:rPr>
          <w:color w:val="000000"/>
        </w:rPr>
        <w:t> </w:t>
      </w:r>
    </w:p>
    <w:p>
      <w:pPr>
        <w:pStyle w:val="TextBody"/>
        <w:bidi w:val="0"/>
        <w:spacing w:lineRule="auto" w:line="288" w:before="0" w:after="0"/>
        <w:ind w:left="0" w:right="0" w:hanging="0"/>
        <w:jc w:val="both"/>
        <w:rPr>
          <w:rFonts w:ascii="times new roman;times" w:hAnsi="times new roman;times"/>
          <w:color w:val="000000"/>
          <w:sz w:val="20"/>
        </w:rPr>
      </w:pPr>
      <w:r>
        <w:rPr>
          <w:rFonts w:ascii="times new roman;times" w:hAnsi="times new roman;times"/>
          <w:color w:val="000000"/>
          <w:sz w:val="20"/>
        </w:rPr>
        <w:t>The Notes are convertible into preferred equity of Koin Mobile, LLC and Marker Trax, LLC at the option of the Company upon the occurrence of certain events including a qualified equity financing, change in control, achievement of profitability or at the option of the Company at maturity, as defined in the Notes.</w:t>
      </w:r>
    </w:p>
    <w:p>
      <w:pPr>
        <w:pStyle w:val="TextBody"/>
        <w:bidi w:val="0"/>
        <w:spacing w:before="0" w:after="0"/>
        <w:ind w:left="0" w:right="0" w:hanging="0"/>
        <w:jc w:val="left"/>
        <w:rPr/>
      </w:pPr>
      <w:r>
        <w:rPr/>
        <w:t> </w:t>
      </w:r>
    </w:p>
    <w:p>
      <w:pPr>
        <w:pStyle w:val="TextBody"/>
        <w:widowControl/>
        <w:bidi w:val="0"/>
        <w:spacing w:lineRule="atLeast" w:line="240"/>
        <w:ind w:left="0" w:right="0" w:hanging="0"/>
        <w:jc w:val="center"/>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(8) ACCRUED EXPENSES AND OTHER CURRENT LIABILITIES</w:t>
      </w:r>
    </w:p>
    <w:p>
      <w:pPr>
        <w:pStyle w:val="TextBody"/>
        <w:bidi w:val="0"/>
        <w:spacing w:lineRule="auto" w:line="288" w:before="0" w:after="0"/>
        <w:ind w:left="0" w:right="0" w:hanging="0"/>
        <w:jc w:val="both"/>
        <w:rPr/>
      </w:pPr>
      <w:r>
        <w:rPr/>
        <w:t> </w:t>
      </w:r>
    </w:p>
    <w:p>
      <w:pPr>
        <w:pStyle w:val="TextBody"/>
        <w:bidi w:val="0"/>
        <w:spacing w:lineRule="auto" w:line="288" w:before="0" w:after="0"/>
        <w:jc w:val="left"/>
        <w:rPr>
          <w:rFonts w:ascii="times new roman;times" w:hAnsi="times new roman;times"/>
          <w:sz w:val="20"/>
        </w:rPr>
      </w:pPr>
      <w:r>
        <w:rPr>
          <w:rFonts w:ascii="times new roman;times" w:hAnsi="times new roman;times"/>
          <w:sz w:val="20"/>
        </w:rPr>
        <w:t>Accrued expenses and other current liabilities consist of the following: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826" w:type="dxa"/>
        <w:jc w:val="center"/>
        <w:tblInd w:w="0" w:type="dxa"/>
        <w:tblLayout w:type="fixed"/>
        <w:tblCellMar>
          <w:top w:w="0" w:type="dxa"/>
          <w:left w:w="0" w:type="dxa"/>
          <w:bottom w:w="0" w:type="dxa"/>
          <w:right w:w="0" w:type="dxa"/>
        </w:tblCellMar>
      </w:tblPr>
      <w:tblGrid>
        <w:gridCol w:w="3530"/>
        <w:gridCol w:w="60"/>
        <w:gridCol w:w="140"/>
        <w:gridCol w:w="560"/>
        <w:gridCol w:w="23"/>
        <w:gridCol w:w="60"/>
        <w:gridCol w:w="283"/>
        <w:gridCol w:w="1132"/>
        <w:gridCol w:w="38"/>
      </w:tblGrid>
      <w:tr>
        <w:trPr/>
        <w:tc>
          <w:tcPr>
            <w:tcW w:w="3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53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198" w:type="dxa"/>
            <w:gridSpan w:val="6"/>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As of</w:t>
            </w:r>
          </w:p>
        </w:tc>
        <w:tc>
          <w:tcPr>
            <w:tcW w:w="38" w:type="dxa"/>
            <w:tcBorders/>
            <w:vAlign w:val="center"/>
          </w:tcPr>
          <w:p>
            <w:pPr>
              <w:pStyle w:val="TableContents"/>
              <w:bidi w:val="0"/>
              <w:spacing w:before="0" w:after="283"/>
              <w:jc w:val="left"/>
              <w:rPr>
                <w:sz w:val="4"/>
                <w:szCs w:val="4"/>
              </w:rPr>
            </w:pPr>
            <w:r>
              <w:rPr>
                <w:sz w:val="4"/>
                <w:szCs w:val="4"/>
              </w:rPr>
            </w:r>
          </w:p>
        </w:tc>
      </w:tr>
      <w:tr>
        <w:trPr/>
        <w:tc>
          <w:tcPr>
            <w:tcW w:w="3530" w:type="dxa"/>
            <w:tcBorders/>
            <w:vAlign w:val="center"/>
          </w:tcPr>
          <w:p>
            <w:pPr>
              <w:pStyle w:val="TableContents"/>
              <w:bidi w:val="0"/>
              <w:spacing w:before="0" w:after="0"/>
              <w:jc w:val="left"/>
              <w:rPr>
                <w:rFonts w:ascii="times new roman;times" w:hAnsi="times new roman;times"/>
                <w:sz w:val="16"/>
              </w:rPr>
            </w:pPr>
            <w:r>
              <w:rPr>
                <w:rFonts w:ascii="times new roman;times" w:hAnsi="times new roman;times"/>
                <w:sz w:val="16"/>
              </w:rPr>
              <w:t>(in millions)</w:t>
            </w:r>
          </w:p>
        </w:tc>
        <w:tc>
          <w:tcPr>
            <w:tcW w:w="60" w:type="dxa"/>
            <w:tcBorders/>
            <w:vAlign w:val="center"/>
          </w:tcPr>
          <w:p>
            <w:pPr>
              <w:pStyle w:val="TableContents"/>
              <w:bidi w:val="0"/>
              <w:spacing w:before="0" w:after="0"/>
              <w:jc w:val="left"/>
              <w:rPr/>
            </w:pPr>
            <w:r>
              <w:rPr/>
              <w:t> </w:t>
            </w:r>
          </w:p>
        </w:tc>
        <w:tc>
          <w:tcPr>
            <w:tcW w:w="700" w:type="dxa"/>
            <w:gridSpan w:val="2"/>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June 30,</w:t>
            </w:r>
          </w:p>
          <w:p>
            <w:pPr>
              <w:pStyle w:val="TableContents"/>
              <w:bidi w:val="0"/>
              <w:spacing w:before="0" w:after="0"/>
              <w:jc w:val="center"/>
              <w:rPr>
                <w:rFonts w:ascii="times new roman;times" w:hAnsi="times new roman;times"/>
                <w:b/>
                <w:sz w:val="16"/>
              </w:rPr>
            </w:pPr>
            <w:r>
              <w:rPr>
                <w:rFonts w:ascii="times new roman;times" w:hAnsi="times new roman;times"/>
                <w:b/>
                <w:sz w:val="16"/>
              </w:rPr>
              <w:t>2024</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1415" w:type="dxa"/>
            <w:gridSpan w:val="2"/>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December 31, 2023</w:t>
            </w:r>
          </w:p>
        </w:tc>
        <w:tc>
          <w:tcPr>
            <w:tcW w:w="38" w:type="dxa"/>
            <w:tcBorders/>
            <w:vAlign w:val="center"/>
          </w:tcPr>
          <w:p>
            <w:pPr>
              <w:pStyle w:val="TableContents"/>
              <w:bidi w:val="0"/>
              <w:spacing w:before="0" w:after="283"/>
              <w:jc w:val="left"/>
              <w:rPr>
                <w:sz w:val="4"/>
                <w:szCs w:val="4"/>
              </w:rPr>
            </w:pPr>
            <w:r>
              <w:rPr>
                <w:sz w:val="4"/>
                <w:szCs w:val="4"/>
              </w:rPr>
            </w:r>
          </w:p>
        </w:tc>
      </w:tr>
      <w:tr>
        <w:trPr/>
        <w:tc>
          <w:tcPr>
            <w:tcW w:w="3530"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Accrued expenses</w:t>
            </w:r>
          </w:p>
        </w:tc>
        <w:tc>
          <w:tcPr>
            <w:tcW w:w="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560"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297.9</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283"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1132"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254.8</w:t>
            </w:r>
          </w:p>
        </w:tc>
        <w:tc>
          <w:tcPr>
            <w:tcW w:w="38" w:type="dxa"/>
            <w:tcBorders/>
            <w:shd w:fill="CCEEFF" w:val="clear"/>
            <w:vAlign w:val="center"/>
          </w:tcPr>
          <w:p>
            <w:pPr>
              <w:pStyle w:val="TableContents"/>
              <w:bidi w:val="0"/>
              <w:spacing w:before="0" w:after="283"/>
              <w:jc w:val="left"/>
              <w:rPr>
                <w:sz w:val="4"/>
                <w:szCs w:val="4"/>
              </w:rPr>
            </w:pPr>
            <w:r>
              <w:rPr>
                <w:sz w:val="4"/>
                <w:szCs w:val="4"/>
              </w:rPr>
            </w:r>
          </w:p>
        </w:tc>
      </w:tr>
      <w:tr>
        <w:trPr/>
        <w:tc>
          <w:tcPr>
            <w:tcW w:w="3530"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Derivative liabilities</w:t>
            </w:r>
          </w:p>
        </w:tc>
        <w:tc>
          <w:tcPr>
            <w:tcW w:w="60" w:type="dxa"/>
            <w:tcBorders/>
            <w:vAlign w:val="center"/>
          </w:tcPr>
          <w:p>
            <w:pPr>
              <w:pStyle w:val="TableContents"/>
              <w:bidi w:val="0"/>
              <w:spacing w:before="0" w:after="0"/>
              <w:jc w:val="left"/>
              <w:rPr/>
            </w:pPr>
            <w:r>
              <w:rPr/>
              <w:t> </w:t>
            </w:r>
          </w:p>
        </w:tc>
        <w:tc>
          <w:tcPr>
            <w:tcW w:w="700"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28.4</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1415"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39.1</w:t>
            </w:r>
          </w:p>
        </w:tc>
        <w:tc>
          <w:tcPr>
            <w:tcW w:w="38" w:type="dxa"/>
            <w:tcBorders/>
            <w:vAlign w:val="center"/>
          </w:tcPr>
          <w:p>
            <w:pPr>
              <w:pStyle w:val="TableContents"/>
              <w:bidi w:val="0"/>
              <w:spacing w:before="0" w:after="283"/>
              <w:jc w:val="left"/>
              <w:rPr>
                <w:sz w:val="4"/>
                <w:szCs w:val="4"/>
              </w:rPr>
            </w:pPr>
            <w:r>
              <w:rPr>
                <w:sz w:val="4"/>
                <w:szCs w:val="4"/>
              </w:rPr>
            </w:r>
          </w:p>
        </w:tc>
      </w:tr>
      <w:tr>
        <w:trPr/>
        <w:tc>
          <w:tcPr>
            <w:tcW w:w="3530" w:type="dxa"/>
            <w:tcBorders/>
            <w:shd w:fill="CCEEFF" w:val="clear"/>
            <w:vAlign w:val="center"/>
          </w:tcPr>
          <w:p>
            <w:pPr>
              <w:pStyle w:val="TableContents"/>
              <w:bidi w:val="0"/>
              <w:spacing w:before="0" w:after="283"/>
              <w:ind w:left="0" w:right="0" w:hanging="0"/>
              <w:jc w:val="left"/>
              <w:rPr/>
            </w:pPr>
            <w:r>
              <w:rPr/>
              <w:t>Other tax payables</w:t>
            </w:r>
          </w:p>
        </w:tc>
        <w:tc>
          <w:tcPr>
            <w:tcW w:w="60" w:type="dxa"/>
            <w:tcBorders/>
            <w:shd w:fill="CCEEFF" w:val="clear"/>
            <w:vAlign w:val="center"/>
          </w:tcPr>
          <w:p>
            <w:pPr>
              <w:pStyle w:val="TableContents"/>
              <w:bidi w:val="0"/>
              <w:spacing w:before="0" w:after="283"/>
              <w:ind w:left="0" w:right="0" w:hanging="0"/>
              <w:jc w:val="left"/>
              <w:rPr/>
            </w:pPr>
            <w:r>
              <w:rPr/>
            </w:r>
          </w:p>
        </w:tc>
        <w:tc>
          <w:tcPr>
            <w:tcW w:w="700" w:type="dxa"/>
            <w:gridSpan w:val="2"/>
            <w:tcBorders/>
            <w:shd w:fill="CCEEFF" w:val="clear"/>
            <w:vAlign w:val="center"/>
          </w:tcPr>
          <w:p>
            <w:pPr>
              <w:pStyle w:val="TableContents"/>
              <w:bidi w:val="0"/>
              <w:spacing w:before="0" w:after="0"/>
              <w:ind w:left="0" w:right="0" w:hanging="0"/>
              <w:jc w:val="right"/>
              <w:rPr>
                <w:sz w:val="20"/>
              </w:rPr>
            </w:pPr>
            <w:r>
              <w:rPr>
                <w:sz w:val="20"/>
              </w:rPr>
              <w:t>19.6</w:t>
            </w:r>
          </w:p>
        </w:tc>
        <w:tc>
          <w:tcPr>
            <w:tcW w:w="23" w:type="dxa"/>
            <w:tcBorders/>
            <w:shd w:fill="CCEEFF" w:val="clear"/>
            <w:vAlign w:val="center"/>
          </w:tcPr>
          <w:p>
            <w:pPr>
              <w:pStyle w:val="TableContents"/>
              <w:bidi w:val="0"/>
              <w:spacing w:before="0" w:after="283"/>
              <w:ind w:left="0" w:right="0" w:hanging="0"/>
              <w:jc w:val="left"/>
              <w:rPr/>
            </w:pPr>
            <w:r>
              <w:rPr/>
            </w:r>
          </w:p>
        </w:tc>
        <w:tc>
          <w:tcPr>
            <w:tcW w:w="60"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415" w:type="dxa"/>
            <w:gridSpan w:val="2"/>
            <w:tcBorders/>
            <w:shd w:fill="CCEEFF" w:val="clear"/>
            <w:vAlign w:val="center"/>
          </w:tcPr>
          <w:p>
            <w:pPr>
              <w:pStyle w:val="TableContents"/>
              <w:bidi w:val="0"/>
              <w:spacing w:before="0" w:after="0"/>
              <w:ind w:left="0" w:right="0" w:hanging="0"/>
              <w:jc w:val="right"/>
              <w:rPr>
                <w:sz w:val="20"/>
              </w:rPr>
            </w:pPr>
            <w:r>
              <w:rPr>
                <w:sz w:val="20"/>
              </w:rPr>
              <w:t>69.1</w:t>
            </w:r>
          </w:p>
        </w:tc>
        <w:tc>
          <w:tcPr>
            <w:tcW w:w="38" w:type="dxa"/>
            <w:tcBorders/>
            <w:shd w:fill="CCEEFF" w:val="clear"/>
            <w:vAlign w:val="center"/>
          </w:tcPr>
          <w:p>
            <w:pPr>
              <w:pStyle w:val="TableContents"/>
              <w:bidi w:val="0"/>
              <w:spacing w:before="0" w:after="283"/>
              <w:jc w:val="left"/>
              <w:rPr/>
            </w:pPr>
            <w:r>
              <w:rPr/>
            </w:r>
          </w:p>
        </w:tc>
      </w:tr>
      <w:tr>
        <w:trPr/>
        <w:tc>
          <w:tcPr>
            <w:tcW w:w="3530" w:type="dxa"/>
            <w:tcBorders/>
            <w:vAlign w:val="center"/>
          </w:tcPr>
          <w:p>
            <w:pPr>
              <w:pStyle w:val="TableContents"/>
              <w:bidi w:val="0"/>
              <w:spacing w:before="0" w:after="283"/>
              <w:jc w:val="left"/>
              <w:rPr>
                <w:rFonts w:ascii="times new roman;times" w:hAnsi="times new roman;times"/>
              </w:rPr>
            </w:pPr>
            <w:r>
              <w:rPr>
                <w:rFonts w:ascii="times new roman;times" w:hAnsi="times new roman;times"/>
              </w:rPr>
              <w:t>Accrued payroll expenses</w:t>
            </w:r>
          </w:p>
        </w:tc>
        <w:tc>
          <w:tcPr>
            <w:tcW w:w="60" w:type="dxa"/>
            <w:tcBorders/>
            <w:vAlign w:val="center"/>
          </w:tcPr>
          <w:p>
            <w:pPr>
              <w:pStyle w:val="TableContents"/>
              <w:bidi w:val="0"/>
              <w:spacing w:before="0" w:after="283"/>
              <w:jc w:val="left"/>
              <w:rPr>
                <w:sz w:val="4"/>
                <w:szCs w:val="4"/>
              </w:rPr>
            </w:pPr>
            <w:r>
              <w:rPr>
                <w:sz w:val="4"/>
                <w:szCs w:val="4"/>
              </w:rPr>
            </w:r>
          </w:p>
        </w:tc>
        <w:tc>
          <w:tcPr>
            <w:tcW w:w="700" w:type="dxa"/>
            <w:gridSpan w:val="2"/>
            <w:tcBorders/>
            <w:vAlign w:val="center"/>
          </w:tcPr>
          <w:p>
            <w:pPr>
              <w:pStyle w:val="TableContents"/>
              <w:bidi w:val="0"/>
              <w:spacing w:before="0" w:after="0"/>
              <w:jc w:val="right"/>
              <w:rPr>
                <w:sz w:val="20"/>
              </w:rPr>
            </w:pPr>
            <w:r>
              <w:rPr>
                <w:sz w:val="20"/>
              </w:rPr>
              <w:t>55.5</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5" w:type="dxa"/>
            <w:gridSpan w:val="2"/>
            <w:tcBorders/>
            <w:vAlign w:val="center"/>
          </w:tcPr>
          <w:p>
            <w:pPr>
              <w:pStyle w:val="TableContents"/>
              <w:bidi w:val="0"/>
              <w:spacing w:before="0" w:after="0"/>
              <w:jc w:val="right"/>
              <w:rPr>
                <w:sz w:val="20"/>
              </w:rPr>
            </w:pPr>
            <w:r>
              <w:rPr>
                <w:sz w:val="20"/>
              </w:rPr>
              <w:t>74.4</w:t>
            </w:r>
          </w:p>
        </w:tc>
        <w:tc>
          <w:tcPr>
            <w:tcW w:w="38" w:type="dxa"/>
            <w:tcBorders/>
            <w:vAlign w:val="center"/>
          </w:tcPr>
          <w:p>
            <w:pPr>
              <w:pStyle w:val="TableContents"/>
              <w:bidi w:val="0"/>
              <w:spacing w:before="0" w:after="283"/>
              <w:jc w:val="left"/>
              <w:rPr>
                <w:sz w:val="4"/>
                <w:szCs w:val="4"/>
              </w:rPr>
            </w:pPr>
            <w:r>
              <w:rPr>
                <w:sz w:val="4"/>
                <w:szCs w:val="4"/>
              </w:rPr>
            </w:r>
          </w:p>
        </w:tc>
      </w:tr>
      <w:tr>
        <w:trPr/>
        <w:tc>
          <w:tcPr>
            <w:tcW w:w="3530"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Current portion of capital lease obligations</w:t>
            </w:r>
          </w:p>
        </w:tc>
        <w:tc>
          <w:tcPr>
            <w:tcW w:w="60" w:type="dxa"/>
            <w:tcBorders/>
            <w:shd w:fill="CCEEFF" w:val="clear"/>
            <w:vAlign w:val="center"/>
          </w:tcPr>
          <w:p>
            <w:pPr>
              <w:pStyle w:val="TableContents"/>
              <w:bidi w:val="0"/>
              <w:spacing w:before="0" w:after="0"/>
              <w:jc w:val="left"/>
              <w:rPr/>
            </w:pPr>
            <w:r>
              <w:rPr/>
              <w:t> </w:t>
            </w:r>
          </w:p>
        </w:tc>
        <w:tc>
          <w:tcPr>
            <w:tcW w:w="700"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1.6</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1415"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1.6</w:t>
            </w:r>
          </w:p>
        </w:tc>
        <w:tc>
          <w:tcPr>
            <w:tcW w:w="38" w:type="dxa"/>
            <w:tcBorders/>
            <w:shd w:fill="CCEEFF" w:val="clear"/>
            <w:vAlign w:val="center"/>
          </w:tcPr>
          <w:p>
            <w:pPr>
              <w:pStyle w:val="TableContents"/>
              <w:bidi w:val="0"/>
              <w:spacing w:before="0" w:after="283"/>
              <w:jc w:val="left"/>
              <w:rPr>
                <w:sz w:val="4"/>
                <w:szCs w:val="4"/>
              </w:rPr>
            </w:pPr>
            <w:r>
              <w:rPr>
                <w:sz w:val="4"/>
                <w:szCs w:val="4"/>
              </w:rPr>
            </w:r>
          </w:p>
        </w:tc>
      </w:tr>
      <w:tr>
        <w:trPr/>
        <w:tc>
          <w:tcPr>
            <w:tcW w:w="3530"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Total</w:t>
            </w:r>
          </w:p>
        </w:tc>
        <w:tc>
          <w:tcPr>
            <w:tcW w:w="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rFonts w:ascii="inherit" w:hAnsi="inherit"/>
                <w:sz w:val="20"/>
              </w:rPr>
            </w:pPr>
            <w:r>
              <w:rPr>
                <w:rFonts w:ascii="inherit" w:hAnsi="inherit"/>
                <w:sz w:val="20"/>
              </w:rPr>
              <w:t>$</w:t>
            </w:r>
          </w:p>
        </w:tc>
        <w:tc>
          <w:tcPr>
            <w:tcW w:w="560" w:type="dxa"/>
            <w:tcBorders/>
            <w:vAlign w:val="center"/>
          </w:tcPr>
          <w:p>
            <w:pPr>
              <w:pStyle w:val="TableContents"/>
              <w:bidi w:val="0"/>
              <w:spacing w:before="0" w:after="0"/>
              <w:jc w:val="right"/>
              <w:rPr>
                <w:rFonts w:ascii="inherit" w:hAnsi="inherit"/>
                <w:sz w:val="20"/>
              </w:rPr>
            </w:pPr>
            <w:r>
              <w:rPr>
                <w:rFonts w:ascii="inherit" w:hAnsi="inherit"/>
                <w:sz w:val="20"/>
              </w:rPr>
              <w:t>403.0</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283" w:type="dxa"/>
            <w:tcBorders/>
            <w:vAlign w:val="center"/>
          </w:tcPr>
          <w:p>
            <w:pPr>
              <w:pStyle w:val="TableContents"/>
              <w:bidi w:val="0"/>
              <w:spacing w:before="0" w:after="0"/>
              <w:jc w:val="left"/>
              <w:rPr>
                <w:rFonts w:ascii="inherit" w:hAnsi="inherit"/>
                <w:sz w:val="20"/>
              </w:rPr>
            </w:pPr>
            <w:r>
              <w:rPr>
                <w:rFonts w:ascii="inherit" w:hAnsi="inherit"/>
                <w:sz w:val="20"/>
              </w:rPr>
              <w:t>$</w:t>
            </w:r>
          </w:p>
        </w:tc>
        <w:tc>
          <w:tcPr>
            <w:tcW w:w="1132" w:type="dxa"/>
            <w:tcBorders/>
            <w:vAlign w:val="center"/>
          </w:tcPr>
          <w:p>
            <w:pPr>
              <w:pStyle w:val="TableContents"/>
              <w:bidi w:val="0"/>
              <w:spacing w:before="0" w:after="0"/>
              <w:jc w:val="right"/>
              <w:rPr>
                <w:rFonts w:ascii="inherit" w:hAnsi="inherit"/>
                <w:sz w:val="20"/>
              </w:rPr>
            </w:pPr>
            <w:r>
              <w:rPr>
                <w:rFonts w:ascii="inherit" w:hAnsi="inherit"/>
                <w:sz w:val="20"/>
              </w:rPr>
              <w:t>439.0</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240"/>
        <w:jc w:val="center"/>
        <w:rPr>
          <w:sz w:val="20"/>
          <w:szCs w:val="20"/>
        </w:rPr>
      </w:pPr>
      <w:r>
        <w:rPr>
          <w:sz w:val="20"/>
          <w:szCs w:val="20"/>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widowControl/>
        <w:bidi w:val="0"/>
        <w:spacing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bidi w:val="0"/>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(9) DEFERRED REVENUES</w:t>
      </w:r>
    </w:p>
    <w:p>
      <w:pPr>
        <w:pStyle w:val="TextBody"/>
        <w:widowControl/>
        <w:bidi w:val="0"/>
        <w:spacing w:lineRule="auto" w:line="288"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bidi w:val="0"/>
        <w:spacing w:lineRule="auto" w:line="288"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Company records deferred revenues when cash payments are received or due in advance of the Company's performance. The decrease in the deferred revenue balance for the six months ended June 30, 2024 is the result of </w:t>
      </w:r>
      <w:r>
        <w:rPr>
          <w:rFonts w:ascii="times new roman;times" w:hAnsi="times new roman;times"/>
          <w:b w:val="false"/>
          <w:i w:val="false"/>
          <w:caps w:val="false"/>
          <w:smallCaps w:val="false"/>
          <w:color w:val="000000"/>
          <w:spacing w:val="0"/>
          <w:sz w:val="20"/>
        </w:rPr>
        <w:t>$24.1 million of revenues recognized, offset by</w:t>
      </w:r>
      <w:r>
        <w:rPr>
          <w:rFonts w:ascii="times new roman;times" w:hAnsi="times new roman;times"/>
          <w:b w:val="false"/>
          <w:i w:val="false"/>
          <w:caps w:val="false"/>
          <w:smallCaps w:val="false"/>
          <w:color w:val="000000"/>
          <w:spacing w:val="0"/>
          <w:sz w:val="20"/>
        </w:rPr>
        <w:t xml:space="preserve"> $23.7 million of cash payments received in the current year for which the Company has not yet satisfied the performance obligations.</w:t>
      </w:r>
    </w:p>
    <w:p>
      <w:pPr>
        <w:pStyle w:val="TextBody"/>
        <w:bidi w:val="0"/>
        <w:spacing w:lineRule="auto" w:line="288" w:before="0" w:after="0"/>
        <w:ind w:left="0" w:right="0" w:hanging="0"/>
        <w:jc w:val="both"/>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11</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pStyle w:val="TextBody"/>
        <w:widowControl/>
        <w:bidi w:val="0"/>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(10) DEBT OBLIGATIONS</w:t>
      </w:r>
    </w:p>
    <w:p>
      <w:pPr>
        <w:pStyle w:val="TextBody"/>
        <w:widowControl/>
        <w:bidi w:val="0"/>
        <w:spacing w:lineRule="auto" w:line="288"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bidi w:val="0"/>
        <w:spacing w:lineRule="auto" w:line="288"/>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Debt obligations consist of the following:</w:t>
      </w:r>
    </w:p>
    <w:p>
      <w:pPr>
        <w:pStyle w:val="TextBody"/>
        <w:widowControl/>
        <w:bidi w:val="0"/>
        <w:spacing w:lineRule="auto" w:line="288" w:before="0" w:after="0"/>
        <w:ind w:left="0" w:right="0" w:hanging="0"/>
        <w:jc w:val="both"/>
        <w:rPr>
          <w:caps w:val="false"/>
          <w:smallCaps w:val="false"/>
          <w:color w:val="000000"/>
          <w:spacing w:val="0"/>
        </w:rPr>
      </w:pPr>
      <w:r>
        <w:rPr>
          <w:caps w:val="false"/>
          <w:smallCaps w:val="false"/>
          <w:color w:val="000000"/>
          <w:spacing w:val="0"/>
        </w:rPr>
        <w:t> </w:t>
      </w:r>
    </w:p>
    <w:tbl>
      <w:tblPr>
        <w:tblW w:w="9323" w:type="dxa"/>
        <w:jc w:val="left"/>
        <w:tblInd w:w="0" w:type="dxa"/>
        <w:tblLayout w:type="fixed"/>
        <w:tblCellMar>
          <w:top w:w="0" w:type="dxa"/>
          <w:left w:w="0" w:type="dxa"/>
          <w:bottom w:w="0" w:type="dxa"/>
          <w:right w:w="0" w:type="dxa"/>
        </w:tblCellMar>
      </w:tblPr>
      <w:tblGrid>
        <w:gridCol w:w="6560"/>
        <w:gridCol w:w="60"/>
        <w:gridCol w:w="171"/>
        <w:gridCol w:w="868"/>
        <w:gridCol w:w="95"/>
        <w:gridCol w:w="60"/>
        <w:gridCol w:w="232"/>
        <w:gridCol w:w="1182"/>
        <w:gridCol w:w="95"/>
      </w:tblGrid>
      <w:tr>
        <w:trPr/>
        <w:tc>
          <w:tcPr>
            <w:tcW w:w="65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608" w:type="dxa"/>
            <w:gridSpan w:val="6"/>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As of</w:t>
            </w:r>
          </w:p>
        </w:tc>
        <w:tc>
          <w:tcPr>
            <w:tcW w:w="95" w:type="dxa"/>
            <w:tcBorders/>
            <w:vAlign w:val="center"/>
          </w:tcPr>
          <w:p>
            <w:pPr>
              <w:pStyle w:val="TableContents"/>
              <w:bidi w:val="0"/>
              <w:spacing w:before="0" w:after="0"/>
              <w:jc w:val="center"/>
              <w:rPr>
                <w:sz w:val="16"/>
              </w:rPr>
            </w:pPr>
            <w:r>
              <w:rPr>
                <w:sz w:val="16"/>
              </w:rPr>
            </w:r>
          </w:p>
        </w:tc>
      </w:tr>
      <w:tr>
        <w:trPr/>
        <w:tc>
          <w:tcPr>
            <w:tcW w:w="6560" w:type="dxa"/>
            <w:tcBorders/>
            <w:vAlign w:val="center"/>
          </w:tcPr>
          <w:p>
            <w:pPr>
              <w:pStyle w:val="TableContents"/>
              <w:bidi w:val="0"/>
              <w:spacing w:before="0" w:after="0"/>
              <w:jc w:val="left"/>
              <w:rPr>
                <w:rFonts w:ascii="times new roman;times" w:hAnsi="times new roman;times"/>
                <w:sz w:val="16"/>
              </w:rPr>
            </w:pPr>
            <w:r>
              <w:rPr>
                <w:rFonts w:ascii="times new roman;times" w:hAnsi="times new roman;times"/>
                <w:sz w:val="16"/>
              </w:rPr>
              <w:t>(in millions)</w:t>
            </w:r>
          </w:p>
        </w:tc>
        <w:tc>
          <w:tcPr>
            <w:tcW w:w="60" w:type="dxa"/>
            <w:tcBorders/>
            <w:vAlign w:val="center"/>
          </w:tcPr>
          <w:p>
            <w:pPr>
              <w:pStyle w:val="TableContents"/>
              <w:bidi w:val="0"/>
              <w:spacing w:before="0" w:after="0"/>
              <w:jc w:val="left"/>
              <w:rPr/>
            </w:pPr>
            <w:r>
              <w:rPr/>
              <w:t> </w:t>
            </w:r>
          </w:p>
        </w:tc>
        <w:tc>
          <w:tcPr>
            <w:tcW w:w="1039" w:type="dxa"/>
            <w:gridSpan w:val="2"/>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June 30, 2024</w:t>
            </w:r>
          </w:p>
        </w:tc>
        <w:tc>
          <w:tcPr>
            <w:tcW w:w="95" w:type="dxa"/>
            <w:tcBorders/>
            <w:vAlign w:val="center"/>
          </w:tcPr>
          <w:p>
            <w:pPr>
              <w:pStyle w:val="TableContents"/>
              <w:bidi w:val="0"/>
              <w:spacing w:before="0" w:after="0"/>
              <w:jc w:val="center"/>
              <w:rPr>
                <w:sz w:val="16"/>
              </w:rPr>
            </w:pPr>
            <w:r>
              <w:rPr>
                <w:sz w:val="16"/>
              </w:rPr>
            </w:r>
          </w:p>
        </w:tc>
        <w:tc>
          <w:tcPr>
            <w:tcW w:w="60" w:type="dxa"/>
            <w:tcBorders/>
            <w:vAlign w:val="center"/>
          </w:tcPr>
          <w:p>
            <w:pPr>
              <w:pStyle w:val="TableContents"/>
              <w:bidi w:val="0"/>
              <w:spacing w:before="0" w:after="0"/>
              <w:jc w:val="left"/>
              <w:rPr/>
            </w:pPr>
            <w:r>
              <w:rPr/>
              <w:t> </w:t>
            </w:r>
          </w:p>
        </w:tc>
        <w:tc>
          <w:tcPr>
            <w:tcW w:w="1414" w:type="dxa"/>
            <w:gridSpan w:val="2"/>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December 31, 2023</w:t>
            </w:r>
          </w:p>
        </w:tc>
        <w:tc>
          <w:tcPr>
            <w:tcW w:w="95" w:type="dxa"/>
            <w:tcBorders/>
            <w:vAlign w:val="center"/>
          </w:tcPr>
          <w:p>
            <w:pPr>
              <w:pStyle w:val="TableContents"/>
              <w:bidi w:val="0"/>
              <w:spacing w:before="0" w:after="0"/>
              <w:jc w:val="center"/>
              <w:rPr>
                <w:sz w:val="16"/>
              </w:rPr>
            </w:pPr>
            <w:r>
              <w:rPr>
                <w:sz w:val="16"/>
              </w:rPr>
            </w:r>
          </w:p>
        </w:tc>
      </w:tr>
      <w:tr>
        <w:trPr/>
        <w:tc>
          <w:tcPr>
            <w:tcW w:w="6560"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Credit Facility:</w:t>
            </w:r>
          </w:p>
        </w:tc>
        <w:tc>
          <w:tcPr>
            <w:tcW w:w="60" w:type="dxa"/>
            <w:tcBorders/>
            <w:shd w:fill="CCEEFF" w:val="clear"/>
            <w:vAlign w:val="center"/>
          </w:tcPr>
          <w:p>
            <w:pPr>
              <w:pStyle w:val="TableContents"/>
              <w:bidi w:val="0"/>
              <w:spacing w:before="0" w:after="0"/>
              <w:jc w:val="left"/>
              <w:rPr/>
            </w:pPr>
            <w:r>
              <w:rPr/>
              <w:t> </w:t>
            </w:r>
          </w:p>
        </w:tc>
        <w:tc>
          <w:tcPr>
            <w:tcW w:w="1134" w:type="dxa"/>
            <w:gridSpan w:val="3"/>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509" w:type="dxa"/>
            <w:gridSpan w:val="3"/>
            <w:tcBorders/>
            <w:shd w:fill="CCEEFF" w:val="clear"/>
            <w:vAlign w:val="center"/>
          </w:tcPr>
          <w:p>
            <w:pPr>
              <w:pStyle w:val="TableContents"/>
              <w:bidi w:val="0"/>
              <w:spacing w:before="0" w:after="0"/>
              <w:jc w:val="left"/>
              <w:rPr/>
            </w:pPr>
            <w:r>
              <w:rPr/>
              <w:t> </w:t>
            </w:r>
          </w:p>
        </w:tc>
      </w:tr>
      <w:tr>
        <w:trPr/>
        <w:tc>
          <w:tcPr>
            <w:tcW w:w="6560"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Revolving credit agreement</w:t>
            </w:r>
          </w:p>
        </w:tc>
        <w:tc>
          <w:tcPr>
            <w:tcW w:w="60" w:type="dxa"/>
            <w:tcBorders/>
            <w:vAlign w:val="center"/>
          </w:tcPr>
          <w:p>
            <w:pPr>
              <w:pStyle w:val="TableContents"/>
              <w:bidi w:val="0"/>
              <w:spacing w:before="0" w:after="0"/>
              <w:jc w:val="left"/>
              <w:rPr/>
            </w:pPr>
            <w:r>
              <w:rPr/>
              <w:t> </w:t>
            </w:r>
          </w:p>
        </w:tc>
        <w:tc>
          <w:tcPr>
            <w:tcW w:w="171"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868"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396.6</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232"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1182"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536.9</w:t>
            </w:r>
          </w:p>
        </w:tc>
        <w:tc>
          <w:tcPr>
            <w:tcW w:w="95" w:type="dxa"/>
            <w:tcBorders/>
            <w:vAlign w:val="center"/>
          </w:tcPr>
          <w:p>
            <w:pPr>
              <w:pStyle w:val="TableContents"/>
              <w:bidi w:val="0"/>
              <w:spacing w:before="0" w:after="283"/>
              <w:jc w:val="left"/>
              <w:rPr>
                <w:sz w:val="4"/>
                <w:szCs w:val="4"/>
              </w:rPr>
            </w:pPr>
            <w:r>
              <w:rPr>
                <w:sz w:val="4"/>
                <w:szCs w:val="4"/>
              </w:rPr>
            </w:r>
          </w:p>
        </w:tc>
      </w:tr>
      <w:tr>
        <w:trPr/>
        <w:tc>
          <w:tcPr>
            <w:tcW w:w="6560"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Notes:</w:t>
            </w:r>
          </w:p>
        </w:tc>
        <w:tc>
          <w:tcPr>
            <w:tcW w:w="60" w:type="dxa"/>
            <w:tcBorders/>
            <w:shd w:fill="CCEEFF" w:val="clear"/>
            <w:vAlign w:val="center"/>
          </w:tcPr>
          <w:p>
            <w:pPr>
              <w:pStyle w:val="TableContents"/>
              <w:bidi w:val="0"/>
              <w:spacing w:before="0" w:after="0"/>
              <w:jc w:val="left"/>
              <w:rPr/>
            </w:pPr>
            <w:r>
              <w:rPr/>
              <w:t> </w:t>
            </w:r>
          </w:p>
        </w:tc>
        <w:tc>
          <w:tcPr>
            <w:tcW w:w="1134" w:type="dxa"/>
            <w:gridSpan w:val="3"/>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509" w:type="dxa"/>
            <w:gridSpan w:val="3"/>
            <w:tcBorders/>
            <w:shd w:fill="CCEEFF" w:val="clear"/>
            <w:vAlign w:val="center"/>
          </w:tcPr>
          <w:p>
            <w:pPr>
              <w:pStyle w:val="TableContents"/>
              <w:bidi w:val="0"/>
              <w:spacing w:before="0" w:after="0"/>
              <w:jc w:val="left"/>
              <w:rPr/>
            </w:pPr>
            <w:r>
              <w:rPr/>
              <w:t> </w:t>
            </w:r>
          </w:p>
        </w:tc>
      </w:tr>
      <w:tr>
        <w:trPr/>
        <w:tc>
          <w:tcPr>
            <w:tcW w:w="6560"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0.75% Convertible Notes, unsecured, due 2049</w:t>
            </w:r>
          </w:p>
        </w:tc>
        <w:tc>
          <w:tcPr>
            <w:tcW w:w="60" w:type="dxa"/>
            <w:tcBorders/>
            <w:vAlign w:val="center"/>
          </w:tcPr>
          <w:p>
            <w:pPr>
              <w:pStyle w:val="TableContents"/>
              <w:bidi w:val="0"/>
              <w:spacing w:before="0" w:after="0"/>
              <w:jc w:val="left"/>
              <w:rPr/>
            </w:pPr>
            <w:r>
              <w:rPr/>
              <w:t> </w:t>
            </w:r>
          </w:p>
        </w:tc>
        <w:tc>
          <w:tcPr>
            <w:tcW w:w="1039"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525.0</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1414"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525.0</w:t>
            </w:r>
          </w:p>
        </w:tc>
        <w:tc>
          <w:tcPr>
            <w:tcW w:w="95" w:type="dxa"/>
            <w:tcBorders/>
            <w:vAlign w:val="center"/>
          </w:tcPr>
          <w:p>
            <w:pPr>
              <w:pStyle w:val="TableContents"/>
              <w:bidi w:val="0"/>
              <w:spacing w:before="0" w:after="283"/>
              <w:jc w:val="left"/>
              <w:rPr>
                <w:sz w:val="4"/>
                <w:szCs w:val="4"/>
              </w:rPr>
            </w:pPr>
            <w:r>
              <w:rPr>
                <w:sz w:val="4"/>
                <w:szCs w:val="4"/>
              </w:rPr>
            </w:r>
          </w:p>
        </w:tc>
      </w:tr>
      <w:tr>
        <w:trPr/>
        <w:tc>
          <w:tcPr>
            <w:tcW w:w="6560" w:type="dxa"/>
            <w:tcBorders/>
            <w:shd w:fill="CCEEFF" w:val="clear"/>
            <w:vAlign w:val="center"/>
          </w:tcPr>
          <w:p>
            <w:pPr>
              <w:pStyle w:val="TableContents"/>
              <w:bidi w:val="0"/>
              <w:spacing w:before="0" w:after="283"/>
              <w:jc w:val="left"/>
              <w:rPr/>
            </w:pPr>
            <w:r>
              <w:rPr/>
            </w:r>
          </w:p>
        </w:tc>
        <w:tc>
          <w:tcPr>
            <w:tcW w:w="60" w:type="dxa"/>
            <w:tcBorders/>
            <w:shd w:fill="CCEEFF" w:val="clear"/>
            <w:vAlign w:val="center"/>
          </w:tcPr>
          <w:p>
            <w:pPr>
              <w:pStyle w:val="TableContents"/>
              <w:bidi w:val="0"/>
              <w:spacing w:before="0" w:after="283"/>
              <w:jc w:val="left"/>
              <w:rPr/>
            </w:pPr>
            <w:r>
              <w:rPr/>
            </w:r>
          </w:p>
        </w:tc>
        <w:tc>
          <w:tcPr>
            <w:tcW w:w="1134" w:type="dxa"/>
            <w:gridSpan w:val="3"/>
            <w:tcBorders/>
            <w:shd w:fill="CCEEFF" w:val="clear"/>
            <w:vAlign w:val="center"/>
          </w:tcPr>
          <w:p>
            <w:pPr>
              <w:pStyle w:val="TableContents"/>
              <w:bidi w:val="0"/>
              <w:spacing w:before="0" w:after="283"/>
              <w:jc w:val="left"/>
              <w:rPr/>
            </w:pPr>
            <w:r>
              <w:rPr/>
            </w:r>
          </w:p>
        </w:tc>
        <w:tc>
          <w:tcPr>
            <w:tcW w:w="60" w:type="dxa"/>
            <w:tcBorders/>
            <w:shd w:fill="CCEEFF" w:val="clear"/>
            <w:vAlign w:val="center"/>
          </w:tcPr>
          <w:p>
            <w:pPr>
              <w:pStyle w:val="TableContents"/>
              <w:bidi w:val="0"/>
              <w:spacing w:before="0" w:after="283"/>
              <w:jc w:val="left"/>
              <w:rPr/>
            </w:pPr>
            <w:r>
              <w:rPr/>
            </w:r>
          </w:p>
        </w:tc>
        <w:tc>
          <w:tcPr>
            <w:tcW w:w="1509" w:type="dxa"/>
            <w:gridSpan w:val="3"/>
            <w:tcBorders/>
            <w:shd w:fill="CCEEFF" w:val="clear"/>
            <w:vAlign w:val="center"/>
          </w:tcPr>
          <w:p>
            <w:pPr>
              <w:pStyle w:val="TableContents"/>
              <w:bidi w:val="0"/>
              <w:spacing w:before="0" w:after="283"/>
              <w:jc w:val="left"/>
              <w:rPr/>
            </w:pPr>
            <w:r>
              <w:rPr/>
            </w:r>
          </w:p>
        </w:tc>
      </w:tr>
      <w:tr>
        <w:trPr/>
        <w:tc>
          <w:tcPr>
            <w:tcW w:w="6560"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1.375% Senior Notes, due 2026</w:t>
            </w:r>
          </w:p>
        </w:tc>
        <w:tc>
          <w:tcPr>
            <w:tcW w:w="60" w:type="dxa"/>
            <w:tcBorders/>
            <w:vAlign w:val="center"/>
          </w:tcPr>
          <w:p>
            <w:pPr>
              <w:pStyle w:val="TableContents"/>
              <w:bidi w:val="0"/>
              <w:spacing w:before="0" w:after="0"/>
              <w:jc w:val="left"/>
              <w:rPr/>
            </w:pPr>
            <w:r>
              <w:rPr/>
              <w:t> </w:t>
            </w:r>
          </w:p>
        </w:tc>
        <w:tc>
          <w:tcPr>
            <w:tcW w:w="1039"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642.6</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1414"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662.2</w:t>
            </w:r>
          </w:p>
        </w:tc>
        <w:tc>
          <w:tcPr>
            <w:tcW w:w="95" w:type="dxa"/>
            <w:tcBorders/>
            <w:vAlign w:val="center"/>
          </w:tcPr>
          <w:p>
            <w:pPr>
              <w:pStyle w:val="TableContents"/>
              <w:bidi w:val="0"/>
              <w:spacing w:before="0" w:after="283"/>
              <w:jc w:val="left"/>
              <w:rPr>
                <w:sz w:val="4"/>
                <w:szCs w:val="4"/>
              </w:rPr>
            </w:pPr>
            <w:r>
              <w:rPr>
                <w:sz w:val="4"/>
                <w:szCs w:val="4"/>
              </w:rPr>
            </w:r>
          </w:p>
        </w:tc>
      </w:tr>
      <w:tr>
        <w:trPr/>
        <w:tc>
          <w:tcPr>
            <w:tcW w:w="6560" w:type="dxa"/>
            <w:tcBorders/>
            <w:shd w:fill="CCEEFF" w:val="clear"/>
            <w:vAlign w:val="center"/>
          </w:tcPr>
          <w:p>
            <w:pPr>
              <w:pStyle w:val="TableContents"/>
              <w:bidi w:val="0"/>
              <w:spacing w:before="0" w:after="283"/>
              <w:jc w:val="left"/>
              <w:rPr/>
            </w:pPr>
            <w:r>
              <w:rPr/>
            </w:r>
          </w:p>
        </w:tc>
        <w:tc>
          <w:tcPr>
            <w:tcW w:w="60" w:type="dxa"/>
            <w:tcBorders/>
            <w:shd w:fill="CCEEFF" w:val="clear"/>
            <w:vAlign w:val="center"/>
          </w:tcPr>
          <w:p>
            <w:pPr>
              <w:pStyle w:val="TableContents"/>
              <w:bidi w:val="0"/>
              <w:spacing w:before="0" w:after="283"/>
              <w:jc w:val="left"/>
              <w:rPr/>
            </w:pPr>
            <w:r>
              <w:rPr/>
            </w:r>
          </w:p>
        </w:tc>
        <w:tc>
          <w:tcPr>
            <w:tcW w:w="1134" w:type="dxa"/>
            <w:gridSpan w:val="3"/>
            <w:tcBorders/>
            <w:shd w:fill="CCEEFF" w:val="clear"/>
            <w:vAlign w:val="center"/>
          </w:tcPr>
          <w:p>
            <w:pPr>
              <w:pStyle w:val="TableContents"/>
              <w:bidi w:val="0"/>
              <w:spacing w:before="0" w:after="283"/>
              <w:jc w:val="left"/>
              <w:rPr/>
            </w:pPr>
            <w:r>
              <w:rPr/>
            </w:r>
          </w:p>
        </w:tc>
        <w:tc>
          <w:tcPr>
            <w:tcW w:w="60" w:type="dxa"/>
            <w:tcBorders/>
            <w:shd w:fill="CCEEFF" w:val="clear"/>
            <w:vAlign w:val="center"/>
          </w:tcPr>
          <w:p>
            <w:pPr>
              <w:pStyle w:val="TableContents"/>
              <w:bidi w:val="0"/>
              <w:spacing w:before="0" w:after="283"/>
              <w:jc w:val="left"/>
              <w:rPr/>
            </w:pPr>
            <w:r>
              <w:rPr/>
            </w:r>
          </w:p>
        </w:tc>
        <w:tc>
          <w:tcPr>
            <w:tcW w:w="1509" w:type="dxa"/>
            <w:gridSpan w:val="3"/>
            <w:tcBorders/>
            <w:shd w:fill="CCEEFF" w:val="clear"/>
            <w:vAlign w:val="center"/>
          </w:tcPr>
          <w:p>
            <w:pPr>
              <w:pStyle w:val="TableContents"/>
              <w:bidi w:val="0"/>
              <w:spacing w:before="0" w:after="283"/>
              <w:jc w:val="left"/>
              <w:rPr/>
            </w:pPr>
            <w:r>
              <w:rPr/>
            </w:r>
          </w:p>
        </w:tc>
      </w:tr>
      <w:tr>
        <w:trPr/>
        <w:tc>
          <w:tcPr>
            <w:tcW w:w="6560" w:type="dxa"/>
            <w:tcBorders/>
            <w:vAlign w:val="center"/>
          </w:tcPr>
          <w:p>
            <w:pPr>
              <w:pStyle w:val="TableContents"/>
              <w:bidi w:val="0"/>
              <w:spacing w:before="0" w:after="0"/>
              <w:jc w:val="left"/>
              <w:rPr>
                <w:sz w:val="20"/>
              </w:rPr>
            </w:pPr>
            <w:r>
              <w:rPr>
                <w:sz w:val="20"/>
              </w:rPr>
              <w:t>Uncommitted credit agreements</w:t>
            </w:r>
          </w:p>
        </w:tc>
        <w:tc>
          <w:tcPr>
            <w:tcW w:w="60" w:type="dxa"/>
            <w:tcBorders/>
            <w:vAlign w:val="center"/>
          </w:tcPr>
          <w:p>
            <w:pPr>
              <w:pStyle w:val="TableContents"/>
              <w:bidi w:val="0"/>
              <w:spacing w:before="0" w:after="0"/>
              <w:jc w:val="left"/>
              <w:rPr>
                <w:sz w:val="20"/>
              </w:rPr>
            </w:pPr>
            <w:r>
              <w:rPr>
                <w:sz w:val="20"/>
              </w:rPr>
            </w:r>
          </w:p>
        </w:tc>
        <w:tc>
          <w:tcPr>
            <w:tcW w:w="1039" w:type="dxa"/>
            <w:gridSpan w:val="2"/>
            <w:tcBorders/>
            <w:vAlign w:val="center"/>
          </w:tcPr>
          <w:p>
            <w:pPr>
              <w:pStyle w:val="TableContents"/>
              <w:bidi w:val="0"/>
              <w:spacing w:before="0" w:after="283"/>
              <w:jc w:val="right"/>
              <w:rPr/>
            </w:pPr>
            <w:r>
              <w:rPr/>
              <w:t>700.0</w:t>
            </w:r>
          </w:p>
        </w:tc>
        <w:tc>
          <w:tcPr>
            <w:tcW w:w="95"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0"/>
              <w:jc w:val="left"/>
              <w:rPr>
                <w:sz w:val="20"/>
              </w:rPr>
            </w:pPr>
            <w:r>
              <w:rPr>
                <w:sz w:val="20"/>
              </w:rPr>
            </w:r>
          </w:p>
        </w:tc>
        <w:tc>
          <w:tcPr>
            <w:tcW w:w="1414" w:type="dxa"/>
            <w:gridSpan w:val="2"/>
            <w:tcBorders/>
            <w:vAlign w:val="center"/>
          </w:tcPr>
          <w:p>
            <w:pPr>
              <w:pStyle w:val="TableContents"/>
              <w:bidi w:val="0"/>
              <w:spacing w:before="0" w:after="0"/>
              <w:jc w:val="right"/>
              <w:rPr>
                <w:sz w:val="20"/>
              </w:rPr>
            </w:pPr>
            <w:r>
              <w:rPr>
                <w:sz w:val="20"/>
              </w:rPr>
              <w:t>150.0</w:t>
            </w:r>
          </w:p>
        </w:tc>
        <w:tc>
          <w:tcPr>
            <w:tcW w:w="95" w:type="dxa"/>
            <w:tcBorders/>
            <w:vAlign w:val="center"/>
          </w:tcPr>
          <w:p>
            <w:pPr>
              <w:pStyle w:val="TableContents"/>
              <w:bidi w:val="0"/>
              <w:spacing w:before="0" w:after="283"/>
              <w:jc w:val="left"/>
              <w:rPr/>
            </w:pPr>
            <w:r>
              <w:rPr/>
            </w:r>
          </w:p>
        </w:tc>
      </w:tr>
      <w:tr>
        <w:trPr/>
        <w:tc>
          <w:tcPr>
            <w:tcW w:w="6560" w:type="dxa"/>
            <w:tcBorders/>
            <w:shd w:fill="CCEEFF" w:val="clear"/>
            <w:vAlign w:val="center"/>
          </w:tcPr>
          <w:p>
            <w:pPr>
              <w:pStyle w:val="TableContents"/>
              <w:bidi w:val="0"/>
              <w:spacing w:before="0" w:after="0"/>
              <w:jc w:val="left"/>
              <w:rPr>
                <w:sz w:val="20"/>
              </w:rPr>
            </w:pPr>
            <w:r>
              <w:rPr>
                <w:sz w:val="20"/>
              </w:rPr>
            </w:r>
          </w:p>
        </w:tc>
        <w:tc>
          <w:tcPr>
            <w:tcW w:w="60" w:type="dxa"/>
            <w:tcBorders/>
            <w:shd w:fill="CCEEFF" w:val="clear"/>
            <w:vAlign w:val="center"/>
          </w:tcPr>
          <w:p>
            <w:pPr>
              <w:pStyle w:val="TableContents"/>
              <w:bidi w:val="0"/>
              <w:spacing w:before="0" w:after="0"/>
              <w:jc w:val="left"/>
              <w:rPr>
                <w:sz w:val="20"/>
              </w:rPr>
            </w:pPr>
            <w:r>
              <w:rPr>
                <w:sz w:val="20"/>
              </w:rPr>
            </w:r>
          </w:p>
        </w:tc>
        <w:tc>
          <w:tcPr>
            <w:tcW w:w="1039" w:type="dxa"/>
            <w:gridSpan w:val="2"/>
            <w:tcBorders/>
            <w:shd w:fill="CCEEFF" w:val="clear"/>
            <w:vAlign w:val="center"/>
          </w:tcPr>
          <w:p>
            <w:pPr>
              <w:pStyle w:val="TableContents"/>
              <w:bidi w:val="0"/>
              <w:spacing w:before="0" w:after="0"/>
              <w:jc w:val="right"/>
              <w:rPr>
                <w:sz w:val="20"/>
              </w:rPr>
            </w:pPr>
            <w:r>
              <w:rPr>
                <w:sz w:val="20"/>
              </w:rPr>
            </w:r>
          </w:p>
        </w:tc>
        <w:tc>
          <w:tcPr>
            <w:tcW w:w="95" w:type="dxa"/>
            <w:tcBorders/>
            <w:shd w:fill="CCEEFF" w:val="clear"/>
            <w:vAlign w:val="center"/>
          </w:tcPr>
          <w:p>
            <w:pPr>
              <w:pStyle w:val="TableContents"/>
              <w:bidi w:val="0"/>
              <w:spacing w:before="0" w:after="283"/>
              <w:jc w:val="left"/>
              <w:rPr/>
            </w:pPr>
            <w:r>
              <w:rPr/>
            </w:r>
          </w:p>
        </w:tc>
        <w:tc>
          <w:tcPr>
            <w:tcW w:w="60" w:type="dxa"/>
            <w:tcBorders/>
            <w:shd w:fill="CCEEFF" w:val="clear"/>
            <w:vAlign w:val="center"/>
          </w:tcPr>
          <w:p>
            <w:pPr>
              <w:pStyle w:val="TableContents"/>
              <w:bidi w:val="0"/>
              <w:spacing w:before="0" w:after="0"/>
              <w:jc w:val="left"/>
              <w:rPr>
                <w:sz w:val="20"/>
              </w:rPr>
            </w:pPr>
            <w:r>
              <w:rPr>
                <w:sz w:val="20"/>
              </w:rPr>
            </w:r>
          </w:p>
        </w:tc>
        <w:tc>
          <w:tcPr>
            <w:tcW w:w="1414" w:type="dxa"/>
            <w:gridSpan w:val="2"/>
            <w:tcBorders/>
            <w:shd w:fill="CCEEFF" w:val="clear"/>
            <w:vAlign w:val="center"/>
          </w:tcPr>
          <w:p>
            <w:pPr>
              <w:pStyle w:val="TableContents"/>
              <w:bidi w:val="0"/>
              <w:spacing w:before="0" w:after="0"/>
              <w:jc w:val="right"/>
              <w:rPr>
                <w:sz w:val="20"/>
              </w:rPr>
            </w:pPr>
            <w:r>
              <w:rPr>
                <w:sz w:val="20"/>
              </w:rPr>
            </w:r>
          </w:p>
        </w:tc>
        <w:tc>
          <w:tcPr>
            <w:tcW w:w="95" w:type="dxa"/>
            <w:tcBorders/>
            <w:shd w:fill="CCEEFF" w:val="clear"/>
            <w:vAlign w:val="center"/>
          </w:tcPr>
          <w:p>
            <w:pPr>
              <w:pStyle w:val="TableContents"/>
              <w:bidi w:val="0"/>
              <w:spacing w:before="0" w:after="283"/>
              <w:jc w:val="left"/>
              <w:rPr/>
            </w:pPr>
            <w:r>
              <w:rPr/>
            </w:r>
          </w:p>
        </w:tc>
      </w:tr>
      <w:tr>
        <w:trPr/>
        <w:tc>
          <w:tcPr>
            <w:tcW w:w="6560"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Other obligations</w:t>
            </w:r>
          </w:p>
        </w:tc>
        <w:tc>
          <w:tcPr>
            <w:tcW w:w="60" w:type="dxa"/>
            <w:tcBorders/>
            <w:vAlign w:val="center"/>
          </w:tcPr>
          <w:p>
            <w:pPr>
              <w:pStyle w:val="TableContents"/>
              <w:bidi w:val="0"/>
              <w:spacing w:before="0" w:after="0"/>
              <w:jc w:val="left"/>
              <w:rPr/>
            </w:pPr>
            <w:r>
              <w:rPr/>
              <w:t> </w:t>
            </w:r>
          </w:p>
        </w:tc>
        <w:tc>
          <w:tcPr>
            <w:tcW w:w="1039" w:type="dxa"/>
            <w:gridSpan w:val="2"/>
            <w:tcBorders/>
            <w:vAlign w:val="center"/>
          </w:tcPr>
          <w:p>
            <w:pPr>
              <w:pStyle w:val="TableContents"/>
              <w:bidi w:val="0"/>
              <w:spacing w:before="0" w:after="283"/>
              <w:jc w:val="right"/>
              <w:rPr/>
            </w:pPr>
            <w:r>
              <w:rPr/>
              <w:t>8.9</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1414"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0.3</w:t>
            </w:r>
          </w:p>
        </w:tc>
        <w:tc>
          <w:tcPr>
            <w:tcW w:w="95" w:type="dxa"/>
            <w:tcBorders/>
            <w:vAlign w:val="center"/>
          </w:tcPr>
          <w:p>
            <w:pPr>
              <w:pStyle w:val="TableContents"/>
              <w:bidi w:val="0"/>
              <w:spacing w:before="0" w:after="283"/>
              <w:jc w:val="left"/>
              <w:rPr>
                <w:sz w:val="4"/>
                <w:szCs w:val="4"/>
              </w:rPr>
            </w:pPr>
            <w:r>
              <w:rPr>
                <w:sz w:val="4"/>
                <w:szCs w:val="4"/>
              </w:rPr>
            </w:r>
          </w:p>
        </w:tc>
      </w:tr>
      <w:tr>
        <w:trPr/>
        <w:tc>
          <w:tcPr>
            <w:tcW w:w="6560" w:type="dxa"/>
            <w:tcBorders/>
            <w:shd w:fill="CCEEFF" w:val="clear"/>
            <w:vAlign w:val="center"/>
          </w:tcPr>
          <w:p>
            <w:pPr>
              <w:pStyle w:val="TableContents"/>
              <w:bidi w:val="0"/>
              <w:spacing w:before="0" w:after="283"/>
              <w:jc w:val="left"/>
              <w:rPr/>
            </w:pPr>
            <w:r>
              <w:rPr/>
            </w:r>
          </w:p>
        </w:tc>
        <w:tc>
          <w:tcPr>
            <w:tcW w:w="60" w:type="dxa"/>
            <w:tcBorders/>
            <w:shd w:fill="CCEEFF" w:val="clear"/>
            <w:vAlign w:val="center"/>
          </w:tcPr>
          <w:p>
            <w:pPr>
              <w:pStyle w:val="TableContents"/>
              <w:bidi w:val="0"/>
              <w:spacing w:before="0" w:after="283"/>
              <w:jc w:val="left"/>
              <w:rPr/>
            </w:pPr>
            <w:r>
              <w:rPr/>
            </w:r>
          </w:p>
        </w:tc>
        <w:tc>
          <w:tcPr>
            <w:tcW w:w="171" w:type="dxa"/>
            <w:tcBorders/>
            <w:shd w:fill="CCEEFF" w:val="clear"/>
            <w:vAlign w:val="center"/>
          </w:tcPr>
          <w:p>
            <w:pPr>
              <w:pStyle w:val="TableContents"/>
              <w:bidi w:val="0"/>
              <w:spacing w:before="0" w:after="283"/>
              <w:jc w:val="left"/>
              <w:rPr/>
            </w:pPr>
            <w:r>
              <w:rPr/>
            </w:r>
          </w:p>
        </w:tc>
        <w:tc>
          <w:tcPr>
            <w:tcW w:w="868" w:type="dxa"/>
            <w:tcBorders/>
            <w:shd w:fill="CCEEFF" w:val="clear"/>
            <w:vAlign w:val="center"/>
          </w:tcPr>
          <w:p>
            <w:pPr>
              <w:pStyle w:val="TableContents"/>
              <w:bidi w:val="0"/>
              <w:spacing w:before="0" w:after="283"/>
              <w:jc w:val="left"/>
              <w:rPr/>
            </w:pPr>
            <w:r>
              <w:rPr/>
            </w:r>
          </w:p>
        </w:tc>
        <w:tc>
          <w:tcPr>
            <w:tcW w:w="95" w:type="dxa"/>
            <w:tcBorders/>
            <w:shd w:fill="CCEEFF" w:val="clear"/>
            <w:vAlign w:val="center"/>
          </w:tcPr>
          <w:p>
            <w:pPr>
              <w:pStyle w:val="TableContents"/>
              <w:bidi w:val="0"/>
              <w:spacing w:before="0" w:after="283"/>
              <w:jc w:val="left"/>
              <w:rPr/>
            </w:pPr>
            <w:r>
              <w:rPr/>
            </w:r>
          </w:p>
        </w:tc>
        <w:tc>
          <w:tcPr>
            <w:tcW w:w="60" w:type="dxa"/>
            <w:tcBorders/>
            <w:shd w:fill="CCEEFF" w:val="clear"/>
            <w:vAlign w:val="center"/>
          </w:tcPr>
          <w:p>
            <w:pPr>
              <w:pStyle w:val="TableContents"/>
              <w:bidi w:val="0"/>
              <w:spacing w:before="0" w:after="283"/>
              <w:jc w:val="left"/>
              <w:rPr/>
            </w:pPr>
            <w:r>
              <w:rPr/>
            </w:r>
          </w:p>
        </w:tc>
        <w:tc>
          <w:tcPr>
            <w:tcW w:w="232" w:type="dxa"/>
            <w:tcBorders/>
            <w:shd w:fill="CCEEFF" w:val="clear"/>
            <w:vAlign w:val="center"/>
          </w:tcPr>
          <w:p>
            <w:pPr>
              <w:pStyle w:val="TableContents"/>
              <w:bidi w:val="0"/>
              <w:spacing w:before="0" w:after="283"/>
              <w:jc w:val="left"/>
              <w:rPr/>
            </w:pPr>
            <w:r>
              <w:rPr/>
            </w:r>
          </w:p>
        </w:tc>
        <w:tc>
          <w:tcPr>
            <w:tcW w:w="1182" w:type="dxa"/>
            <w:tcBorders/>
            <w:shd w:fill="CCEEFF" w:val="clear"/>
            <w:vAlign w:val="center"/>
          </w:tcPr>
          <w:p>
            <w:pPr>
              <w:pStyle w:val="TableContents"/>
              <w:bidi w:val="0"/>
              <w:spacing w:before="0" w:after="283"/>
              <w:jc w:val="left"/>
              <w:rPr/>
            </w:pPr>
            <w:r>
              <w:rPr/>
            </w:r>
          </w:p>
        </w:tc>
        <w:tc>
          <w:tcPr>
            <w:tcW w:w="95" w:type="dxa"/>
            <w:tcBorders/>
            <w:shd w:fill="CCEEFF" w:val="clear"/>
            <w:vAlign w:val="center"/>
          </w:tcPr>
          <w:p>
            <w:pPr>
              <w:pStyle w:val="TableContents"/>
              <w:bidi w:val="0"/>
              <w:spacing w:before="0" w:after="283"/>
              <w:jc w:val="left"/>
              <w:rPr/>
            </w:pPr>
            <w:r>
              <w:rPr/>
            </w:r>
          </w:p>
        </w:tc>
      </w:tr>
      <w:tr>
        <w:trPr/>
        <w:tc>
          <w:tcPr>
            <w:tcW w:w="6560"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Total debt obligations</w:t>
            </w:r>
          </w:p>
        </w:tc>
        <w:tc>
          <w:tcPr>
            <w:tcW w:w="60" w:type="dxa"/>
            <w:tcBorders/>
            <w:vAlign w:val="center"/>
          </w:tcPr>
          <w:p>
            <w:pPr>
              <w:pStyle w:val="TableContents"/>
              <w:bidi w:val="0"/>
              <w:spacing w:before="0" w:after="0"/>
              <w:jc w:val="left"/>
              <w:rPr/>
            </w:pPr>
            <w:r>
              <w:rPr/>
              <w:t> </w:t>
            </w:r>
          </w:p>
        </w:tc>
        <w:tc>
          <w:tcPr>
            <w:tcW w:w="1039"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2,273.1</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1414"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1,874.4</w:t>
            </w:r>
          </w:p>
        </w:tc>
        <w:tc>
          <w:tcPr>
            <w:tcW w:w="95" w:type="dxa"/>
            <w:tcBorders/>
            <w:vAlign w:val="center"/>
          </w:tcPr>
          <w:p>
            <w:pPr>
              <w:pStyle w:val="TableContents"/>
              <w:bidi w:val="0"/>
              <w:spacing w:before="0" w:after="283"/>
              <w:jc w:val="left"/>
              <w:rPr>
                <w:sz w:val="4"/>
                <w:szCs w:val="4"/>
              </w:rPr>
            </w:pPr>
            <w:r>
              <w:rPr>
                <w:sz w:val="4"/>
                <w:szCs w:val="4"/>
              </w:rPr>
            </w:r>
          </w:p>
        </w:tc>
      </w:tr>
      <w:tr>
        <w:trPr/>
        <w:tc>
          <w:tcPr>
            <w:tcW w:w="6560"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Unamortized debt issuance costs</w:t>
            </w:r>
          </w:p>
        </w:tc>
        <w:tc>
          <w:tcPr>
            <w:tcW w:w="60" w:type="dxa"/>
            <w:tcBorders/>
            <w:shd w:fill="CCEEFF" w:val="clear"/>
            <w:vAlign w:val="center"/>
          </w:tcPr>
          <w:p>
            <w:pPr>
              <w:pStyle w:val="TableContents"/>
              <w:bidi w:val="0"/>
              <w:spacing w:before="0" w:after="0"/>
              <w:jc w:val="left"/>
              <w:rPr/>
            </w:pPr>
            <w:r>
              <w:rPr/>
              <w:t> </w:t>
            </w:r>
          </w:p>
        </w:tc>
        <w:tc>
          <w:tcPr>
            <w:tcW w:w="1039"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0"/>
              <w:jc w:val="left"/>
              <w:rPr/>
            </w:pPr>
            <w:r>
              <w:rPr/>
              <w:t> </w:t>
            </w:r>
          </w:p>
        </w:tc>
        <w:tc>
          <w:tcPr>
            <w:tcW w:w="1414"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(8.7</w:t>
            </w:r>
          </w:p>
        </w:tc>
        <w:tc>
          <w:tcPr>
            <w:tcW w:w="95"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r>
      <w:tr>
        <w:trPr/>
        <w:tc>
          <w:tcPr>
            <w:tcW w:w="6560"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Carrying value of debt</w:t>
            </w:r>
          </w:p>
        </w:tc>
        <w:tc>
          <w:tcPr>
            <w:tcW w:w="60" w:type="dxa"/>
            <w:tcBorders/>
            <w:vAlign w:val="center"/>
          </w:tcPr>
          <w:p>
            <w:pPr>
              <w:pStyle w:val="TableContents"/>
              <w:bidi w:val="0"/>
              <w:spacing w:before="0" w:after="0"/>
              <w:jc w:val="left"/>
              <w:rPr/>
            </w:pPr>
            <w:r>
              <w:rPr/>
              <w:t> </w:t>
            </w:r>
          </w:p>
        </w:tc>
        <w:tc>
          <w:tcPr>
            <w:tcW w:w="1039"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2,266.5</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1414"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1,865.7</w:t>
            </w:r>
          </w:p>
        </w:tc>
        <w:tc>
          <w:tcPr>
            <w:tcW w:w="95" w:type="dxa"/>
            <w:tcBorders/>
            <w:vAlign w:val="center"/>
          </w:tcPr>
          <w:p>
            <w:pPr>
              <w:pStyle w:val="TableContents"/>
              <w:bidi w:val="0"/>
              <w:spacing w:before="0" w:after="283"/>
              <w:jc w:val="left"/>
              <w:rPr>
                <w:sz w:val="4"/>
                <w:szCs w:val="4"/>
              </w:rPr>
            </w:pPr>
            <w:r>
              <w:rPr>
                <w:sz w:val="4"/>
                <w:szCs w:val="4"/>
              </w:rPr>
            </w:r>
          </w:p>
        </w:tc>
      </w:tr>
      <w:tr>
        <w:trPr/>
        <w:tc>
          <w:tcPr>
            <w:tcW w:w="6560"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Short-term debt obligations and current maturities of long-term debt obligations </w:t>
            </w:r>
          </w:p>
        </w:tc>
        <w:tc>
          <w:tcPr>
            <w:tcW w:w="60" w:type="dxa"/>
            <w:tcBorders/>
            <w:shd w:fill="CCEEFF" w:val="clear"/>
            <w:vAlign w:val="center"/>
          </w:tcPr>
          <w:p>
            <w:pPr>
              <w:pStyle w:val="TableContents"/>
              <w:bidi w:val="0"/>
              <w:spacing w:before="0" w:after="0"/>
              <w:jc w:val="left"/>
              <w:rPr/>
            </w:pPr>
            <w:r>
              <w:rPr/>
              <w:t> </w:t>
            </w:r>
          </w:p>
        </w:tc>
        <w:tc>
          <w:tcPr>
            <w:tcW w:w="1039"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(1,233.8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0"/>
              <w:jc w:val="left"/>
              <w:rPr/>
            </w:pPr>
            <w:r>
              <w:rPr/>
              <w:t> </w:t>
            </w:r>
          </w:p>
        </w:tc>
        <w:tc>
          <w:tcPr>
            <w:tcW w:w="1414"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(150.3</w:t>
            </w:r>
          </w:p>
        </w:tc>
        <w:tc>
          <w:tcPr>
            <w:tcW w:w="95"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r>
      <w:tr>
        <w:trPr/>
        <w:tc>
          <w:tcPr>
            <w:tcW w:w="6560"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Long-term debt obligations</w:t>
            </w:r>
          </w:p>
        </w:tc>
        <w:tc>
          <w:tcPr>
            <w:tcW w:w="60" w:type="dxa"/>
            <w:tcBorders/>
            <w:vAlign w:val="center"/>
          </w:tcPr>
          <w:p>
            <w:pPr>
              <w:pStyle w:val="TableContents"/>
              <w:bidi w:val="0"/>
              <w:spacing w:before="0" w:after="0"/>
              <w:jc w:val="left"/>
              <w:rPr/>
            </w:pPr>
            <w:r>
              <w:rPr/>
              <w:t> </w:t>
            </w:r>
          </w:p>
        </w:tc>
        <w:tc>
          <w:tcPr>
            <w:tcW w:w="171"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868"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1,032.7</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232"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1182"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1,715.4</w:t>
            </w:r>
          </w:p>
        </w:tc>
        <w:tc>
          <w:tcPr>
            <w:tcW w:w="95" w:type="dxa"/>
            <w:tcBorders/>
            <w:vAlign w:val="center"/>
          </w:tcPr>
          <w:p>
            <w:pPr>
              <w:pStyle w:val="TableContents"/>
              <w:bidi w:val="0"/>
              <w:spacing w:before="0" w:after="283"/>
              <w:jc w:val="left"/>
              <w:rPr>
                <w:sz w:val="4"/>
                <w:szCs w:val="4"/>
              </w:rPr>
            </w:pPr>
            <w:r>
              <w:rPr>
                <w:sz w:val="4"/>
                <w:szCs w:val="4"/>
              </w:rPr>
            </w:r>
          </w:p>
        </w:tc>
      </w:tr>
    </w:tbl>
    <w:p>
      <w:pPr>
        <w:pStyle w:val="TextBody"/>
        <w:widowControl/>
        <w:bidi w:val="0"/>
        <w:spacing w:lineRule="auto" w:line="288"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bidi w:val="0"/>
        <w:spacing w:lineRule="auto" w:line="288"/>
        <w:ind w:left="0" w:right="0" w:hanging="0"/>
        <w:jc w:val="both"/>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Credit Facility</w:t>
      </w:r>
    </w:p>
    <w:p>
      <w:pPr>
        <w:pStyle w:val="TextBody"/>
        <w:widowControl/>
        <w:bidi w:val="0"/>
        <w:spacing w:lineRule="auto" w:line="288"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bidi w:val="0"/>
        <w:spacing w:lineRule="auto" w:line="288" w:before="0" w:after="0"/>
        <w:ind w:left="0" w:right="0" w:firstLine="420"/>
        <w:jc w:val="both"/>
        <w:rPr>
          <w:rFonts w:ascii="Times New Roman;serif" w:hAnsi="Times New Roman;serif"/>
          <w:b w:val="false"/>
          <w:i w:val="false"/>
          <w:caps w:val="false"/>
          <w:smallCaps w:val="false"/>
          <w:color w:val="000000"/>
          <w:spacing w:val="0"/>
          <w:sz w:val="20"/>
        </w:rPr>
      </w:pPr>
      <w:r>
        <w:rPr>
          <w:rFonts w:ascii="Times New Roman;serif" w:hAnsi="Times New Roman;serif"/>
          <w:b w:val="false"/>
          <w:i w:val="false"/>
          <w:caps w:val="false"/>
          <w:smallCaps w:val="false"/>
          <w:color w:val="000000"/>
          <w:spacing w:val="0"/>
          <w:sz w:val="20"/>
        </w:rPr>
        <w:t>On October 24, 2022, the Company amended its revolving credit agreement (the “Credit Facility”) to increase the facility from $1.03 billion to $1.25 billion and to extend the expiration to October 24, 2027.</w:t>
      </w:r>
    </w:p>
    <w:p>
      <w:pPr>
        <w:pStyle w:val="TextBody"/>
        <w:widowControl/>
        <w:bidi w:val="0"/>
        <w:spacing w:lineRule="auto" w:line="288"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bidi w:val="0"/>
        <w:spacing w:lineRule="auto" w:line="288"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revolving credit facility contains a sublimit of up to $250 million, with $150 million committed, for the issuance of letters of credit and a $75 million sublimit for U.S. dollar swingline loans and a $75 million sublimit for swingline loans in euros or British pounds sterling. The Credit Facility allows for borrowings in British pounds sterling, euro and U.S. dollars. Subject to certain conditions, the Company has the option to increase the credit facility by up to an additional $500 million by requesting additional commitments from existing or new lenders. Fees and interest on borrowings vary based upon the Company's corporate credit rating and will be based, in the case of letter of credit fees, on a margin, and in the case of interest, on a margin over a secured overnight financing rate, as defined in the agreement, with a margin, including the facility fee, ranging from 1.00% to 1.625% or the base rate, as selected by the Company. The applicable margin for borrowings under the credit facility, based on the Company's current credit rating is 1.25% including the facility fee.</w:t>
      </w:r>
    </w:p>
    <w:p>
      <w:pPr>
        <w:pStyle w:val="TextBody"/>
        <w:widowControl/>
        <w:bidi w:val="0"/>
        <w:spacing w:lineRule="auto" w:line="288" w:before="0" w:after="0"/>
        <w:ind w:left="0" w:right="0" w:hanging="0"/>
        <w:jc w:val="both"/>
        <w:rPr/>
      </w:pPr>
      <w:r>
        <w:rPr/>
      </w:r>
    </w:p>
    <w:p>
      <w:pPr>
        <w:pStyle w:val="TextBody"/>
        <w:widowControl/>
        <w:bidi w:val="0"/>
        <w:spacing w:lineRule="auto" w:line="288"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 xml:space="preserve">The Agreement contains customary affirmative and negative covenants, events of default and financial covenants, including (all as defined in the Credit Facility): </w:t>
      </w:r>
      <w:r>
        <w:rPr>
          <w:rFonts w:ascii="times new roman;times" w:hAnsi="times new roman;times"/>
          <w:b w:val="false"/>
          <w:i w:val="false"/>
          <w:caps w:val="false"/>
          <w:smallCaps w:val="false"/>
          <w:color w:val="000000"/>
          <w:spacing w:val="0"/>
          <w:sz w:val="20"/>
        </w:rPr>
        <w:t>(i) a Consolidated Total Leverage Ratio, depending on certain circumstances defined in the Credit Facility, not to exceed a range between 3.5 to 1.0 and 4.5 to 1.0; and (ii) a Consolidated Interest Coverage Ratio of not less than 3.0 to 1.0. Subject to meeting certain customary covenants (as defined in the Credit Facility), the Company is permitted to repurchase common stock and debt. The Company was in compliance with all debt covenants as of June 30, 2024.</w:t>
      </w:r>
    </w:p>
    <w:p>
      <w:pPr>
        <w:pStyle w:val="TextBody"/>
        <w:widowControl/>
        <w:bidi w:val="0"/>
        <w:spacing w:before="0" w:after="0"/>
        <w:ind w:left="0" w:right="0" w:hanging="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12</w:t>
            </w:r>
          </w:p>
        </w:tc>
      </w:tr>
    </w:tbl>
    <w:p>
      <w:pPr>
        <w:pStyle w:val="TextBody"/>
        <w:widowControl/>
        <w:bidi w:val="0"/>
        <w:jc w:val="left"/>
        <w:rPr>
          <w:caps w:val="false"/>
          <w:smallCaps w:val="false"/>
          <w:color w:val="000000"/>
          <w:spacing w:val="0"/>
        </w:rPr>
      </w:pPr>
      <w:r>
        <w:rPr>
          <w:caps w:val="false"/>
          <w:smallCaps w:val="false"/>
          <w:color w:val="000000"/>
          <w:spacing w:val="0"/>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widowControl/>
        <w:bidi w:val="0"/>
        <w:jc w:val="left"/>
        <w:rPr/>
      </w:pPr>
      <w:r>
        <w:rPr/>
      </w:r>
    </w:p>
    <w:p>
      <w:pPr>
        <w:pStyle w:val="TextBody"/>
        <w:widowControl/>
        <w:bidi w:val="0"/>
        <w:spacing w:before="0" w:after="0"/>
        <w:jc w:val="left"/>
        <w:rPr/>
      </w:pPr>
      <w:r>
        <w:rPr/>
      </w:r>
    </w:p>
    <w:p>
      <w:pPr>
        <w:pStyle w:val="TextBody"/>
        <w:widowControl/>
        <w:bidi w:val="0"/>
        <w:spacing w:lineRule="auto" w:line="288" w:before="0" w:after="0"/>
        <w:jc w:val="both"/>
        <w:rPr>
          <w:sz w:val="20"/>
        </w:rPr>
      </w:pPr>
      <w:r>
        <w:rPr>
          <w:sz w:val="20"/>
        </w:rPr>
      </w:r>
    </w:p>
    <w:p>
      <w:pPr>
        <w:pStyle w:val="TextBody"/>
        <w:widowControl/>
        <w:bidi w:val="0"/>
        <w:spacing w:lineRule="auto" w:line="288"/>
        <w:jc w:val="both"/>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Convertible Notes</w:t>
      </w:r>
    </w:p>
    <w:p>
      <w:pPr>
        <w:pStyle w:val="TextBody"/>
        <w:widowControl/>
        <w:bidi w:val="0"/>
        <w:spacing w:lineRule="auto" w:line="288"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bidi w:val="0"/>
        <w:spacing w:lineRule="auto" w:line="288"/>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 xml:space="preserve">On March 18, 2019, the Company completed the sale of $525.0 million of Convertible Senior Notes ("Convertible Notes"). The Convertible Notes mature in March 2049 unless redeemed or converted prior to such date, and are convertible into shares of Euronet common stock at a conversion price of approximately $188.73 per share if certain conditions are met (relating to the closing price of Euronet common stock exceeding certain thresholds for specified periods). Holders of the Convertible Notes have the option to require the Company to purchase their notes on each of March 15, 2025, March 15, 2029, March 15, 2034, </w:t>
      </w:r>
      <w:r>
        <w:rPr>
          <w:rFonts w:ascii="times new roman;times" w:hAnsi="times new roman;times"/>
          <w:b w:val="false"/>
          <w:i w:val="false"/>
          <w:caps w:val="false"/>
          <w:smallCaps w:val="false"/>
          <w:color w:val="000000"/>
          <w:spacing w:val="0"/>
          <w:sz w:val="20"/>
        </w:rPr>
        <w:t>March 15, 2039 and March 15, 2044 at a repurchase price equal to </w:t>
      </w:r>
      <w:r>
        <w:rPr>
          <w:rFonts w:ascii="times new roman;times" w:hAnsi="times new roman;times"/>
          <w:b w:val="false"/>
          <w:i w:val="false"/>
          <w:caps w:val="false"/>
          <w:smallCaps w:val="false"/>
          <w:color w:val="000000"/>
          <w:spacing w:val="0"/>
          <w:sz w:val="20"/>
        </w:rPr>
        <w:t>100</w:t>
      </w:r>
      <w:r>
        <w:rPr>
          <w:rFonts w:ascii="times new roman;times" w:hAnsi="times new roman;times"/>
          <w:b w:val="false"/>
          <w:i w:val="false"/>
          <w:caps w:val="false"/>
          <w:smallCaps w:val="false"/>
          <w:color w:val="000000"/>
          <w:spacing w:val="0"/>
          <w:sz w:val="20"/>
        </w:rPr>
        <w:t>% of the principal amount of the Convertible Notes to be repurchased, plus accrued and unpaid interest to, but excluding, the relevant repurchase date. In connection with the issuance of the Convertible Notes, the Company recorded $12.8 million in debt issuance costs, which are being amortized through March 1, 2025. </w:t>
      </w:r>
    </w:p>
    <w:p>
      <w:pPr>
        <w:pStyle w:val="TextBody"/>
        <w:widowControl/>
        <w:bidi w:val="0"/>
        <w:spacing w:lineRule="auto" w:line="288"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bidi w:val="0"/>
        <w:spacing w:lineRule="auto" w:line="288"/>
        <w:ind w:left="0" w:right="0" w:hanging="0"/>
        <w:jc w:val="both"/>
        <w:rPr>
          <w:rFonts w:ascii="Times New Roman" w:hAnsi="Times New Roman"/>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Company may redeem for cash all or any portion of the Convertible Notes, at its option, </w:t>
      </w:r>
      <w:r>
        <w:rPr>
          <w:rFonts w:ascii="times new roman;times" w:hAnsi="times new roman;times"/>
          <w:b w:val="false"/>
          <w:i w:val="false"/>
          <w:caps w:val="false"/>
          <w:smallCaps w:val="false"/>
          <w:color w:val="000000"/>
          <w:spacing w:val="0"/>
          <w:sz w:val="20"/>
        </w:rPr>
        <w:t>(i) if the closing sale price of the Company's Common Stock has been at least 130 %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and (ii) on or after March 20, 2025 and prior to the maturity date, regardless of the foregoing sale price condition, in each case at a redemption price equal to 100% of the principal amount of the Convertible Notes to be redeemed, plus accrued and unpaid interest to, but excluding, the redemption date. No sinking fund is provided for the Convertible Notes. In addition, if a fundamental change, as defined in the Indenture, occurs prior to the maturity date, holders may require the Company to repurchase for cash all or part of their Convertible Notes at a repurchase price equal to 100% of the principal amount of the Convertible Notes to be repurchased, plus accrued and unpaid interest to, but excluding, the fundamental change repurchase date. </w:t>
      </w:r>
      <w:r>
        <w:rPr>
          <w:rFonts w:ascii="times new roman;times" w:hAnsi="times new roman;times"/>
          <w:b w:val="false"/>
          <w:i w:val="false"/>
          <w:caps w:val="false"/>
          <w:smallCaps w:val="false"/>
          <w:color w:val="000000"/>
          <w:spacing w:val="0"/>
          <w:sz w:val="20"/>
        </w:rPr>
        <w:t>As of June 30, 2024, the conversion threshold was not met. </w:t>
      </w:r>
      <w:r>
        <w:rPr>
          <w:rFonts w:ascii="times new roman;times" w:hAnsi="times new roman;times"/>
          <w:b w:val="false"/>
          <w:i w:val="false"/>
          <w:caps w:val="false"/>
          <w:smallCaps w:val="false"/>
          <w:color w:val="000000"/>
          <w:spacing w:val="0"/>
          <w:sz w:val="20"/>
        </w:rPr>
        <w:t xml:space="preserve">Contractual interest expense for the Convertible Notes </w:t>
      </w:r>
      <w:r>
        <w:rPr>
          <w:rFonts w:ascii="Times New Roman" w:hAnsi="Times New Roman"/>
          <w:b w:val="false"/>
          <w:i w:val="false"/>
          <w:caps w:val="false"/>
          <w:smallCaps w:val="false"/>
          <w:color w:val="000000"/>
          <w:spacing w:val="0"/>
          <w:sz w:val="20"/>
        </w:rPr>
        <w:t>was $1.0 million </w:t>
      </w:r>
      <w:r>
        <w:rPr>
          <w:rFonts w:ascii="times new roman;times" w:hAnsi="times new roman;times"/>
          <w:b w:val="false"/>
          <w:i w:val="false"/>
          <w:caps w:val="false"/>
          <w:smallCaps w:val="false"/>
          <w:color w:val="000000"/>
          <w:spacing w:val="0"/>
          <w:sz w:val="20"/>
        </w:rPr>
        <w:t>and $2.0 </w:t>
      </w:r>
      <w:r>
        <w:rPr>
          <w:rFonts w:ascii="Times New Roman" w:hAnsi="Times New Roman"/>
          <w:b w:val="false"/>
          <w:i w:val="false"/>
          <w:caps w:val="false"/>
          <w:smallCaps w:val="false"/>
          <w:color w:val="000000"/>
          <w:spacing w:val="0"/>
          <w:sz w:val="20"/>
        </w:rPr>
        <w:t>million</w:t>
      </w:r>
      <w:r>
        <w:rPr>
          <w:rFonts w:ascii="times new roman;times" w:hAnsi="times new roman;times"/>
          <w:b w:val="false"/>
          <w:i w:val="false"/>
          <w:caps w:val="false"/>
          <w:smallCaps w:val="false"/>
          <w:color w:val="000000"/>
          <w:spacing w:val="0"/>
          <w:sz w:val="20"/>
        </w:rPr>
        <w:t xml:space="preserve"> for the </w:t>
      </w:r>
      <w:r>
        <w:rPr>
          <w:rFonts w:ascii="times new roman;times" w:hAnsi="times new roman;times"/>
          <w:b w:val="false"/>
          <w:i w:val="false"/>
          <w:caps w:val="false"/>
          <w:smallCaps w:val="false"/>
          <w:color w:val="000000"/>
          <w:spacing w:val="0"/>
          <w:sz w:val="20"/>
        </w:rPr>
        <w:t>three and six </w:t>
      </w:r>
      <w:r>
        <w:rPr>
          <w:rFonts w:ascii="times new roman;times" w:hAnsi="times new roman;times"/>
          <w:b w:val="false"/>
          <w:i w:val="false"/>
          <w:caps w:val="false"/>
          <w:smallCaps w:val="false"/>
          <w:color w:val="000000"/>
          <w:spacing w:val="0"/>
          <w:sz w:val="20"/>
        </w:rPr>
        <w:t>months ended June 30, 2024 , respectively. Contractual interest expense for the Convertible Notes was $1.1 million and $2.0 million for the three and six months ended June 30, 2023, respectively.</w:t>
      </w:r>
    </w:p>
    <w:p>
      <w:pPr>
        <w:pStyle w:val="TextBody"/>
        <w:widowControl/>
        <w:bidi w:val="0"/>
        <w:spacing w:lineRule="auto" w:line="288"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bidi w:val="0"/>
        <w:spacing w:lineRule="auto" w:line="288"/>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caps w:val="false"/>
          <w:smallCaps w:val="false"/>
          <w:color w:val="000000"/>
          <w:spacing w:val="0"/>
          <w:sz w:val="20"/>
        </w:rPr>
        <w:t>1.375%</w:t>
      </w:r>
      <w:r>
        <w:rPr>
          <w:rFonts w:ascii="times new roman;times" w:hAnsi="times new roman;times"/>
          <w:b w:val="false"/>
          <w:i w:val="false"/>
          <w:caps w:val="false"/>
          <w:smallCaps w:val="false"/>
          <w:color w:val="000000"/>
          <w:spacing w:val="0"/>
          <w:sz w:val="20"/>
        </w:rPr>
        <w:t> </w:t>
      </w:r>
      <w:r>
        <w:rPr>
          <w:rFonts w:ascii="times new roman;times" w:hAnsi="times new roman;times"/>
          <w:b w:val="false"/>
          <w:i/>
          <w:caps w:val="false"/>
          <w:smallCaps w:val="false"/>
          <w:color w:val="000000"/>
          <w:spacing w:val="0"/>
          <w:sz w:val="20"/>
        </w:rPr>
        <w:t>Senior Notes due 2026</w:t>
      </w:r>
    </w:p>
    <w:p>
      <w:pPr>
        <w:pStyle w:val="TextBody"/>
        <w:widowControl/>
        <w:bidi w:val="0"/>
        <w:spacing w:lineRule="auto" w:line="288"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bidi w:val="0"/>
        <w:spacing w:lineRule="auto" w:line="288" w:before="0" w:after="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On May 22, 2019, the Company completed the sale of €600.0 million ($669.9 million) aggregate principal amount of Senior Notes that are due in May 2026 (the “Senior Notes”). The Senior Notes accrue interest at a rate of 1.375% per year, payable annually in arrears commencing May 22, 2020, until maturity or earlier redemption. As of June 30, 2024, the Company has outstanding €600.0 million ($642.6 million) principal amount of the Senior Notes. In addition, the Company may redeem some or all of these notes on or after February 22, 2026 at their principal amount plus any accrued and unpaid interest.</w:t>
      </w:r>
    </w:p>
    <w:p>
      <w:pPr>
        <w:pStyle w:val="TextBody"/>
        <w:widowControl/>
        <w:bidi w:val="0"/>
        <w:spacing w:lineRule="auto" w:line="288" w:before="0" w:after="0"/>
        <w:jc w:val="both"/>
        <w:rPr>
          <w:caps w:val="false"/>
          <w:smallCaps w:val="false"/>
          <w:color w:val="000000"/>
          <w:spacing w:val="0"/>
        </w:rPr>
      </w:pPr>
      <w:r>
        <w:rPr>
          <w:caps w:val="false"/>
          <w:smallCaps w:val="false"/>
          <w:color w:val="000000"/>
          <w:spacing w:val="0"/>
        </w:rPr>
        <w:t> </w:t>
      </w:r>
    </w:p>
    <w:p>
      <w:pPr>
        <w:pStyle w:val="TextBody"/>
        <w:widowControl/>
        <w:bidi w:val="0"/>
        <w:spacing w:lineRule="auto" w:line="288"/>
        <w:ind w:left="0" w:right="0" w:hanging="0"/>
        <w:jc w:val="both"/>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Uncommitted Credit Agreements</w:t>
      </w:r>
    </w:p>
    <w:p>
      <w:pPr>
        <w:pStyle w:val="TextBody"/>
        <w:widowControl/>
        <w:bidi w:val="0"/>
        <w:spacing w:lineRule="auto" w:line="288"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bidi w:val="0"/>
        <w:spacing w:lineRule="auto" w:line="288"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 xml:space="preserve">On June 26, 2023, the Company entered into an Uncommitted Loan Agreement for $150 million, which expired on June 21, 2024.  This loan was a Prime rate loan, a Bloomberg Short-term Bank Yield (“BSBY”) rate loan plus 0.95% or bore interest at the rate agreed to by the Bank and the Company at the time a loan was made.  The weighted average interest rate from the loan inception date to June 21, 2024, was 6.32%.  </w:t>
      </w:r>
    </w:p>
    <w:p>
      <w:pPr>
        <w:pStyle w:val="TextBody"/>
        <w:widowControl/>
        <w:bidi w:val="0"/>
        <w:spacing w:lineRule="auto" w:line="288"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lineRule="auto" w:line="288" w:before="0" w:after="0"/>
        <w:ind w:left="0" w:right="0" w:hanging="0"/>
        <w:jc w:val="left"/>
        <w:rPr>
          <w:rFonts w:ascii="Times New Roman;serif" w:hAnsi="Times New Roman;serif"/>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On June 21, 2024, the Company rolled the $150 Uncommitted Loan Agreement into a new Uncommitted Loan Agreement with a $400 million credit limit on or before September 30, 2024, and a credit limit of $250 million on or after October 1, 2024.  The loan was fully drawn and outstanding at June 30, 2024, for the sole purpose of providing vault cash for ATMs and expires no later than June 20, 2025.  The loan is a Prime Rate Loan, a Daily SOFR Rate Loan plus 1.05% or shall bear interest at the rate agreed to by the Bank and the Borrower at the time such Loan is made.  The weighted-average interest rate from loan inception date to June 30, 2024, was 6.37%. </w:t>
      </w:r>
      <w:r>
        <w:rPr>
          <w:rFonts w:ascii="Times New Roman;serif" w:hAnsi="Times New Roman;serif"/>
          <w:b w:val="false"/>
          <w:i w:val="false"/>
          <w:caps w:val="false"/>
          <w:smallCaps w:val="false"/>
          <w:color w:val="000000"/>
          <w:spacing w:val="0"/>
          <w:sz w:val="20"/>
        </w:rPr>
        <w:t xml:space="preserve"> </w:t>
      </w:r>
    </w:p>
    <w:p>
      <w:pPr>
        <w:pStyle w:val="TextBody"/>
        <w:widowControl/>
        <w:bidi w:val="0"/>
        <w:spacing w:lineRule="auto" w:line="288" w:before="0" w:after="0"/>
        <w:ind w:left="0" w:right="0" w:hanging="0"/>
        <w:jc w:val="both"/>
        <w:rPr/>
      </w:pPr>
      <w:r>
        <w:rPr/>
      </w:r>
    </w:p>
    <w:p>
      <w:pPr>
        <w:pStyle w:val="TextBody"/>
        <w:widowControl/>
        <w:bidi w:val="0"/>
        <w:spacing w:lineRule="auto" w:line="288"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On June 27, 2024, the Company entered into an Uncommitted Loan Agreement for $300 million, </w:t>
      </w:r>
      <w:r>
        <w:rPr>
          <w:rFonts w:ascii="times new roman;times" w:hAnsi="times new roman;times"/>
          <w:b w:val="false"/>
          <w:i w:val="false"/>
          <w:caps w:val="false"/>
          <w:smallCaps w:val="false"/>
          <w:color w:val="000000"/>
          <w:spacing w:val="0"/>
          <w:sz w:val="20"/>
        </w:rPr>
        <w:t>fully drawn and outstanding at June 30, 2024, </w:t>
      </w:r>
      <w:r>
        <w:rPr>
          <w:rFonts w:ascii="times new roman;times" w:hAnsi="times new roman;times"/>
          <w:b w:val="false"/>
          <w:i w:val="false"/>
          <w:caps w:val="false"/>
          <w:smallCaps w:val="false"/>
          <w:color w:val="000000"/>
          <w:spacing w:val="0"/>
          <w:sz w:val="20"/>
        </w:rPr>
        <w:t>for the sole purpose of providing vault cash for ATMs, that expires no later than November 30, 2024. The loan is a Prime Rate Loan, a Daily Simple SOFR Rate Loan plus 1.125% or shall bear interest at the rate agreed to by the Bank and the Borrower at the time such Loan is made. </w:t>
      </w:r>
      <w:r>
        <w:rPr>
          <w:rFonts w:ascii="times new roman;times" w:hAnsi="times new roman;times"/>
          <w:b w:val="false"/>
          <w:i w:val="false"/>
          <w:caps w:val="false"/>
          <w:smallCaps w:val="false"/>
          <w:color w:val="000000"/>
          <w:spacing w:val="0"/>
          <w:sz w:val="20"/>
        </w:rPr>
        <w:t>The weighted-average interest rate from the loan inception date to June 30, 2024 was 6.37%.</w:t>
      </w:r>
    </w:p>
    <w:p>
      <w:pPr>
        <w:pStyle w:val="TextBody"/>
        <w:widowControl/>
        <w:bidi w:val="0"/>
        <w:spacing w:lineRule="auto" w:line="288" w:before="0" w:after="0"/>
        <w:ind w:left="0" w:right="0" w:hanging="0"/>
        <w:jc w:val="both"/>
        <w:rPr>
          <w:caps w:val="false"/>
          <w:smallCaps w:val="false"/>
          <w:color w:val="000000"/>
          <w:spacing w:val="0"/>
        </w:rPr>
      </w:pPr>
      <w:r>
        <w:rPr>
          <w:caps w:val="false"/>
          <w:smallCaps w:val="false"/>
          <w:color w:val="000000"/>
          <w:spacing w:val="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13</w:t>
            </w:r>
          </w:p>
        </w:tc>
      </w:tr>
    </w:tbl>
    <w:p>
      <w:pPr>
        <w:pStyle w:val="TextBody"/>
        <w:widowControl/>
        <w:bidi w:val="0"/>
        <w:jc w:val="left"/>
        <w:rPr>
          <w:caps w:val="false"/>
          <w:smallCaps w:val="false"/>
          <w:color w:val="000000"/>
          <w:spacing w:val="0"/>
        </w:rPr>
      </w:pPr>
      <w:r>
        <w:rPr>
          <w:caps w:val="false"/>
          <w:smallCaps w:val="false"/>
          <w:color w:val="000000"/>
          <w:spacing w:val="0"/>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widowControl/>
        <w:bidi w:val="0"/>
        <w:jc w:val="left"/>
        <w:rPr/>
      </w:pPr>
      <w:r>
        <w:rPr/>
      </w:r>
    </w:p>
    <w:p>
      <w:pPr>
        <w:pStyle w:val="TextBody"/>
        <w:widowControl/>
        <w:bidi w:val="0"/>
        <w:spacing w:before="0" w:after="0"/>
        <w:jc w:val="left"/>
        <w:rPr/>
      </w:pPr>
      <w:r>
        <w:rPr/>
      </w:r>
    </w:p>
    <w:p>
      <w:pPr>
        <w:pStyle w:val="TextBody"/>
        <w:widowControl/>
        <w:bidi w:val="0"/>
        <w:spacing w:lineRule="auto" w:line="288" w:before="0" w:after="0"/>
        <w:jc w:val="both"/>
        <w:rPr>
          <w:caps w:val="false"/>
          <w:smallCaps w:val="false"/>
          <w:color w:val="000000"/>
          <w:spacing w:val="0"/>
        </w:rPr>
      </w:pPr>
      <w:r>
        <w:rPr>
          <w:caps w:val="false"/>
          <w:smallCaps w:val="false"/>
          <w:color w:val="000000"/>
          <w:spacing w:val="0"/>
        </w:rPr>
        <w:t> </w:t>
      </w:r>
    </w:p>
    <w:p>
      <w:pPr>
        <w:pStyle w:val="TextBody"/>
        <w:widowControl/>
        <w:bidi w:val="0"/>
        <w:spacing w:lineRule="auto" w:line="288"/>
        <w:jc w:val="both"/>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Other obligations</w:t>
      </w:r>
    </w:p>
    <w:p>
      <w:pPr>
        <w:pStyle w:val="TextBody"/>
        <w:widowControl/>
        <w:bidi w:val="0"/>
        <w:spacing w:lineRule="auto" w:line="288"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bidi w:val="0"/>
        <w:spacing w:lineRule="auto" w:line="288"/>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Certain of the Company's subsidiaries have available lines of credit and overdraft credit facilities that generally provide for short-term borrowings that are used from time to time for working capital purposes. As of June 30, 2024 and December 31, 2023, borrowings under these arrangements were $8.9 million and $0.3 million, respectively.</w:t>
      </w:r>
    </w:p>
    <w:p>
      <w:pPr>
        <w:pStyle w:val="TextBody"/>
        <w:widowControl/>
        <w:bidi w:val="0"/>
        <w:spacing w:lineRule="auto" w:line="288"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bidi w:val="0"/>
        <w:spacing w:lineRule="auto" w:line="288"/>
        <w:ind w:left="0" w:right="0" w:hanging="0"/>
        <w:jc w:val="both"/>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Debt Issuance Costs</w:t>
      </w:r>
    </w:p>
    <w:p>
      <w:pPr>
        <w:pStyle w:val="TextBody"/>
        <w:widowControl/>
        <w:bidi w:val="0"/>
        <w:spacing w:lineRule="auto" w:line="288"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bidi w:val="0"/>
        <w:spacing w:lineRule="auto" w:line="288"/>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As of June 30, 2024, the Company had unamortized debt issuance</w:t>
      </w:r>
      <w:r>
        <w:rPr>
          <w:rFonts w:ascii="times new roman;times" w:hAnsi="times new roman;times"/>
          <w:b w:val="false"/>
          <w:i w:val="false"/>
          <w:caps w:val="false"/>
          <w:smallCaps w:val="false"/>
          <w:color w:val="000000"/>
          <w:spacing w:val="0"/>
          <w:sz w:val="20"/>
        </w:rPr>
        <w:t xml:space="preserve"> </w:t>
      </w:r>
      <w:r>
        <w:rPr>
          <w:rFonts w:ascii="times new roman;times" w:hAnsi="times new roman;times"/>
          <w:b w:val="false"/>
          <w:i w:val="false"/>
          <w:caps w:val="false"/>
          <w:smallCaps w:val="false"/>
          <w:color w:val="000000"/>
          <w:spacing w:val="0"/>
          <w:sz w:val="20"/>
        </w:rPr>
        <w:t>costs of $2.7 million for the Credit Facility, $1.6 million for the Convertible Notes and $2.3 million</w:t>
      </w:r>
      <w:r>
        <w:rPr>
          <w:rFonts w:ascii="times new roman;times" w:hAnsi="times new roman;times"/>
          <w:b w:val="false"/>
          <w:i w:val="false"/>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for the Senior Notes that will be amortized through October 2027, March 2025 and May 2026, respectively.</w:t>
      </w:r>
    </w:p>
    <w:p>
      <w:pPr>
        <w:pStyle w:val="TextBody"/>
        <w:widowControl/>
        <w:bidi w:val="0"/>
        <w:spacing w:lineRule="auto" w:line="288"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bidi w:val="0"/>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(11) DERIVATIVE INSTRUMENTS AND HEDGING ACTIVITIES</w:t>
      </w:r>
    </w:p>
    <w:p>
      <w:pPr>
        <w:pStyle w:val="TextBody"/>
        <w:widowControl/>
        <w:bidi w:val="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Company is exposed to foreign currency exchange risk resulting from (i) the collection of funds or the settlement of money transfer transactions in currencies other than the U.S. Dollar, (ii) derivative contracts written to its customers in connection with providing cross-currency money transfer services and (iii) certain foreign currency denominated other asset and liability positions. The Company enters into foreign currency derivative contracts, primarily foreign currency forwards and cross-currency swaps, to minimize its exposure related to fluctuations in foreign currency exchange rates. As a matter of Company policy, the derivative instruments used in these activities are economic hedges and are not designated as hedges under ASC 815</w:t>
      </w:r>
      <w:r>
        <w:rPr>
          <w:rFonts w:ascii="times new roman;times" w:hAnsi="times new roman;times"/>
          <w:b w:val="false"/>
          <w:i/>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primarily due to either the relatively short duration of the contract term or the effects of fluctuations in currency exchange rates are reflected concurrently in earnings for both the derivative instrument and the transaction and have an offsetting effect.</w:t>
      </w:r>
    </w:p>
    <w:p>
      <w:pPr>
        <w:pStyle w:val="TextBody"/>
        <w:widowControl/>
        <w:bidi w:val="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ind w:left="0" w:right="0" w:hanging="0"/>
        <w:jc w:val="left"/>
        <w:rPr>
          <w:rFonts w:ascii="Times New Roman" w:hAnsi="Times New Roman"/>
          <w:b w:val="false"/>
          <w:i w:val="false"/>
          <w:caps w:val="false"/>
          <w:smallCaps w:val="false"/>
          <w:color w:val="000000"/>
          <w:spacing w:val="0"/>
          <w:sz w:val="20"/>
        </w:rPr>
      </w:pPr>
      <w:r>
        <w:rPr>
          <w:rFonts w:ascii="times new roman;times" w:hAnsi="times new roman;times"/>
          <w:b w:val="false"/>
          <w:i/>
          <w:caps w:val="false"/>
          <w:smallCaps w:val="false"/>
          <w:color w:val="000000"/>
          <w:spacing w:val="0"/>
          <w:sz w:val="20"/>
        </w:rPr>
        <w:t>Foreign currency exchange contracts - Ria Operations and Corporate</w:t>
      </w:r>
      <w:r>
        <w:rPr>
          <w:rFonts w:ascii="Times New Roman" w:hAnsi="Times New Roman"/>
          <w:b w:val="false"/>
          <w:i w:val="false"/>
          <w:caps w:val="false"/>
          <w:smallCaps w:val="false"/>
          <w:color w:val="000000"/>
          <w:spacing w:val="0"/>
          <w:sz w:val="20"/>
        </w:rPr>
        <w:t> </w:t>
      </w:r>
    </w:p>
    <w:p>
      <w:pPr>
        <w:pStyle w:val="TextBody"/>
        <w:widowControl/>
        <w:bidi w:val="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ind w:left="0" w:right="0" w:hanging="0"/>
        <w:jc w:val="left"/>
        <w:rPr>
          <w:rFonts w:ascii="Times New Roman" w:hAnsi="Times New Roman"/>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In the United States, the Company uses short-duration foreign currency forward contracts, generally with maturities up to </w:t>
      </w:r>
      <w:r>
        <w:rPr>
          <w:rFonts w:ascii="Times New Roman" w:hAnsi="Times New Roman"/>
          <w:b w:val="false"/>
          <w:i w:val="false"/>
          <w:caps w:val="false"/>
          <w:smallCaps w:val="false"/>
          <w:color w:val="000000"/>
          <w:spacing w:val="0"/>
          <w:sz w:val="20"/>
        </w:rPr>
        <w:t>14 days</w:t>
      </w:r>
      <w:r>
        <w:rPr>
          <w:rFonts w:ascii="times new roman;times" w:hAnsi="times new roman;times"/>
          <w:b w:val="false"/>
          <w:i w:val="false"/>
          <w:caps w:val="false"/>
          <w:smallCaps w:val="false"/>
          <w:color w:val="000000"/>
          <w:spacing w:val="0"/>
          <w:sz w:val="20"/>
        </w:rPr>
        <w:t>, to offset the fluctuation in foreign currency exchange rates on the collection of money transfer funds between initiation of a transaction and its settlement. Due to the short duration of these contracts and the Company’s credit profile, the Company is generally not required to post collateral with respect to these foreign currency forward contracts. Most derivative contracts executed with counterparties in the U.S. are governed by an International Swaps and Derivatives Association agreement that includes standard netting arrangements; therefore, asset and liability positions from forward contracts and all other foreign exchange transactions with the same counterparty are net settled upon maturity. The Company had foreign currency forward contracts outstanding in the U.S. with a notional value of $509.7 million and $393.3 million as of June 30, 2024 and December 31, 2023, respectively. The foreign currency forward contracts consist primarily in Australian dollars, Canadian dollars, British pounds sterling, euros and Mexican pesos.</w:t>
      </w:r>
    </w:p>
    <w:p>
      <w:pPr>
        <w:pStyle w:val="TextBody"/>
        <w:widowControl/>
        <w:bidi w:val="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In addition, the Company uses forward contracts, typically with maturities from a few days to less than one year, to offset foreign exchange rate fluctuations on certain short-term borrowings that are payable in currencies other than the U.S dollar. The Company had foreign currency forward contracts outstanding with a notional value of $216.1 million and $563.1 million as of June 30, 2024 and December 31, 2023, respectively, primarily in euro.</w:t>
      </w:r>
    </w:p>
    <w:p>
      <w:pPr>
        <w:pStyle w:val="TextBody"/>
        <w:widowControl/>
        <w:bidi w:val="0"/>
        <w:ind w:left="0" w:right="0" w:hanging="0"/>
        <w:jc w:val="left"/>
        <w:rPr>
          <w:caps w:val="false"/>
          <w:smallCaps w:val="false"/>
          <w:color w:val="000000"/>
          <w:spacing w:val="0"/>
        </w:rPr>
      </w:pPr>
      <w:r>
        <w:rPr>
          <w:caps w:val="false"/>
          <w:smallCaps w:val="false"/>
          <w:color w:val="000000"/>
          <w:spacing w:val="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14</w:t>
            </w:r>
          </w:p>
        </w:tc>
      </w:tr>
    </w:tbl>
    <w:p>
      <w:pPr>
        <w:pStyle w:val="TextBody"/>
        <w:widowControl/>
        <w:bidi w:val="0"/>
        <w:spacing w:lineRule="atLeast" w:line="240"/>
        <w:jc w:val="both"/>
        <w:rPr>
          <w:caps w:val="false"/>
          <w:smallCaps w:val="false"/>
          <w:color w:val="000000"/>
          <w:spacing w:val="0"/>
        </w:rPr>
      </w:pPr>
      <w:r>
        <w:rPr>
          <w:caps w:val="false"/>
          <w:smallCaps w:val="false"/>
          <w:color w:val="000000"/>
          <w:spacing w:val="0"/>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widowControl/>
        <w:bidi w:val="0"/>
        <w:spacing w:lineRule="atLeast" w:line="240"/>
        <w:jc w:val="both"/>
        <w:rPr/>
      </w:pPr>
      <w:r>
        <w:rPr/>
      </w:r>
    </w:p>
    <w:p>
      <w:pPr>
        <w:pStyle w:val="TextBody"/>
        <w:widowControl/>
        <w:bidi w:val="0"/>
        <w:spacing w:lineRule="atLeast" w:line="240"/>
        <w:jc w:val="left"/>
        <w:rPr>
          <w:sz w:val="20"/>
        </w:rPr>
      </w:pPr>
      <w:r>
        <w:rPr>
          <w:sz w:val="20"/>
        </w:rPr>
      </w:r>
    </w:p>
    <w:p>
      <w:pPr>
        <w:pStyle w:val="TextBody"/>
        <w:widowControl/>
        <w:bidi w:val="0"/>
        <w:spacing w:lineRule="auto" w:line="288" w:before="0" w:after="0"/>
        <w:ind w:left="0" w:right="0" w:hanging="0"/>
        <w:jc w:val="both"/>
        <w:rPr/>
      </w:pPr>
      <w:r>
        <w:rPr/>
      </w:r>
    </w:p>
    <w:p>
      <w:pPr>
        <w:pStyle w:val="TextBody"/>
        <w:widowControl/>
        <w:bidi w:val="0"/>
        <w:spacing w:lineRule="auto" w:line="288" w:before="0" w:after="0"/>
        <w:ind w:left="0" w:right="0" w:hanging="0"/>
        <w:jc w:val="both"/>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Foreign currency exchange contracts - xe Operations</w:t>
      </w:r>
    </w:p>
    <w:p>
      <w:pPr>
        <w:pStyle w:val="TextBody"/>
        <w:widowControl/>
        <w:bidi w:val="0"/>
        <w:spacing w:lineRule="auto" w:line="288"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bidi w:val="0"/>
        <w:spacing w:lineRule="auto" w:line="288" w:before="0" w:after="0"/>
        <w:ind w:left="0" w:right="0" w:hanging="0"/>
        <w:jc w:val="both"/>
        <w:rPr>
          <w:rFonts w:ascii="Times New Roman" w:hAnsi="Times New Roman"/>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 xml:space="preserve">xe writes derivative instruments, primarily foreign currency forward contracts and cross-currency swaps, mostly with </w:t>
      </w:r>
      <w:r>
        <w:rPr>
          <w:rFonts w:ascii="Times New Roman" w:hAnsi="Times New Roman"/>
          <w:b w:val="false"/>
          <w:i w:val="false"/>
          <w:caps w:val="false"/>
          <w:smallCaps w:val="false"/>
          <w:color w:val="000000"/>
          <w:spacing w:val="0"/>
          <w:sz w:val="20"/>
        </w:rPr>
        <w:t xml:space="preserve">counterparties </w:t>
      </w:r>
      <w:r>
        <w:rPr>
          <w:rFonts w:ascii="times new roman;times" w:hAnsi="times new roman;times"/>
          <w:b w:val="false"/>
          <w:i w:val="false"/>
          <w:caps w:val="false"/>
          <w:smallCaps w:val="false"/>
          <w:color w:val="000000"/>
          <w:spacing w:val="0"/>
          <w:sz w:val="20"/>
        </w:rPr>
        <w:t xml:space="preserve">comprised of individuals and small-to-medium size businesses and derives a currency margin from this activity as part of its operations. xe aggregates its foreign currency exposures arising from customer contracts and hedges the resulting net currency risks by entering into offsetting contracts with established financial institution </w:t>
      </w:r>
      <w:r>
        <w:rPr>
          <w:rFonts w:ascii="Times New Roman" w:hAnsi="Times New Roman"/>
          <w:b w:val="false"/>
          <w:i w:val="false"/>
          <w:caps w:val="false"/>
          <w:smallCaps w:val="false"/>
          <w:color w:val="000000"/>
          <w:spacing w:val="0"/>
          <w:sz w:val="20"/>
        </w:rPr>
        <w:t>counterparties</w:t>
      </w:r>
      <w:r>
        <w:rPr>
          <w:rFonts w:ascii="times new roman;times" w:hAnsi="times new roman;times"/>
          <w:b w:val="false"/>
          <w:i w:val="false"/>
          <w:caps w:val="false"/>
          <w:smallCaps w:val="false"/>
          <w:color w:val="000000"/>
          <w:spacing w:val="0"/>
          <w:sz w:val="20"/>
        </w:rPr>
        <w:t xml:space="preserve">. Foreign exchange revenues from </w:t>
      </w:r>
      <w:r>
        <w:rPr>
          <w:rFonts w:ascii="Times New Roman" w:hAnsi="Times New Roman"/>
          <w:b w:val="false"/>
          <w:i w:val="false"/>
          <w:caps w:val="false"/>
          <w:smallCaps w:val="false"/>
          <w:color w:val="000000"/>
          <w:spacing w:val="0"/>
          <w:sz w:val="20"/>
        </w:rPr>
        <w:t xml:space="preserve">xe's </w:t>
      </w:r>
      <w:r>
        <w:rPr>
          <w:rFonts w:ascii="times new roman;times" w:hAnsi="times new roman;times"/>
          <w:b w:val="false"/>
          <w:i w:val="false"/>
          <w:caps w:val="false"/>
          <w:smallCaps w:val="false"/>
          <w:color w:val="000000"/>
          <w:spacing w:val="0"/>
          <w:sz w:val="20"/>
        </w:rPr>
        <w:t>total portfolio of positions were $22.4</w:t>
      </w:r>
      <w:r>
        <w:rPr>
          <w:rFonts w:ascii="Times New Roman" w:hAnsi="Times New Roman"/>
          <w:b w:val="false"/>
          <w:i w:val="false"/>
          <w:caps w:val="false"/>
          <w:smallCaps w:val="false"/>
          <w:color w:val="000000"/>
          <w:spacing w:val="0"/>
          <w:sz w:val="20"/>
        </w:rPr>
        <w:t xml:space="preserve"> </w:t>
      </w:r>
      <w:r>
        <w:rPr>
          <w:rFonts w:ascii="times new roman;times" w:hAnsi="times new roman;times"/>
          <w:b w:val="false"/>
          <w:i w:val="false"/>
          <w:caps w:val="false"/>
          <w:smallCaps w:val="false"/>
          <w:color w:val="000000"/>
          <w:spacing w:val="0"/>
          <w:sz w:val="20"/>
        </w:rPr>
        <w:t xml:space="preserve">million and $43.3 </w:t>
      </w:r>
      <w:r>
        <w:rPr>
          <w:rFonts w:ascii="times new roman;times" w:hAnsi="times new roman;times"/>
          <w:b w:val="false"/>
          <w:i w:val="false"/>
          <w:caps w:val="false"/>
          <w:smallCaps w:val="false"/>
          <w:color w:val="000000"/>
          <w:spacing w:val="0"/>
          <w:sz w:val="20"/>
        </w:rPr>
        <w:t>million </w:t>
      </w:r>
      <w:r>
        <w:rPr>
          <w:rFonts w:ascii="times new roman;times" w:hAnsi="times new roman;times"/>
          <w:b w:val="false"/>
          <w:i w:val="false"/>
          <w:caps w:val="false"/>
          <w:smallCaps w:val="false"/>
          <w:color w:val="000000"/>
          <w:spacing w:val="0"/>
          <w:sz w:val="20"/>
        </w:rPr>
        <w:t>for the three and six months ended June 30, 2024, respectively,</w:t>
      </w:r>
      <w:r>
        <w:rPr>
          <w:rFonts w:ascii="Times New Roman" w:hAnsi="Times New Roman"/>
          <w:b w:val="false"/>
          <w:i w:val="false"/>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and $21.5</w:t>
      </w:r>
      <w:r>
        <w:rPr>
          <w:rFonts w:ascii="Times New Roman" w:hAnsi="Times New Roman"/>
          <w:b w:val="false"/>
          <w:i w:val="false"/>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million and $41.6 million for the three and six months ended June 30, 2023, respectively. All of the derivative contracts used in the Company's xe operations are economic hedges and are not designated as hedges under ASC 815. The duration of these derivative contracts is generally less than one year.</w:t>
      </w:r>
    </w:p>
    <w:p>
      <w:pPr>
        <w:pStyle w:val="TextBody"/>
        <w:widowControl/>
        <w:bidi w:val="0"/>
        <w:spacing w:lineRule="auto" w:line="288"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bidi w:val="0"/>
        <w:spacing w:lineRule="auto" w:line="288" w:before="0" w:after="0"/>
        <w:ind w:left="0" w:right="0" w:hanging="0"/>
        <w:jc w:val="both"/>
        <w:rPr>
          <w:rFonts w:ascii="times new roman" w:hAnsi="times new roman"/>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 xml:space="preserve">The fair value of </w:t>
      </w:r>
      <w:r>
        <w:rPr>
          <w:rFonts w:ascii="times new roman" w:hAnsi="times new roman"/>
          <w:b w:val="false"/>
          <w:i w:val="false"/>
          <w:caps w:val="false"/>
          <w:smallCaps w:val="false"/>
          <w:color w:val="000000"/>
          <w:spacing w:val="0"/>
          <w:sz w:val="20"/>
        </w:rPr>
        <w:t xml:space="preserve">xe's </w:t>
      </w:r>
      <w:r>
        <w:rPr>
          <w:rFonts w:ascii="times new roman;times" w:hAnsi="times new roman;times"/>
          <w:b w:val="false"/>
          <w:i w:val="false"/>
          <w:caps w:val="false"/>
          <w:smallCaps w:val="false"/>
          <w:color w:val="000000"/>
          <w:spacing w:val="0"/>
          <w:sz w:val="20"/>
        </w:rPr>
        <w:t xml:space="preserve">total portfolio of positions can change significantly from period to period based on, among other factors, market movements and changes in customer contract positions. xe manages </w:t>
      </w:r>
      <w:r>
        <w:rPr>
          <w:rFonts w:ascii="times new roman" w:hAnsi="times new roman"/>
          <w:b w:val="false"/>
          <w:i w:val="false"/>
          <w:caps w:val="false"/>
          <w:smallCaps w:val="false"/>
          <w:color w:val="000000"/>
          <w:spacing w:val="0"/>
          <w:sz w:val="20"/>
        </w:rPr>
        <w:t xml:space="preserve">counterparty </w:t>
      </w:r>
      <w:r>
        <w:rPr>
          <w:rFonts w:ascii="times new roman;times" w:hAnsi="times new roman;times"/>
          <w:b w:val="false"/>
          <w:i w:val="false"/>
          <w:caps w:val="false"/>
          <w:smallCaps w:val="false"/>
          <w:color w:val="000000"/>
          <w:spacing w:val="0"/>
          <w:sz w:val="20"/>
        </w:rPr>
        <w:t xml:space="preserve">credit risk (the risk that </w:t>
      </w:r>
      <w:r>
        <w:rPr>
          <w:rFonts w:ascii="times new roman" w:hAnsi="times new roman"/>
          <w:b w:val="false"/>
          <w:i w:val="false"/>
          <w:caps w:val="false"/>
          <w:smallCaps w:val="false"/>
          <w:color w:val="000000"/>
          <w:spacing w:val="0"/>
          <w:sz w:val="20"/>
        </w:rPr>
        <w:t xml:space="preserve">counterparties </w:t>
      </w:r>
      <w:r>
        <w:rPr>
          <w:rFonts w:ascii="times new roman;times" w:hAnsi="times new roman;times"/>
          <w:b w:val="false"/>
          <w:i w:val="false"/>
          <w:caps w:val="false"/>
          <w:smallCaps w:val="false"/>
          <w:color w:val="000000"/>
          <w:spacing w:val="0"/>
          <w:sz w:val="20"/>
        </w:rPr>
        <w:t xml:space="preserve">will default and not make payments according to the terms of the agreements) on an individual </w:t>
      </w:r>
      <w:r>
        <w:rPr>
          <w:rFonts w:ascii="times new roman" w:hAnsi="times new roman"/>
          <w:b w:val="false"/>
          <w:i w:val="false"/>
          <w:caps w:val="false"/>
          <w:smallCaps w:val="false"/>
          <w:color w:val="000000"/>
          <w:spacing w:val="0"/>
          <w:sz w:val="20"/>
        </w:rPr>
        <w:t xml:space="preserve">counterparty </w:t>
      </w:r>
      <w:r>
        <w:rPr>
          <w:rFonts w:ascii="times new roman;times" w:hAnsi="times new roman;times"/>
          <w:b w:val="false"/>
          <w:i w:val="false"/>
          <w:caps w:val="false"/>
          <w:smallCaps w:val="false"/>
          <w:color w:val="000000"/>
          <w:spacing w:val="0"/>
          <w:sz w:val="20"/>
        </w:rPr>
        <w:t xml:space="preserve">basis. It mitigates this risk by entering contracts with collateral posting requirements and/or by performing financial assessments prior to contract execution, conducting periodic evaluations of </w:t>
      </w:r>
      <w:r>
        <w:rPr>
          <w:rFonts w:ascii="times new roman" w:hAnsi="times new roman"/>
          <w:b w:val="false"/>
          <w:i w:val="false"/>
          <w:caps w:val="false"/>
          <w:smallCaps w:val="false"/>
          <w:color w:val="000000"/>
          <w:spacing w:val="0"/>
          <w:sz w:val="20"/>
        </w:rPr>
        <w:t xml:space="preserve">counterparty </w:t>
      </w:r>
      <w:r>
        <w:rPr>
          <w:rFonts w:ascii="times new roman;times" w:hAnsi="times new roman;times"/>
          <w:b w:val="false"/>
          <w:i w:val="false"/>
          <w:caps w:val="false"/>
          <w:smallCaps w:val="false"/>
          <w:color w:val="000000"/>
          <w:spacing w:val="0"/>
          <w:sz w:val="20"/>
        </w:rPr>
        <w:t xml:space="preserve">performance and maintaining a diverse portfolio of qualified </w:t>
      </w:r>
      <w:r>
        <w:rPr>
          <w:rFonts w:ascii="times new roman" w:hAnsi="times new roman"/>
          <w:b w:val="false"/>
          <w:i w:val="false"/>
          <w:caps w:val="false"/>
          <w:smallCaps w:val="false"/>
          <w:color w:val="000000"/>
          <w:spacing w:val="0"/>
          <w:sz w:val="20"/>
        </w:rPr>
        <w:t>counterparties</w:t>
      </w:r>
      <w:r>
        <w:rPr>
          <w:rFonts w:ascii="times new roman;times" w:hAnsi="times new roman;times"/>
          <w:b w:val="false"/>
          <w:i w:val="false"/>
          <w:caps w:val="false"/>
          <w:smallCaps w:val="false"/>
          <w:color w:val="000000"/>
          <w:spacing w:val="0"/>
          <w:sz w:val="20"/>
        </w:rPr>
        <w:t xml:space="preserve">. xe does not expect any significant losses from </w:t>
      </w:r>
      <w:r>
        <w:rPr>
          <w:rFonts w:ascii="times new roman" w:hAnsi="times new roman"/>
          <w:b w:val="false"/>
          <w:i w:val="false"/>
          <w:caps w:val="false"/>
          <w:smallCaps w:val="false"/>
          <w:color w:val="000000"/>
          <w:spacing w:val="0"/>
          <w:sz w:val="20"/>
        </w:rPr>
        <w:t xml:space="preserve">counterparty </w:t>
      </w:r>
      <w:r>
        <w:rPr>
          <w:rFonts w:ascii="times new roman;times" w:hAnsi="times new roman;times"/>
          <w:b w:val="false"/>
          <w:i w:val="false"/>
          <w:caps w:val="false"/>
          <w:smallCaps w:val="false"/>
          <w:color w:val="000000"/>
          <w:spacing w:val="0"/>
          <w:sz w:val="20"/>
        </w:rPr>
        <w:t>defaults. </w:t>
      </w:r>
    </w:p>
    <w:p>
      <w:pPr>
        <w:pStyle w:val="TextBody"/>
        <w:widowControl/>
        <w:bidi w:val="0"/>
        <w:spacing w:lineRule="auto" w:line="288"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bidi w:val="0"/>
        <w:spacing w:lineRule="auto" w:line="288" w:before="0" w:after="0"/>
        <w:ind w:left="0" w:right="0" w:hanging="0"/>
        <w:jc w:val="both"/>
        <w:rPr>
          <w:rFonts w:ascii="Times New Roman" w:hAnsi="Times New Roman"/>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aggregate equivalent U.S. dollar notional amount of foreign currency derivative customer contracts held by the Company in its xe operations as of June 30, 2024 and December 31, 2023 was $</w:t>
      </w:r>
      <w:r>
        <w:rPr>
          <w:rFonts w:ascii="times new roman" w:hAnsi="times new roman"/>
          <w:b w:val="false"/>
          <w:i w:val="false"/>
          <w:caps w:val="false"/>
          <w:smallCaps w:val="false"/>
          <w:color w:val="000000"/>
          <w:spacing w:val="0"/>
          <w:sz w:val="20"/>
        </w:rPr>
        <w:t xml:space="preserve">1.5 </w:t>
      </w:r>
      <w:r>
        <w:rPr>
          <w:rFonts w:ascii="times new roman;times" w:hAnsi="times new roman;times"/>
          <w:b w:val="false"/>
          <w:i w:val="false"/>
          <w:caps w:val="false"/>
          <w:smallCaps w:val="false"/>
          <w:color w:val="000000"/>
          <w:spacing w:val="0"/>
          <w:sz w:val="20"/>
        </w:rPr>
        <w:t>billion and $</w:t>
      </w:r>
      <w:r>
        <w:rPr>
          <w:rFonts w:ascii="times new roman" w:hAnsi="times new roman"/>
          <w:b w:val="false"/>
          <w:i w:val="false"/>
          <w:caps w:val="false"/>
          <w:smallCaps w:val="false"/>
          <w:color w:val="000000"/>
          <w:spacing w:val="0"/>
          <w:sz w:val="20"/>
        </w:rPr>
        <w:t>1.1 </w:t>
      </w:r>
      <w:r>
        <w:rPr>
          <w:rFonts w:ascii="times new roman;times" w:hAnsi="times new roman;times"/>
          <w:b w:val="false"/>
          <w:i w:val="false"/>
          <w:caps w:val="false"/>
          <w:smallCaps w:val="false"/>
          <w:color w:val="000000"/>
          <w:spacing w:val="0"/>
          <w:sz w:val="20"/>
        </w:rPr>
        <w:t>billion, respectively. The significant majority of customer contracts are written in major currencies such as the euro, U.S. dollar, British pounds sterling, Australian dollar and New Zealand dollar.</w:t>
      </w:r>
    </w:p>
    <w:p>
      <w:pPr>
        <w:pStyle w:val="TextBody"/>
        <w:widowControl/>
        <w:bidi w:val="0"/>
        <w:spacing w:lineRule="auto" w:line="288" w:before="0" w:after="0"/>
        <w:ind w:left="0" w:right="0" w:hanging="0"/>
        <w:jc w:val="both"/>
        <w:rPr/>
      </w:pPr>
      <w:r>
        <w:rPr/>
      </w:r>
    </w:p>
    <w:p>
      <w:pPr>
        <w:pStyle w:val="TextBody"/>
        <w:widowControl/>
        <w:bidi w:val="0"/>
        <w:spacing w:lineRule="auto" w:line="288" w:before="0" w:after="0"/>
        <w:jc w:val="both"/>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Balance Sheet Presentation</w:t>
      </w:r>
    </w:p>
    <w:p>
      <w:pPr>
        <w:pStyle w:val="TextBody"/>
        <w:widowControl/>
        <w:bidi w:val="0"/>
        <w:spacing w:lineRule="auto" w:line="288" w:before="0" w:after="0"/>
        <w:jc w:val="both"/>
        <w:rPr>
          <w:sz w:val="20"/>
        </w:rPr>
      </w:pPr>
      <w:r>
        <w:rPr>
          <w:sz w:val="20"/>
        </w:rPr>
      </w:r>
    </w:p>
    <w:p>
      <w:pPr>
        <w:pStyle w:val="TextBody"/>
        <w:widowControl/>
        <w:bidi w:val="0"/>
        <w:spacing w:lineRule="auto" w:line="288" w:before="0" w:after="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following table summarizes the fair value of the derivative instruments as recorded in the Consolidated Balance Sheets as of the dates below:</w:t>
      </w:r>
    </w:p>
    <w:tbl>
      <w:tblPr>
        <w:tblW w:w="10205" w:type="dxa"/>
        <w:jc w:val="left"/>
        <w:tblInd w:w="0" w:type="dxa"/>
        <w:tblLayout w:type="fixed"/>
        <w:tblCellMar>
          <w:top w:w="0" w:type="dxa"/>
          <w:left w:w="0" w:type="dxa"/>
          <w:bottom w:w="0" w:type="dxa"/>
          <w:right w:w="0" w:type="dxa"/>
        </w:tblCellMar>
      </w:tblPr>
      <w:tblGrid>
        <w:gridCol w:w="2913"/>
        <w:gridCol w:w="60"/>
        <w:gridCol w:w="1279"/>
        <w:gridCol w:w="60"/>
        <w:gridCol w:w="195"/>
        <w:gridCol w:w="595"/>
        <w:gridCol w:w="35"/>
        <w:gridCol w:w="60"/>
        <w:gridCol w:w="268"/>
        <w:gridCol w:w="815"/>
        <w:gridCol w:w="50"/>
        <w:gridCol w:w="60"/>
        <w:gridCol w:w="1632"/>
        <w:gridCol w:w="60"/>
        <w:gridCol w:w="171"/>
        <w:gridCol w:w="605"/>
        <w:gridCol w:w="130"/>
        <w:gridCol w:w="60"/>
        <w:gridCol w:w="211"/>
        <w:gridCol w:w="749"/>
        <w:gridCol w:w="197"/>
      </w:tblGrid>
      <w:tr>
        <w:trPr/>
        <w:tc>
          <w:tcPr>
            <w:tcW w:w="2913"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3357" w:type="dxa"/>
            <w:gridSpan w:val="9"/>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Asset Derivatives</w:t>
            </w:r>
          </w:p>
        </w:tc>
        <w:tc>
          <w:tcPr>
            <w:tcW w:w="60" w:type="dxa"/>
            <w:tcBorders/>
            <w:vAlign w:val="center"/>
          </w:tcPr>
          <w:p>
            <w:pPr>
              <w:pStyle w:val="TableContents"/>
              <w:bidi w:val="0"/>
              <w:spacing w:before="0" w:after="0"/>
              <w:jc w:val="left"/>
              <w:rPr/>
            </w:pPr>
            <w:r>
              <w:rPr/>
              <w:t> </w:t>
            </w:r>
          </w:p>
        </w:tc>
        <w:tc>
          <w:tcPr>
            <w:tcW w:w="3815" w:type="dxa"/>
            <w:gridSpan w:val="9"/>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Liability Derivatives</w:t>
            </w:r>
          </w:p>
        </w:tc>
      </w:tr>
      <w:tr>
        <w:trPr/>
        <w:tc>
          <w:tcPr>
            <w:tcW w:w="2913"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79"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018" w:type="dxa"/>
            <w:gridSpan w:val="7"/>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Fair Value</w:t>
            </w:r>
          </w:p>
        </w:tc>
        <w:tc>
          <w:tcPr>
            <w:tcW w:w="60" w:type="dxa"/>
            <w:tcBorders/>
            <w:vAlign w:val="center"/>
          </w:tcPr>
          <w:p>
            <w:pPr>
              <w:pStyle w:val="TableContents"/>
              <w:bidi w:val="0"/>
              <w:spacing w:before="0" w:after="0"/>
              <w:jc w:val="left"/>
              <w:rPr/>
            </w:pPr>
            <w:r>
              <w:rPr/>
              <w:t> </w:t>
            </w:r>
          </w:p>
        </w:tc>
        <w:tc>
          <w:tcPr>
            <w:tcW w:w="1632"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123" w:type="dxa"/>
            <w:gridSpan w:val="7"/>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Fair Value</w:t>
            </w:r>
          </w:p>
        </w:tc>
      </w:tr>
      <w:tr>
        <w:trPr/>
        <w:tc>
          <w:tcPr>
            <w:tcW w:w="2913" w:type="dxa"/>
            <w:tcBorders/>
            <w:vAlign w:val="center"/>
          </w:tcPr>
          <w:p>
            <w:pPr>
              <w:pStyle w:val="TableContents"/>
              <w:bidi w:val="0"/>
              <w:spacing w:before="0" w:after="0"/>
              <w:jc w:val="left"/>
              <w:rPr>
                <w:rFonts w:ascii="times new roman;times" w:hAnsi="times new roman;times"/>
                <w:sz w:val="16"/>
              </w:rPr>
            </w:pPr>
            <w:r>
              <w:rPr>
                <w:rFonts w:ascii="times new roman;times" w:hAnsi="times new roman;times"/>
                <w:sz w:val="16"/>
              </w:rPr>
              <w:t>(in millions)</w:t>
            </w:r>
          </w:p>
        </w:tc>
        <w:tc>
          <w:tcPr>
            <w:tcW w:w="60" w:type="dxa"/>
            <w:tcBorders/>
            <w:vAlign w:val="center"/>
          </w:tcPr>
          <w:p>
            <w:pPr>
              <w:pStyle w:val="TableContents"/>
              <w:bidi w:val="0"/>
              <w:spacing w:before="0" w:after="0"/>
              <w:jc w:val="left"/>
              <w:rPr/>
            </w:pPr>
            <w:r>
              <w:rPr/>
              <w:t> </w:t>
            </w:r>
          </w:p>
        </w:tc>
        <w:tc>
          <w:tcPr>
            <w:tcW w:w="1279" w:type="dxa"/>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Balance Sheet Location</w:t>
            </w:r>
          </w:p>
        </w:tc>
        <w:tc>
          <w:tcPr>
            <w:tcW w:w="60" w:type="dxa"/>
            <w:tcBorders/>
            <w:vAlign w:val="center"/>
          </w:tcPr>
          <w:p>
            <w:pPr>
              <w:pStyle w:val="TableContents"/>
              <w:bidi w:val="0"/>
              <w:spacing w:before="0" w:after="0"/>
              <w:jc w:val="left"/>
              <w:rPr/>
            </w:pPr>
            <w:r>
              <w:rPr/>
              <w:t> </w:t>
            </w:r>
          </w:p>
        </w:tc>
        <w:tc>
          <w:tcPr>
            <w:tcW w:w="825" w:type="dxa"/>
            <w:gridSpan w:val="3"/>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June 30, 2024</w:t>
            </w:r>
          </w:p>
        </w:tc>
        <w:tc>
          <w:tcPr>
            <w:tcW w:w="60" w:type="dxa"/>
            <w:tcBorders/>
            <w:vAlign w:val="center"/>
          </w:tcPr>
          <w:p>
            <w:pPr>
              <w:pStyle w:val="TableContents"/>
              <w:bidi w:val="0"/>
              <w:spacing w:before="0" w:after="0"/>
              <w:jc w:val="left"/>
              <w:rPr/>
            </w:pPr>
            <w:r>
              <w:rPr/>
              <w:t> </w:t>
            </w:r>
          </w:p>
        </w:tc>
        <w:tc>
          <w:tcPr>
            <w:tcW w:w="1133" w:type="dxa"/>
            <w:gridSpan w:val="3"/>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December 31, 2023</w:t>
            </w:r>
          </w:p>
        </w:tc>
        <w:tc>
          <w:tcPr>
            <w:tcW w:w="60" w:type="dxa"/>
            <w:tcBorders/>
            <w:vAlign w:val="center"/>
          </w:tcPr>
          <w:p>
            <w:pPr>
              <w:pStyle w:val="TableContents"/>
              <w:bidi w:val="0"/>
              <w:spacing w:before="0" w:after="0"/>
              <w:jc w:val="left"/>
              <w:rPr/>
            </w:pPr>
            <w:r>
              <w:rPr/>
              <w:t> </w:t>
            </w:r>
          </w:p>
        </w:tc>
        <w:tc>
          <w:tcPr>
            <w:tcW w:w="1632" w:type="dxa"/>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Balance Sheet Location</w:t>
            </w:r>
          </w:p>
        </w:tc>
        <w:tc>
          <w:tcPr>
            <w:tcW w:w="60" w:type="dxa"/>
            <w:tcBorders/>
            <w:vAlign w:val="center"/>
          </w:tcPr>
          <w:p>
            <w:pPr>
              <w:pStyle w:val="TableContents"/>
              <w:bidi w:val="0"/>
              <w:spacing w:before="0" w:after="0"/>
              <w:jc w:val="left"/>
              <w:rPr/>
            </w:pPr>
            <w:r>
              <w:rPr/>
              <w:t> </w:t>
            </w:r>
          </w:p>
        </w:tc>
        <w:tc>
          <w:tcPr>
            <w:tcW w:w="906" w:type="dxa"/>
            <w:gridSpan w:val="3"/>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 xml:space="preserve">June 30, 2024 </w:t>
            </w:r>
          </w:p>
        </w:tc>
        <w:tc>
          <w:tcPr>
            <w:tcW w:w="60" w:type="dxa"/>
            <w:tcBorders/>
            <w:vAlign w:val="center"/>
          </w:tcPr>
          <w:p>
            <w:pPr>
              <w:pStyle w:val="TableContents"/>
              <w:bidi w:val="0"/>
              <w:spacing w:before="0" w:after="0"/>
              <w:jc w:val="left"/>
              <w:rPr/>
            </w:pPr>
            <w:r>
              <w:rPr/>
              <w:t> </w:t>
            </w:r>
          </w:p>
        </w:tc>
        <w:tc>
          <w:tcPr>
            <w:tcW w:w="1157" w:type="dxa"/>
            <w:gridSpan w:val="3"/>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December 31, 2023</w:t>
            </w:r>
          </w:p>
        </w:tc>
      </w:tr>
      <w:tr>
        <w:trPr/>
        <w:tc>
          <w:tcPr>
            <w:tcW w:w="2913" w:type="dxa"/>
            <w:tcBorders/>
            <w:shd w:fill="CCEEFF" w:val="clear"/>
            <w:vAlign w:val="center"/>
          </w:tcPr>
          <w:p>
            <w:pPr>
              <w:pStyle w:val="TableContents"/>
              <w:bidi w:val="0"/>
              <w:spacing w:before="0" w:after="0"/>
              <w:jc w:val="left"/>
              <w:rPr>
                <w:rFonts w:ascii="times new roman;times" w:hAnsi="times new roman;times"/>
                <w:b/>
                <w:sz w:val="20"/>
              </w:rPr>
            </w:pPr>
            <w:r>
              <w:rPr>
                <w:rFonts w:ascii="times new roman;times" w:hAnsi="times new roman;times"/>
                <w:b/>
                <w:sz w:val="20"/>
              </w:rPr>
              <w:t>Derivatives not designated as hedging instruments</w:t>
            </w:r>
          </w:p>
        </w:tc>
        <w:tc>
          <w:tcPr>
            <w:tcW w:w="60" w:type="dxa"/>
            <w:tcBorders/>
            <w:shd w:fill="CCEEFF" w:val="clear"/>
            <w:vAlign w:val="center"/>
          </w:tcPr>
          <w:p>
            <w:pPr>
              <w:pStyle w:val="TableContents"/>
              <w:bidi w:val="0"/>
              <w:spacing w:before="0" w:after="0"/>
              <w:jc w:val="left"/>
              <w:rPr/>
            </w:pPr>
            <w:r>
              <w:rPr/>
              <w:t> </w:t>
            </w:r>
          </w:p>
        </w:tc>
        <w:tc>
          <w:tcPr>
            <w:tcW w:w="1279"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825" w:type="dxa"/>
            <w:gridSpan w:val="3"/>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133" w:type="dxa"/>
            <w:gridSpan w:val="3"/>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632"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906" w:type="dxa"/>
            <w:gridSpan w:val="3"/>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157" w:type="dxa"/>
            <w:gridSpan w:val="3"/>
            <w:tcBorders/>
            <w:shd w:fill="CCEEFF" w:val="clear"/>
            <w:vAlign w:val="center"/>
          </w:tcPr>
          <w:p>
            <w:pPr>
              <w:pStyle w:val="TableContents"/>
              <w:bidi w:val="0"/>
              <w:spacing w:before="0" w:after="0"/>
              <w:jc w:val="left"/>
              <w:rPr/>
            </w:pPr>
            <w:r>
              <w:rPr/>
              <w:t> </w:t>
            </w:r>
          </w:p>
        </w:tc>
      </w:tr>
      <w:tr>
        <w:trPr/>
        <w:tc>
          <w:tcPr>
            <w:tcW w:w="2913"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Foreign currency exchange contracts</w:t>
            </w:r>
          </w:p>
        </w:tc>
        <w:tc>
          <w:tcPr>
            <w:tcW w:w="60" w:type="dxa"/>
            <w:tcBorders/>
            <w:vAlign w:val="center"/>
          </w:tcPr>
          <w:p>
            <w:pPr>
              <w:pStyle w:val="TableContents"/>
              <w:bidi w:val="0"/>
              <w:spacing w:before="0" w:after="0"/>
              <w:jc w:val="left"/>
              <w:rPr/>
            </w:pPr>
            <w:r>
              <w:rPr/>
              <w:t> </w:t>
            </w:r>
          </w:p>
        </w:tc>
        <w:tc>
          <w:tcPr>
            <w:tcW w:w="1279" w:type="dxa"/>
            <w:tcBorders/>
            <w:vAlign w:val="center"/>
          </w:tcPr>
          <w:p>
            <w:pPr>
              <w:pStyle w:val="TableContents"/>
              <w:bidi w:val="0"/>
              <w:spacing w:before="0" w:after="0"/>
              <w:jc w:val="center"/>
              <w:rPr>
                <w:rFonts w:ascii="times new roman;times" w:hAnsi="times new roman;times"/>
                <w:sz w:val="20"/>
              </w:rPr>
            </w:pPr>
            <w:r>
              <w:rPr>
                <w:rFonts w:ascii="times new roman;times" w:hAnsi="times new roman;times"/>
                <w:sz w:val="20"/>
              </w:rPr>
              <w:t>Other current assets</w:t>
            </w:r>
          </w:p>
        </w:tc>
        <w:tc>
          <w:tcPr>
            <w:tcW w:w="60" w:type="dxa"/>
            <w:tcBorders/>
            <w:vAlign w:val="center"/>
          </w:tcPr>
          <w:p>
            <w:pPr>
              <w:pStyle w:val="TableContents"/>
              <w:bidi w:val="0"/>
              <w:spacing w:before="0" w:after="0"/>
              <w:jc w:val="left"/>
              <w:rPr/>
            </w:pPr>
            <w:r>
              <w:rPr/>
              <w:t> </w:t>
            </w:r>
          </w:p>
        </w:tc>
        <w:tc>
          <w:tcPr>
            <w:tcW w:w="195"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595"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32.4</w:t>
            </w:r>
          </w:p>
        </w:tc>
        <w:tc>
          <w:tcPr>
            <w:tcW w:w="35" w:type="dxa"/>
            <w:tcBorders/>
            <w:vAlign w:val="center"/>
          </w:tcPr>
          <w:p>
            <w:pPr>
              <w:pStyle w:val="TableContents"/>
              <w:bidi w:val="0"/>
              <w:spacing w:before="0" w:after="0"/>
              <w:jc w:val="left"/>
              <w:rPr>
                <w:sz w:val="20"/>
              </w:rPr>
            </w:pPr>
            <w:r>
              <w:rPr>
                <w:sz w:val="20"/>
              </w:rPr>
            </w:r>
          </w:p>
        </w:tc>
        <w:tc>
          <w:tcPr>
            <w:tcW w:w="60" w:type="dxa"/>
            <w:tcBorders/>
            <w:vAlign w:val="center"/>
          </w:tcPr>
          <w:p>
            <w:pPr>
              <w:pStyle w:val="TableContents"/>
              <w:bidi w:val="0"/>
              <w:spacing w:before="0" w:after="0"/>
              <w:jc w:val="left"/>
              <w:rPr/>
            </w:pPr>
            <w:r>
              <w:rPr/>
              <w:t> </w:t>
            </w:r>
          </w:p>
        </w:tc>
        <w:tc>
          <w:tcPr>
            <w:tcW w:w="268"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815"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50.0</w:t>
            </w:r>
          </w:p>
        </w:tc>
        <w:tc>
          <w:tcPr>
            <w:tcW w:w="50" w:type="dxa"/>
            <w:tcBorders/>
            <w:vAlign w:val="center"/>
          </w:tcPr>
          <w:p>
            <w:pPr>
              <w:pStyle w:val="TableContents"/>
              <w:bidi w:val="0"/>
              <w:spacing w:before="0" w:after="0"/>
              <w:jc w:val="left"/>
              <w:rPr>
                <w:sz w:val="20"/>
              </w:rPr>
            </w:pPr>
            <w:r>
              <w:rPr>
                <w:sz w:val="20"/>
              </w:rPr>
            </w:r>
          </w:p>
        </w:tc>
        <w:tc>
          <w:tcPr>
            <w:tcW w:w="60" w:type="dxa"/>
            <w:tcBorders/>
            <w:vAlign w:val="center"/>
          </w:tcPr>
          <w:p>
            <w:pPr>
              <w:pStyle w:val="TableContents"/>
              <w:bidi w:val="0"/>
              <w:spacing w:before="0" w:after="0"/>
              <w:jc w:val="left"/>
              <w:rPr/>
            </w:pPr>
            <w:r>
              <w:rPr/>
              <w:t> </w:t>
            </w:r>
          </w:p>
        </w:tc>
        <w:tc>
          <w:tcPr>
            <w:tcW w:w="1632" w:type="dxa"/>
            <w:tcBorders/>
            <w:vAlign w:val="center"/>
          </w:tcPr>
          <w:p>
            <w:pPr>
              <w:pStyle w:val="TableContents"/>
              <w:bidi w:val="0"/>
              <w:spacing w:before="0" w:after="283"/>
              <w:jc w:val="center"/>
              <w:rPr/>
            </w:pPr>
            <w:r>
              <w:rPr/>
              <w:t>Other current liabilities</w:t>
            </w:r>
          </w:p>
        </w:tc>
        <w:tc>
          <w:tcPr>
            <w:tcW w:w="60" w:type="dxa"/>
            <w:tcBorders/>
            <w:vAlign w:val="center"/>
          </w:tcPr>
          <w:p>
            <w:pPr>
              <w:pStyle w:val="TableContents"/>
              <w:bidi w:val="0"/>
              <w:spacing w:before="0" w:after="0"/>
              <w:jc w:val="left"/>
              <w:rPr/>
            </w:pPr>
            <w:r>
              <w:rPr/>
              <w:t> </w:t>
            </w:r>
          </w:p>
        </w:tc>
        <w:tc>
          <w:tcPr>
            <w:tcW w:w="171"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605"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(28.4</w:t>
            </w:r>
          </w:p>
        </w:tc>
        <w:tc>
          <w:tcPr>
            <w:tcW w:w="1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0"/>
              <w:jc w:val="left"/>
              <w:rPr/>
            </w:pPr>
            <w:r>
              <w:rPr/>
              <w:t> </w:t>
            </w:r>
          </w:p>
        </w:tc>
        <w:tc>
          <w:tcPr>
            <w:tcW w:w="211"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749"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(39.1</w:t>
            </w:r>
          </w:p>
        </w:tc>
        <w:tc>
          <w:tcPr>
            <w:tcW w:w="197" w:type="dxa"/>
            <w:tcBorders/>
            <w:vAlign w:val="center"/>
          </w:tcPr>
          <w:p>
            <w:pPr>
              <w:pStyle w:val="TableContents"/>
              <w:bidi w:val="0"/>
              <w:spacing w:before="0" w:after="283"/>
              <w:jc w:val="left"/>
              <w:rPr/>
            </w:pPr>
            <w:r>
              <w:rPr/>
              <w:t>)</w:t>
            </w:r>
          </w:p>
        </w:tc>
      </w:tr>
    </w:tbl>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lineRule="auto" w:line="288"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following tables summarize the gross and net fair value of derivative assets and liabilities as of June 30, 2024 and December 31, 2023 (in millions):</w:t>
      </w:r>
    </w:p>
    <w:p>
      <w:pPr>
        <w:pStyle w:val="TextBody"/>
        <w:widowControl/>
        <w:bidi w:val="0"/>
        <w:spacing w:lineRule="auto" w:line="288"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bidi w:val="0"/>
        <w:spacing w:lineRule="auto" w:line="288" w:before="0" w:after="0"/>
        <w:ind w:left="0" w:right="0" w:hanging="0"/>
        <w:jc w:val="left"/>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Offsetting of Derivative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10205" w:type="dxa"/>
        <w:jc w:val="left"/>
        <w:tblInd w:w="0" w:type="dxa"/>
        <w:tblLayout w:type="fixed"/>
        <w:tblCellMar>
          <w:top w:w="0" w:type="dxa"/>
          <w:left w:w="0" w:type="dxa"/>
          <w:bottom w:w="0" w:type="dxa"/>
          <w:right w:w="0" w:type="dxa"/>
        </w:tblCellMar>
      </w:tblPr>
      <w:tblGrid>
        <w:gridCol w:w="2399"/>
        <w:gridCol w:w="60"/>
        <w:gridCol w:w="321"/>
        <w:gridCol w:w="977"/>
        <w:gridCol w:w="59"/>
        <w:gridCol w:w="60"/>
        <w:gridCol w:w="564"/>
        <w:gridCol w:w="1176"/>
        <w:gridCol w:w="107"/>
        <w:gridCol w:w="60"/>
        <w:gridCol w:w="442"/>
        <w:gridCol w:w="1347"/>
        <w:gridCol w:w="83"/>
        <w:gridCol w:w="60"/>
        <w:gridCol w:w="313"/>
        <w:gridCol w:w="1107"/>
        <w:gridCol w:w="241"/>
        <w:gridCol w:w="60"/>
        <w:gridCol w:w="175"/>
        <w:gridCol w:w="533"/>
        <w:gridCol w:w="61"/>
      </w:tblGrid>
      <w:tr>
        <w:trPr/>
        <w:tc>
          <w:tcPr>
            <w:tcW w:w="2399" w:type="dxa"/>
            <w:tcBorders/>
            <w:vAlign w:val="center"/>
          </w:tcPr>
          <w:p>
            <w:pPr>
              <w:pStyle w:val="TableContents"/>
              <w:bidi w:val="0"/>
              <w:spacing w:before="0" w:after="0"/>
              <w:jc w:val="left"/>
              <w:rPr>
                <w:rFonts w:ascii="times new roman;times" w:hAnsi="times new roman;times"/>
                <w:b/>
                <w:sz w:val="16"/>
              </w:rPr>
            </w:pPr>
            <w:r>
              <w:rPr>
                <w:rFonts w:ascii="times new roman;times" w:hAnsi="times new roman;times"/>
                <w:b/>
                <w:sz w:val="16"/>
              </w:rPr>
              <w:t>As of June 30, 2024</w:t>
            </w:r>
          </w:p>
        </w:tc>
        <w:tc>
          <w:tcPr>
            <w:tcW w:w="60" w:type="dxa"/>
            <w:tcBorders/>
            <w:vAlign w:val="center"/>
          </w:tcPr>
          <w:p>
            <w:pPr>
              <w:pStyle w:val="TableContents"/>
              <w:bidi w:val="0"/>
              <w:spacing w:before="0" w:after="0"/>
              <w:jc w:val="left"/>
              <w:rPr/>
            </w:pPr>
            <w:r>
              <w:rPr/>
              <w:t> </w:t>
            </w:r>
          </w:p>
        </w:tc>
        <w:tc>
          <w:tcPr>
            <w:tcW w:w="1357" w:type="dxa"/>
            <w:gridSpan w:val="3"/>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Gross Amounts of Recognized Assets</w:t>
            </w:r>
          </w:p>
        </w:tc>
        <w:tc>
          <w:tcPr>
            <w:tcW w:w="60" w:type="dxa"/>
            <w:tcBorders/>
            <w:vAlign w:val="center"/>
          </w:tcPr>
          <w:p>
            <w:pPr>
              <w:pStyle w:val="TableContents"/>
              <w:bidi w:val="0"/>
              <w:spacing w:before="0" w:after="0"/>
              <w:jc w:val="left"/>
              <w:rPr/>
            </w:pPr>
            <w:r>
              <w:rPr/>
              <w:t> </w:t>
            </w:r>
          </w:p>
        </w:tc>
        <w:tc>
          <w:tcPr>
            <w:tcW w:w="1847" w:type="dxa"/>
            <w:gridSpan w:val="3"/>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Gross Amounts Offset in the Consolidated Balance Sheet</w:t>
            </w:r>
          </w:p>
        </w:tc>
        <w:tc>
          <w:tcPr>
            <w:tcW w:w="60" w:type="dxa"/>
            <w:tcBorders/>
            <w:vAlign w:val="center"/>
          </w:tcPr>
          <w:p>
            <w:pPr>
              <w:pStyle w:val="TableContents"/>
              <w:bidi w:val="0"/>
              <w:spacing w:before="0" w:after="0"/>
              <w:jc w:val="left"/>
              <w:rPr/>
            </w:pPr>
            <w:r>
              <w:rPr/>
              <w:t> </w:t>
            </w:r>
          </w:p>
        </w:tc>
        <w:tc>
          <w:tcPr>
            <w:tcW w:w="1872" w:type="dxa"/>
            <w:gridSpan w:val="3"/>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Net Amounts Presented in the Consolidated Balance Sheet</w:t>
            </w:r>
          </w:p>
        </w:tc>
        <w:tc>
          <w:tcPr>
            <w:tcW w:w="60" w:type="dxa"/>
            <w:tcBorders/>
            <w:vAlign w:val="center"/>
          </w:tcPr>
          <w:p>
            <w:pPr>
              <w:pStyle w:val="TableContents"/>
              <w:bidi w:val="0"/>
              <w:spacing w:before="0" w:after="0"/>
              <w:jc w:val="left"/>
              <w:rPr/>
            </w:pPr>
            <w:r>
              <w:rPr/>
              <w:t> </w:t>
            </w:r>
          </w:p>
        </w:tc>
        <w:tc>
          <w:tcPr>
            <w:tcW w:w="1661" w:type="dxa"/>
            <w:gridSpan w:val="3"/>
            <w:tcBorders/>
            <w:vAlign w:val="center"/>
          </w:tcPr>
          <w:p>
            <w:pPr>
              <w:pStyle w:val="TableContents"/>
              <w:widowControl/>
              <w:bidi w:val="0"/>
              <w:spacing w:before="0" w:after="0"/>
              <w:ind w:left="0" w:right="0" w:hanging="0"/>
              <w:jc w:val="center"/>
              <w:rPr>
                <w:rFonts w:ascii="times new roman;times" w:hAnsi="times new roman;times"/>
                <w:b/>
                <w:i w:val="false"/>
                <w:caps w:val="false"/>
                <w:smallCaps w:val="false"/>
                <w:color w:val="000000"/>
                <w:spacing w:val="0"/>
                <w:sz w:val="15"/>
              </w:rPr>
            </w:pPr>
            <w:r>
              <w:rPr>
                <w:rFonts w:ascii="times new roman;times" w:hAnsi="times new roman;times"/>
                <w:b/>
                <w:i w:val="false"/>
                <w:caps w:val="false"/>
                <w:smallCaps w:val="false"/>
                <w:color w:val="000000"/>
                <w:spacing w:val="0"/>
                <w:sz w:val="15"/>
              </w:rPr>
              <w:t>Derivatives Not Offset in the Consolidated Balance Sheet</w:t>
            </w:r>
          </w:p>
        </w:tc>
        <w:tc>
          <w:tcPr>
            <w:tcW w:w="60" w:type="dxa"/>
            <w:tcBorders/>
            <w:vAlign w:val="center"/>
          </w:tcPr>
          <w:p>
            <w:pPr>
              <w:pStyle w:val="TableContents"/>
              <w:bidi w:val="0"/>
              <w:spacing w:before="0" w:after="0"/>
              <w:jc w:val="left"/>
              <w:rPr/>
            </w:pPr>
            <w:r>
              <w:rPr/>
              <w:t> </w:t>
            </w:r>
          </w:p>
        </w:tc>
        <w:tc>
          <w:tcPr>
            <w:tcW w:w="769" w:type="dxa"/>
            <w:gridSpan w:val="3"/>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Net Amounts</w:t>
            </w:r>
          </w:p>
        </w:tc>
      </w:tr>
      <w:tr>
        <w:trPr/>
        <w:tc>
          <w:tcPr>
            <w:tcW w:w="2399"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Derivatives subject to a master netting arrangement or similar agreement</w:t>
            </w:r>
          </w:p>
        </w:tc>
        <w:tc>
          <w:tcPr>
            <w:tcW w:w="60" w:type="dxa"/>
            <w:tcBorders/>
            <w:shd w:fill="CCEEFF" w:val="clear"/>
            <w:vAlign w:val="center"/>
          </w:tcPr>
          <w:p>
            <w:pPr>
              <w:pStyle w:val="TableContents"/>
              <w:bidi w:val="0"/>
              <w:spacing w:before="0" w:after="0"/>
              <w:jc w:val="left"/>
              <w:rPr/>
            </w:pPr>
            <w:r>
              <w:rPr/>
              <w:t> </w:t>
            </w:r>
          </w:p>
        </w:tc>
        <w:tc>
          <w:tcPr>
            <w:tcW w:w="321"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977"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32.4</w:t>
            </w:r>
          </w:p>
        </w:tc>
        <w:tc>
          <w:tcPr>
            <w:tcW w:w="59" w:type="dxa"/>
            <w:tcBorders/>
            <w:shd w:fill="CCEEFF" w:val="clear"/>
            <w:vAlign w:val="center"/>
          </w:tcPr>
          <w:p>
            <w:pPr>
              <w:pStyle w:val="TableContents"/>
              <w:bidi w:val="0"/>
              <w:spacing w:before="0" w:after="0"/>
              <w:jc w:val="left"/>
              <w:rPr>
                <w:sz w:val="20"/>
              </w:rPr>
            </w:pPr>
            <w:r>
              <w:rPr>
                <w:sz w:val="20"/>
              </w:rPr>
            </w:r>
          </w:p>
        </w:tc>
        <w:tc>
          <w:tcPr>
            <w:tcW w:w="60" w:type="dxa"/>
            <w:tcBorders/>
            <w:shd w:fill="CCEEFF" w:val="clear"/>
            <w:vAlign w:val="center"/>
          </w:tcPr>
          <w:p>
            <w:pPr>
              <w:pStyle w:val="TableContents"/>
              <w:bidi w:val="0"/>
              <w:spacing w:before="0" w:after="0"/>
              <w:jc w:val="left"/>
              <w:rPr/>
            </w:pPr>
            <w:r>
              <w:rPr/>
              <w:t> </w:t>
            </w:r>
          </w:p>
        </w:tc>
        <w:tc>
          <w:tcPr>
            <w:tcW w:w="564"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1176" w:type="dxa"/>
            <w:tcBorders/>
            <w:shd w:fill="CCEEFF" w:val="clear"/>
            <w:vAlign w:val="center"/>
          </w:tcPr>
          <w:p>
            <w:pPr>
              <w:pStyle w:val="TableContents"/>
              <w:bidi w:val="0"/>
              <w:spacing w:before="0" w:after="0"/>
              <w:jc w:val="right"/>
              <w:rPr/>
            </w:pPr>
            <w:r>
              <w:rPr/>
              <w:t>—</w:t>
            </w:r>
          </w:p>
        </w:tc>
        <w:tc>
          <w:tcPr>
            <w:tcW w:w="107" w:type="dxa"/>
            <w:tcBorders/>
            <w:shd w:fill="CCEEFF" w:val="clear"/>
            <w:vAlign w:val="center"/>
          </w:tcPr>
          <w:p>
            <w:pPr>
              <w:pStyle w:val="TableContents"/>
              <w:bidi w:val="0"/>
              <w:spacing w:before="0" w:after="0"/>
              <w:jc w:val="left"/>
              <w:rPr>
                <w:sz w:val="20"/>
              </w:rPr>
            </w:pPr>
            <w:r>
              <w:rPr>
                <w:sz w:val="20"/>
              </w:rPr>
            </w:r>
          </w:p>
        </w:tc>
        <w:tc>
          <w:tcPr>
            <w:tcW w:w="60" w:type="dxa"/>
            <w:tcBorders/>
            <w:shd w:fill="CCEEFF" w:val="clear"/>
            <w:vAlign w:val="center"/>
          </w:tcPr>
          <w:p>
            <w:pPr>
              <w:pStyle w:val="TableContents"/>
              <w:bidi w:val="0"/>
              <w:spacing w:before="0" w:after="0"/>
              <w:jc w:val="left"/>
              <w:rPr/>
            </w:pPr>
            <w:r>
              <w:rPr/>
              <w:t> </w:t>
            </w:r>
          </w:p>
        </w:tc>
        <w:tc>
          <w:tcPr>
            <w:tcW w:w="442"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1347"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32.4</w:t>
            </w:r>
          </w:p>
        </w:tc>
        <w:tc>
          <w:tcPr>
            <w:tcW w:w="83" w:type="dxa"/>
            <w:tcBorders/>
            <w:shd w:fill="CCEEFF" w:val="clear"/>
            <w:vAlign w:val="center"/>
          </w:tcPr>
          <w:p>
            <w:pPr>
              <w:pStyle w:val="TableContents"/>
              <w:bidi w:val="0"/>
              <w:spacing w:before="0" w:after="0"/>
              <w:jc w:val="left"/>
              <w:rPr>
                <w:sz w:val="20"/>
              </w:rPr>
            </w:pPr>
            <w:r>
              <w:rPr>
                <w:sz w:val="20"/>
              </w:rPr>
            </w:r>
          </w:p>
        </w:tc>
        <w:tc>
          <w:tcPr>
            <w:tcW w:w="60" w:type="dxa"/>
            <w:tcBorders/>
            <w:shd w:fill="CCEEFF" w:val="clear"/>
            <w:vAlign w:val="center"/>
          </w:tcPr>
          <w:p>
            <w:pPr>
              <w:pStyle w:val="TableContents"/>
              <w:bidi w:val="0"/>
              <w:spacing w:before="0" w:after="0"/>
              <w:jc w:val="left"/>
              <w:rPr/>
            </w:pPr>
            <w:r>
              <w:rPr/>
              <w:t> </w:t>
            </w:r>
          </w:p>
        </w:tc>
        <w:tc>
          <w:tcPr>
            <w:tcW w:w="313"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1107"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(14.6</w:t>
            </w:r>
          </w:p>
        </w:tc>
        <w:tc>
          <w:tcPr>
            <w:tcW w:w="241"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0"/>
              <w:jc w:val="left"/>
              <w:rPr/>
            </w:pPr>
            <w:r>
              <w:rPr/>
              <w:t> </w:t>
            </w:r>
          </w:p>
        </w:tc>
        <w:tc>
          <w:tcPr>
            <w:tcW w:w="175"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533"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17.8</w:t>
            </w:r>
          </w:p>
        </w:tc>
        <w:tc>
          <w:tcPr>
            <w:tcW w:w="61" w:type="dxa"/>
            <w:tcBorders/>
            <w:shd w:fill="CCEEFF" w:val="clear"/>
            <w:vAlign w:val="center"/>
          </w:tcPr>
          <w:p>
            <w:pPr>
              <w:pStyle w:val="TableContents"/>
              <w:bidi w:val="0"/>
              <w:spacing w:before="0" w:after="0"/>
              <w:jc w:val="left"/>
              <w:rPr>
                <w:sz w:val="20"/>
              </w:rPr>
            </w:pPr>
            <w:r>
              <w:rPr>
                <w:sz w:val="20"/>
              </w:rPr>
            </w:r>
          </w:p>
        </w:tc>
      </w:tr>
      <w:tr>
        <w:trPr/>
        <w:tc>
          <w:tcPr>
            <w:tcW w:w="2399"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357" w:type="dxa"/>
            <w:gridSpan w:val="3"/>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847" w:type="dxa"/>
            <w:gridSpan w:val="3"/>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872" w:type="dxa"/>
            <w:gridSpan w:val="3"/>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661" w:type="dxa"/>
            <w:gridSpan w:val="3"/>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769" w:type="dxa"/>
            <w:gridSpan w:val="3"/>
            <w:tcBorders/>
            <w:vAlign w:val="center"/>
          </w:tcPr>
          <w:p>
            <w:pPr>
              <w:pStyle w:val="TableContents"/>
              <w:bidi w:val="0"/>
              <w:spacing w:before="0" w:after="0"/>
              <w:jc w:val="left"/>
              <w:rPr/>
            </w:pPr>
            <w:r>
              <w:rPr/>
              <w:t> </w:t>
            </w:r>
          </w:p>
        </w:tc>
      </w:tr>
      <w:tr>
        <w:trPr/>
        <w:tc>
          <w:tcPr>
            <w:tcW w:w="2399" w:type="dxa"/>
            <w:tcBorders/>
            <w:vAlign w:val="center"/>
          </w:tcPr>
          <w:p>
            <w:pPr>
              <w:pStyle w:val="TableContents"/>
              <w:bidi w:val="0"/>
              <w:spacing w:before="0" w:after="0"/>
              <w:jc w:val="left"/>
              <w:rPr>
                <w:rFonts w:ascii="times new roman;times" w:hAnsi="times new roman;times"/>
                <w:b/>
                <w:sz w:val="16"/>
              </w:rPr>
            </w:pPr>
            <w:r>
              <w:rPr>
                <w:rFonts w:ascii="times new roman;times" w:hAnsi="times new roman;times"/>
                <w:b/>
                <w:sz w:val="16"/>
              </w:rPr>
              <w:t>As of December 31, 2023</w:t>
            </w:r>
          </w:p>
        </w:tc>
        <w:tc>
          <w:tcPr>
            <w:tcW w:w="60" w:type="dxa"/>
            <w:tcBorders/>
            <w:vAlign w:val="center"/>
          </w:tcPr>
          <w:p>
            <w:pPr>
              <w:pStyle w:val="TableContents"/>
              <w:bidi w:val="0"/>
              <w:spacing w:before="0" w:after="0"/>
              <w:jc w:val="left"/>
              <w:rPr/>
            </w:pPr>
            <w:r>
              <w:rPr/>
              <w:t> </w:t>
            </w:r>
          </w:p>
        </w:tc>
        <w:tc>
          <w:tcPr>
            <w:tcW w:w="1357" w:type="dxa"/>
            <w:gridSpan w:val="3"/>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847" w:type="dxa"/>
            <w:gridSpan w:val="3"/>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872" w:type="dxa"/>
            <w:gridSpan w:val="3"/>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661" w:type="dxa"/>
            <w:gridSpan w:val="3"/>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769" w:type="dxa"/>
            <w:gridSpan w:val="3"/>
            <w:tcBorders/>
            <w:vAlign w:val="center"/>
          </w:tcPr>
          <w:p>
            <w:pPr>
              <w:pStyle w:val="TableContents"/>
              <w:bidi w:val="0"/>
              <w:spacing w:before="0" w:after="0"/>
              <w:jc w:val="left"/>
              <w:rPr/>
            </w:pPr>
            <w:r>
              <w:rPr/>
              <w:t> </w:t>
            </w:r>
          </w:p>
        </w:tc>
      </w:tr>
      <w:tr>
        <w:trPr/>
        <w:tc>
          <w:tcPr>
            <w:tcW w:w="2399"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Derivatives subject to a master netting arrangement or similar agreement</w:t>
            </w:r>
          </w:p>
        </w:tc>
        <w:tc>
          <w:tcPr>
            <w:tcW w:w="60" w:type="dxa"/>
            <w:tcBorders/>
            <w:shd w:fill="CCEEFF" w:val="clear"/>
            <w:vAlign w:val="center"/>
          </w:tcPr>
          <w:p>
            <w:pPr>
              <w:pStyle w:val="TableContents"/>
              <w:bidi w:val="0"/>
              <w:spacing w:before="0" w:after="0"/>
              <w:jc w:val="left"/>
              <w:rPr/>
            </w:pPr>
            <w:r>
              <w:rPr/>
              <w:t> </w:t>
            </w:r>
          </w:p>
        </w:tc>
        <w:tc>
          <w:tcPr>
            <w:tcW w:w="321"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977"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50.0</w:t>
            </w:r>
          </w:p>
        </w:tc>
        <w:tc>
          <w:tcPr>
            <w:tcW w:w="59" w:type="dxa"/>
            <w:tcBorders/>
            <w:shd w:fill="CCEEFF" w:val="clear"/>
            <w:vAlign w:val="center"/>
          </w:tcPr>
          <w:p>
            <w:pPr>
              <w:pStyle w:val="TableContents"/>
              <w:bidi w:val="0"/>
              <w:spacing w:before="0" w:after="0"/>
              <w:jc w:val="left"/>
              <w:rPr>
                <w:sz w:val="20"/>
              </w:rPr>
            </w:pPr>
            <w:r>
              <w:rPr>
                <w:sz w:val="20"/>
              </w:rPr>
            </w:r>
          </w:p>
        </w:tc>
        <w:tc>
          <w:tcPr>
            <w:tcW w:w="60" w:type="dxa"/>
            <w:tcBorders/>
            <w:shd w:fill="CCEEFF" w:val="clear"/>
            <w:vAlign w:val="center"/>
          </w:tcPr>
          <w:p>
            <w:pPr>
              <w:pStyle w:val="TableContents"/>
              <w:bidi w:val="0"/>
              <w:spacing w:before="0" w:after="0"/>
              <w:jc w:val="left"/>
              <w:rPr/>
            </w:pPr>
            <w:r>
              <w:rPr/>
              <w:t> </w:t>
            </w:r>
          </w:p>
        </w:tc>
        <w:tc>
          <w:tcPr>
            <w:tcW w:w="564"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1176" w:type="dxa"/>
            <w:tcBorders/>
            <w:shd w:fill="CCEEFF" w:val="clear"/>
            <w:vAlign w:val="center"/>
          </w:tcPr>
          <w:p>
            <w:pPr>
              <w:pStyle w:val="TableContents"/>
              <w:bidi w:val="0"/>
              <w:spacing w:before="0" w:after="0"/>
              <w:jc w:val="right"/>
              <w:rPr/>
            </w:pPr>
            <w:r>
              <w:rPr/>
              <w:t>—</w:t>
            </w:r>
          </w:p>
        </w:tc>
        <w:tc>
          <w:tcPr>
            <w:tcW w:w="107" w:type="dxa"/>
            <w:tcBorders/>
            <w:shd w:fill="CCEEFF" w:val="clear"/>
            <w:vAlign w:val="center"/>
          </w:tcPr>
          <w:p>
            <w:pPr>
              <w:pStyle w:val="TableContents"/>
              <w:bidi w:val="0"/>
              <w:spacing w:before="0" w:after="0"/>
              <w:jc w:val="left"/>
              <w:rPr>
                <w:sz w:val="20"/>
              </w:rPr>
            </w:pPr>
            <w:r>
              <w:rPr>
                <w:sz w:val="20"/>
              </w:rPr>
            </w:r>
          </w:p>
        </w:tc>
        <w:tc>
          <w:tcPr>
            <w:tcW w:w="60" w:type="dxa"/>
            <w:tcBorders/>
            <w:shd w:fill="CCEEFF" w:val="clear"/>
            <w:vAlign w:val="center"/>
          </w:tcPr>
          <w:p>
            <w:pPr>
              <w:pStyle w:val="TableContents"/>
              <w:bidi w:val="0"/>
              <w:spacing w:before="0" w:after="0"/>
              <w:jc w:val="left"/>
              <w:rPr/>
            </w:pPr>
            <w:r>
              <w:rPr/>
              <w:t> </w:t>
            </w:r>
          </w:p>
        </w:tc>
        <w:tc>
          <w:tcPr>
            <w:tcW w:w="442"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1347"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50.0</w:t>
            </w:r>
          </w:p>
        </w:tc>
        <w:tc>
          <w:tcPr>
            <w:tcW w:w="83" w:type="dxa"/>
            <w:tcBorders/>
            <w:shd w:fill="CCEEFF" w:val="clear"/>
            <w:vAlign w:val="center"/>
          </w:tcPr>
          <w:p>
            <w:pPr>
              <w:pStyle w:val="TableContents"/>
              <w:bidi w:val="0"/>
              <w:spacing w:before="0" w:after="0"/>
              <w:jc w:val="left"/>
              <w:rPr>
                <w:sz w:val="20"/>
              </w:rPr>
            </w:pPr>
            <w:r>
              <w:rPr>
                <w:sz w:val="20"/>
              </w:rPr>
            </w:r>
          </w:p>
        </w:tc>
        <w:tc>
          <w:tcPr>
            <w:tcW w:w="60" w:type="dxa"/>
            <w:tcBorders/>
            <w:shd w:fill="CCEEFF" w:val="clear"/>
            <w:vAlign w:val="center"/>
          </w:tcPr>
          <w:p>
            <w:pPr>
              <w:pStyle w:val="TableContents"/>
              <w:bidi w:val="0"/>
              <w:spacing w:before="0" w:after="0"/>
              <w:jc w:val="left"/>
              <w:rPr/>
            </w:pPr>
            <w:r>
              <w:rPr/>
              <w:t> </w:t>
            </w:r>
          </w:p>
        </w:tc>
        <w:tc>
          <w:tcPr>
            <w:tcW w:w="313"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1107"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(19.9</w:t>
            </w:r>
          </w:p>
        </w:tc>
        <w:tc>
          <w:tcPr>
            <w:tcW w:w="241"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0"/>
              <w:jc w:val="left"/>
              <w:rPr/>
            </w:pPr>
            <w:r>
              <w:rPr/>
              <w:t> </w:t>
            </w:r>
          </w:p>
        </w:tc>
        <w:tc>
          <w:tcPr>
            <w:tcW w:w="175"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533"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30.1</w:t>
            </w:r>
          </w:p>
        </w:tc>
        <w:tc>
          <w:tcPr>
            <w:tcW w:w="61" w:type="dxa"/>
            <w:tcBorders/>
            <w:shd w:fill="CCEEFF" w:val="clear"/>
            <w:vAlign w:val="center"/>
          </w:tcPr>
          <w:p>
            <w:pPr>
              <w:pStyle w:val="TableContents"/>
              <w:bidi w:val="0"/>
              <w:spacing w:before="0" w:after="0"/>
              <w:jc w:val="left"/>
              <w:rPr>
                <w:sz w:val="20"/>
              </w:rPr>
            </w:pPr>
            <w:r>
              <w:rPr>
                <w:sz w:val="20"/>
              </w:rPr>
            </w:r>
          </w:p>
        </w:tc>
      </w:tr>
    </w:tbl>
    <w:p>
      <w:pPr>
        <w:pStyle w:val="TextBody"/>
        <w:widowControl/>
        <w:bidi w:val="0"/>
        <w:spacing w:lineRule="atLeast" w:line="240" w:before="0" w:after="0"/>
        <w:jc w:val="left"/>
        <w:rPr>
          <w:caps w:val="false"/>
          <w:smallCaps w:val="false"/>
          <w:color w:val="000000"/>
          <w:spacing w:val="0"/>
          <w:sz w:val="20"/>
          <w:szCs w:val="20"/>
        </w:rPr>
      </w:pPr>
      <w:r>
        <w:rPr>
          <w:caps w:val="false"/>
          <w:smallCaps w:val="false"/>
          <w:color w:val="000000"/>
          <w:spacing w:val="0"/>
          <w:sz w:val="20"/>
          <w:szCs w:val="20"/>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widowControl/>
        <w:bidi w:val="0"/>
        <w:spacing w:lineRule="atLeast" w:line="240" w:before="0" w:after="0"/>
        <w:ind w:left="0" w:right="0" w:hanging="0"/>
        <w:jc w:val="left"/>
        <w:rPr>
          <w:rFonts w:ascii="Times New Roman" w:hAnsi="Times New Roman"/>
          <w:b w:val="false"/>
          <w:i w:val="false"/>
          <w:caps w:val="false"/>
          <w:smallCaps w:val="false"/>
          <w:color w:val="000000"/>
          <w:spacing w:val="0"/>
          <w:sz w:val="20"/>
          <w:szCs w:val="20"/>
        </w:rPr>
      </w:pPr>
      <w:r>
        <w:rPr>
          <w:rFonts w:ascii="Times New Roman" w:hAnsi="Times New Roman"/>
          <w:b w:val="false"/>
          <w:i w:val="false"/>
          <w:caps w:val="false"/>
          <w:smallCaps w:val="false"/>
          <w:color w:val="000000"/>
          <w:spacing w:val="0"/>
          <w:sz w:val="20"/>
          <w:szCs w:val="20"/>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15</w:t>
            </w:r>
          </w:p>
        </w:tc>
      </w:tr>
    </w:tbl>
    <w:p>
      <w:pPr>
        <w:pStyle w:val="TextBody"/>
        <w:widowControl/>
        <w:bidi w:val="0"/>
        <w:spacing w:lineRule="atLeast" w:line="240" w:before="0" w:after="0"/>
        <w:jc w:val="left"/>
        <w:rPr>
          <w:caps w:val="false"/>
          <w:smallCaps w:val="false"/>
          <w:color w:val="000000"/>
          <w:spacing w:val="0"/>
        </w:rPr>
      </w:pPr>
      <w:r>
        <w:rPr>
          <w:caps w:val="false"/>
          <w:smallCaps w:val="false"/>
          <w:color w:val="000000"/>
          <w:spacing w:val="0"/>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widowControl/>
        <w:bidi w:val="0"/>
        <w:spacing w:lineRule="atLeast" w:line="240" w:before="0" w:after="0"/>
        <w:jc w:val="left"/>
        <w:rPr/>
      </w:pPr>
      <w:r>
        <w:rPr/>
      </w:r>
    </w:p>
    <w:p>
      <w:pPr>
        <w:pStyle w:val="TextBody"/>
        <w:widowControl/>
        <w:bidi w:val="0"/>
        <w:spacing w:lineRule="atLeast" w:line="240" w:before="0" w:after="0"/>
        <w:jc w:val="left"/>
        <w:rPr>
          <w:sz w:val="20"/>
        </w:rPr>
      </w:pPr>
      <w:r>
        <w:rPr>
          <w:sz w:val="20"/>
        </w:rPr>
      </w:r>
    </w:p>
    <w:p>
      <w:pPr>
        <w:pStyle w:val="TextBody"/>
        <w:widowControl/>
        <w:bidi w:val="0"/>
        <w:spacing w:lineRule="atLeast" w:line="240"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lineRule="atLeast" w:line="240" w:before="0" w:after="0"/>
        <w:jc w:val="left"/>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Offsetting of Derivative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10205" w:type="dxa"/>
        <w:jc w:val="left"/>
        <w:tblInd w:w="0" w:type="dxa"/>
        <w:tblLayout w:type="fixed"/>
        <w:tblCellMar>
          <w:top w:w="0" w:type="dxa"/>
          <w:left w:w="0" w:type="dxa"/>
          <w:bottom w:w="0" w:type="dxa"/>
          <w:right w:w="0" w:type="dxa"/>
        </w:tblCellMar>
      </w:tblPr>
      <w:tblGrid>
        <w:gridCol w:w="2376"/>
        <w:gridCol w:w="60"/>
        <w:gridCol w:w="269"/>
        <w:gridCol w:w="949"/>
        <w:gridCol w:w="205"/>
        <w:gridCol w:w="60"/>
        <w:gridCol w:w="560"/>
        <w:gridCol w:w="1167"/>
        <w:gridCol w:w="106"/>
        <w:gridCol w:w="60"/>
        <w:gridCol w:w="350"/>
        <w:gridCol w:w="1238"/>
        <w:gridCol w:w="269"/>
        <w:gridCol w:w="60"/>
        <w:gridCol w:w="389"/>
        <w:gridCol w:w="1185"/>
        <w:gridCol w:w="73"/>
        <w:gridCol w:w="60"/>
        <w:gridCol w:w="140"/>
        <w:gridCol w:w="496"/>
        <w:gridCol w:w="133"/>
      </w:tblGrid>
      <w:tr>
        <w:trPr/>
        <w:tc>
          <w:tcPr>
            <w:tcW w:w="2376" w:type="dxa"/>
            <w:tcBorders/>
            <w:shd w:fill="FFFFFF" w:val="clear"/>
            <w:vAlign w:val="center"/>
          </w:tcPr>
          <w:p>
            <w:pPr>
              <w:pStyle w:val="TableContents"/>
              <w:bidi w:val="0"/>
              <w:spacing w:before="0" w:after="0"/>
              <w:jc w:val="left"/>
              <w:rPr>
                <w:rFonts w:ascii="times new roman;times" w:hAnsi="times new roman;times"/>
                <w:b/>
                <w:sz w:val="16"/>
              </w:rPr>
            </w:pPr>
            <w:r>
              <w:rPr>
                <w:rFonts w:ascii="times new roman;times" w:hAnsi="times new roman;times"/>
                <w:b/>
                <w:sz w:val="16"/>
              </w:rPr>
              <w:t>As of June 30, 2024</w:t>
            </w:r>
          </w:p>
        </w:tc>
        <w:tc>
          <w:tcPr>
            <w:tcW w:w="60" w:type="dxa"/>
            <w:tcBorders/>
            <w:shd w:fill="FFFFFF" w:val="clear"/>
            <w:vAlign w:val="center"/>
          </w:tcPr>
          <w:p>
            <w:pPr>
              <w:pStyle w:val="TableContents"/>
              <w:bidi w:val="0"/>
              <w:spacing w:before="0" w:after="0"/>
              <w:jc w:val="left"/>
              <w:rPr/>
            </w:pPr>
            <w:r>
              <w:rPr/>
              <w:t> </w:t>
            </w:r>
          </w:p>
        </w:tc>
        <w:tc>
          <w:tcPr>
            <w:tcW w:w="1423" w:type="dxa"/>
            <w:gridSpan w:val="3"/>
            <w:tcBorders/>
            <w:shd w:fill="FFFFFF" w:val="clear"/>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Gross Amounts of Recognized Liabilities</w:t>
            </w:r>
          </w:p>
        </w:tc>
        <w:tc>
          <w:tcPr>
            <w:tcW w:w="60" w:type="dxa"/>
            <w:tcBorders/>
            <w:shd w:fill="FFFFFF" w:val="clear"/>
            <w:vAlign w:val="center"/>
          </w:tcPr>
          <w:p>
            <w:pPr>
              <w:pStyle w:val="TableContents"/>
              <w:bidi w:val="0"/>
              <w:spacing w:before="0" w:after="0"/>
              <w:jc w:val="left"/>
              <w:rPr/>
            </w:pPr>
            <w:r>
              <w:rPr/>
              <w:t> </w:t>
            </w:r>
          </w:p>
        </w:tc>
        <w:tc>
          <w:tcPr>
            <w:tcW w:w="1833" w:type="dxa"/>
            <w:gridSpan w:val="3"/>
            <w:tcBorders/>
            <w:shd w:fill="FFFFFF" w:val="clear"/>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Gross Amounts Offset in the Consolidated Balance Sheet</w:t>
            </w:r>
          </w:p>
        </w:tc>
        <w:tc>
          <w:tcPr>
            <w:tcW w:w="60" w:type="dxa"/>
            <w:tcBorders/>
            <w:shd w:fill="FFFFFF" w:val="clear"/>
            <w:vAlign w:val="center"/>
          </w:tcPr>
          <w:p>
            <w:pPr>
              <w:pStyle w:val="TableContents"/>
              <w:bidi w:val="0"/>
              <w:spacing w:before="0" w:after="0"/>
              <w:jc w:val="left"/>
              <w:rPr/>
            </w:pPr>
            <w:r>
              <w:rPr/>
              <w:t> </w:t>
            </w:r>
          </w:p>
        </w:tc>
        <w:tc>
          <w:tcPr>
            <w:tcW w:w="1857" w:type="dxa"/>
            <w:gridSpan w:val="3"/>
            <w:tcBorders/>
            <w:shd w:fill="FFFFFF" w:val="clear"/>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Net Amounts Presented in the Consolidated Balance Sheet</w:t>
            </w:r>
          </w:p>
        </w:tc>
        <w:tc>
          <w:tcPr>
            <w:tcW w:w="60" w:type="dxa"/>
            <w:tcBorders/>
            <w:shd w:fill="FFFFFF" w:val="clear"/>
            <w:vAlign w:val="center"/>
          </w:tcPr>
          <w:p>
            <w:pPr>
              <w:pStyle w:val="TableContents"/>
              <w:bidi w:val="0"/>
              <w:spacing w:before="0" w:after="0"/>
              <w:jc w:val="left"/>
              <w:rPr/>
            </w:pPr>
            <w:r>
              <w:rPr/>
              <w:t> </w:t>
            </w:r>
          </w:p>
        </w:tc>
        <w:tc>
          <w:tcPr>
            <w:tcW w:w="1647" w:type="dxa"/>
            <w:gridSpan w:val="3"/>
            <w:tcBorders/>
            <w:shd w:fill="FFFFFF" w:val="clear"/>
            <w:vAlign w:val="center"/>
          </w:tcPr>
          <w:p>
            <w:pPr>
              <w:pStyle w:val="TableContents"/>
              <w:widowControl/>
              <w:bidi w:val="0"/>
              <w:spacing w:before="0" w:after="0"/>
              <w:ind w:left="0" w:right="0" w:hanging="0"/>
              <w:jc w:val="center"/>
              <w:rPr>
                <w:rFonts w:ascii="times new roman;times" w:hAnsi="times new roman;times"/>
                <w:b/>
                <w:i w:val="false"/>
                <w:caps w:val="false"/>
                <w:smallCaps w:val="false"/>
                <w:color w:val="000000"/>
                <w:spacing w:val="0"/>
                <w:sz w:val="15"/>
              </w:rPr>
            </w:pPr>
            <w:r>
              <w:rPr>
                <w:rFonts w:ascii="times new roman;times" w:hAnsi="times new roman;times"/>
                <w:b/>
                <w:i w:val="false"/>
                <w:caps w:val="false"/>
                <w:smallCaps w:val="false"/>
                <w:color w:val="000000"/>
                <w:spacing w:val="0"/>
                <w:sz w:val="15"/>
              </w:rPr>
              <w:t>Derivatives Not Offset in the Consolidated Balance Sheet</w:t>
            </w:r>
          </w:p>
        </w:tc>
        <w:tc>
          <w:tcPr>
            <w:tcW w:w="60" w:type="dxa"/>
            <w:tcBorders/>
            <w:shd w:fill="FFFFFF" w:val="clear"/>
            <w:vAlign w:val="center"/>
          </w:tcPr>
          <w:p>
            <w:pPr>
              <w:pStyle w:val="TableContents"/>
              <w:bidi w:val="0"/>
              <w:spacing w:before="0" w:after="0"/>
              <w:jc w:val="left"/>
              <w:rPr/>
            </w:pPr>
            <w:r>
              <w:rPr/>
              <w:t> </w:t>
            </w:r>
          </w:p>
        </w:tc>
        <w:tc>
          <w:tcPr>
            <w:tcW w:w="769" w:type="dxa"/>
            <w:gridSpan w:val="3"/>
            <w:tcBorders/>
            <w:shd w:fill="FFFFFF" w:val="clear"/>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Net Amounts</w:t>
            </w:r>
          </w:p>
        </w:tc>
      </w:tr>
      <w:tr>
        <w:trPr/>
        <w:tc>
          <w:tcPr>
            <w:tcW w:w="2376"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Derivatives subject to a master netting arrangement or similar agreement</w:t>
            </w:r>
          </w:p>
        </w:tc>
        <w:tc>
          <w:tcPr>
            <w:tcW w:w="60" w:type="dxa"/>
            <w:tcBorders/>
            <w:shd w:fill="CCEEFF" w:val="clear"/>
            <w:vAlign w:val="center"/>
          </w:tcPr>
          <w:p>
            <w:pPr>
              <w:pStyle w:val="TableContents"/>
              <w:bidi w:val="0"/>
              <w:spacing w:before="0" w:after="0"/>
              <w:jc w:val="left"/>
              <w:rPr/>
            </w:pPr>
            <w:r>
              <w:rPr/>
              <w:t> </w:t>
            </w:r>
          </w:p>
        </w:tc>
        <w:tc>
          <w:tcPr>
            <w:tcW w:w="269"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949"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(28.4</w:t>
            </w:r>
          </w:p>
        </w:tc>
        <w:tc>
          <w:tcPr>
            <w:tcW w:w="20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1167" w:type="dxa"/>
            <w:tcBorders/>
            <w:shd w:fill="CCEEFF" w:val="clear"/>
            <w:vAlign w:val="center"/>
          </w:tcPr>
          <w:p>
            <w:pPr>
              <w:pStyle w:val="TableContents"/>
              <w:bidi w:val="0"/>
              <w:spacing w:before="0" w:after="0"/>
              <w:jc w:val="right"/>
              <w:rPr/>
            </w:pPr>
            <w:r>
              <w:rPr/>
              <w:t>—</w:t>
            </w:r>
          </w:p>
        </w:tc>
        <w:tc>
          <w:tcPr>
            <w:tcW w:w="106" w:type="dxa"/>
            <w:tcBorders/>
            <w:shd w:fill="CCEEFF" w:val="clear"/>
            <w:vAlign w:val="center"/>
          </w:tcPr>
          <w:p>
            <w:pPr>
              <w:pStyle w:val="TableContents"/>
              <w:bidi w:val="0"/>
              <w:spacing w:before="0" w:after="0"/>
              <w:jc w:val="left"/>
              <w:rPr>
                <w:sz w:val="20"/>
              </w:rPr>
            </w:pPr>
            <w:r>
              <w:rPr>
                <w:sz w:val="20"/>
              </w:rPr>
            </w:r>
          </w:p>
        </w:tc>
        <w:tc>
          <w:tcPr>
            <w:tcW w:w="6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1238"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(28.4</w:t>
            </w:r>
          </w:p>
        </w:tc>
        <w:tc>
          <w:tcPr>
            <w:tcW w:w="269"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0"/>
              <w:jc w:val="left"/>
              <w:rPr/>
            </w:pPr>
            <w:r>
              <w:rPr/>
              <w:t> </w:t>
            </w:r>
          </w:p>
        </w:tc>
        <w:tc>
          <w:tcPr>
            <w:tcW w:w="389"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1185"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18.4</w:t>
            </w:r>
          </w:p>
        </w:tc>
        <w:tc>
          <w:tcPr>
            <w:tcW w:w="73" w:type="dxa"/>
            <w:tcBorders/>
            <w:shd w:fill="CCEEFF" w:val="clear"/>
            <w:vAlign w:val="center"/>
          </w:tcPr>
          <w:p>
            <w:pPr>
              <w:pStyle w:val="TableContents"/>
              <w:bidi w:val="0"/>
              <w:spacing w:before="0" w:after="0"/>
              <w:jc w:val="left"/>
              <w:rPr>
                <w:sz w:val="20"/>
              </w:rPr>
            </w:pPr>
            <w:r>
              <w:rPr>
                <w:sz w:val="20"/>
              </w:rPr>
            </w:r>
          </w:p>
        </w:tc>
        <w:tc>
          <w:tcPr>
            <w:tcW w:w="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496"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(10.0</w:t>
            </w:r>
          </w:p>
        </w:tc>
        <w:tc>
          <w:tcPr>
            <w:tcW w:w="133" w:type="dxa"/>
            <w:tcBorders/>
            <w:shd w:fill="CCEEFF" w:val="clear"/>
            <w:vAlign w:val="center"/>
          </w:tcPr>
          <w:p>
            <w:pPr>
              <w:pStyle w:val="TableContents"/>
              <w:bidi w:val="0"/>
              <w:spacing w:before="0" w:after="283"/>
              <w:jc w:val="left"/>
              <w:rPr/>
            </w:pPr>
            <w:r>
              <w:rPr/>
              <w:t>)</w:t>
            </w:r>
          </w:p>
        </w:tc>
      </w:tr>
      <w:tr>
        <w:trPr/>
        <w:tc>
          <w:tcPr>
            <w:tcW w:w="2376"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423" w:type="dxa"/>
            <w:gridSpan w:val="3"/>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833" w:type="dxa"/>
            <w:gridSpan w:val="3"/>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857" w:type="dxa"/>
            <w:gridSpan w:val="3"/>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647" w:type="dxa"/>
            <w:gridSpan w:val="3"/>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769" w:type="dxa"/>
            <w:gridSpan w:val="3"/>
            <w:tcBorders/>
            <w:vAlign w:val="center"/>
          </w:tcPr>
          <w:p>
            <w:pPr>
              <w:pStyle w:val="TableContents"/>
              <w:bidi w:val="0"/>
              <w:spacing w:before="0" w:after="0"/>
              <w:jc w:val="left"/>
              <w:rPr/>
            </w:pPr>
            <w:r>
              <w:rPr/>
              <w:t> </w:t>
            </w:r>
          </w:p>
        </w:tc>
      </w:tr>
      <w:tr>
        <w:trPr/>
        <w:tc>
          <w:tcPr>
            <w:tcW w:w="2376" w:type="dxa"/>
            <w:tcBorders/>
            <w:vAlign w:val="center"/>
          </w:tcPr>
          <w:p>
            <w:pPr>
              <w:pStyle w:val="TableContents"/>
              <w:bidi w:val="0"/>
              <w:spacing w:before="0" w:after="0"/>
              <w:jc w:val="left"/>
              <w:rPr>
                <w:rFonts w:ascii="times new roman;times" w:hAnsi="times new roman;times"/>
                <w:b/>
                <w:sz w:val="16"/>
              </w:rPr>
            </w:pPr>
            <w:r>
              <w:rPr>
                <w:rFonts w:ascii="times new roman;times" w:hAnsi="times new roman;times"/>
                <w:b/>
                <w:sz w:val="16"/>
              </w:rPr>
              <w:t>As of December 31, 2023</w:t>
            </w:r>
          </w:p>
        </w:tc>
        <w:tc>
          <w:tcPr>
            <w:tcW w:w="60" w:type="dxa"/>
            <w:tcBorders/>
            <w:vAlign w:val="center"/>
          </w:tcPr>
          <w:p>
            <w:pPr>
              <w:pStyle w:val="TableContents"/>
              <w:bidi w:val="0"/>
              <w:spacing w:before="0" w:after="0"/>
              <w:jc w:val="left"/>
              <w:rPr/>
            </w:pPr>
            <w:r>
              <w:rPr/>
              <w:t> </w:t>
            </w:r>
          </w:p>
        </w:tc>
        <w:tc>
          <w:tcPr>
            <w:tcW w:w="1423" w:type="dxa"/>
            <w:gridSpan w:val="3"/>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833" w:type="dxa"/>
            <w:gridSpan w:val="3"/>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857" w:type="dxa"/>
            <w:gridSpan w:val="3"/>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647" w:type="dxa"/>
            <w:gridSpan w:val="3"/>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769" w:type="dxa"/>
            <w:gridSpan w:val="3"/>
            <w:tcBorders/>
            <w:vAlign w:val="center"/>
          </w:tcPr>
          <w:p>
            <w:pPr>
              <w:pStyle w:val="TableContents"/>
              <w:bidi w:val="0"/>
              <w:spacing w:before="0" w:after="0"/>
              <w:jc w:val="left"/>
              <w:rPr/>
            </w:pPr>
            <w:r>
              <w:rPr/>
              <w:t> </w:t>
            </w:r>
          </w:p>
        </w:tc>
      </w:tr>
      <w:tr>
        <w:trPr/>
        <w:tc>
          <w:tcPr>
            <w:tcW w:w="2376"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Derivatives subject to a master netting arrangement or similar agreement</w:t>
            </w:r>
          </w:p>
        </w:tc>
        <w:tc>
          <w:tcPr>
            <w:tcW w:w="60" w:type="dxa"/>
            <w:tcBorders/>
            <w:shd w:fill="CCEEFF" w:val="clear"/>
            <w:vAlign w:val="center"/>
          </w:tcPr>
          <w:p>
            <w:pPr>
              <w:pStyle w:val="TableContents"/>
              <w:bidi w:val="0"/>
              <w:spacing w:before="0" w:after="0"/>
              <w:jc w:val="left"/>
              <w:rPr/>
            </w:pPr>
            <w:r>
              <w:rPr/>
              <w:t> </w:t>
            </w:r>
          </w:p>
        </w:tc>
        <w:tc>
          <w:tcPr>
            <w:tcW w:w="269"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949"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(39.1</w:t>
            </w:r>
          </w:p>
        </w:tc>
        <w:tc>
          <w:tcPr>
            <w:tcW w:w="20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1167" w:type="dxa"/>
            <w:tcBorders/>
            <w:shd w:fill="CCEEFF" w:val="clear"/>
            <w:vAlign w:val="center"/>
          </w:tcPr>
          <w:p>
            <w:pPr>
              <w:pStyle w:val="TableContents"/>
              <w:bidi w:val="0"/>
              <w:spacing w:before="0" w:after="0"/>
              <w:jc w:val="right"/>
              <w:rPr/>
            </w:pPr>
            <w:r>
              <w:rPr/>
              <w:t>—</w:t>
            </w:r>
          </w:p>
        </w:tc>
        <w:tc>
          <w:tcPr>
            <w:tcW w:w="106" w:type="dxa"/>
            <w:tcBorders/>
            <w:shd w:fill="CCEEFF" w:val="clear"/>
            <w:vAlign w:val="center"/>
          </w:tcPr>
          <w:p>
            <w:pPr>
              <w:pStyle w:val="TableContents"/>
              <w:bidi w:val="0"/>
              <w:spacing w:before="0" w:after="0"/>
              <w:jc w:val="left"/>
              <w:rPr>
                <w:sz w:val="20"/>
              </w:rPr>
            </w:pPr>
            <w:r>
              <w:rPr>
                <w:sz w:val="20"/>
              </w:rPr>
            </w:r>
          </w:p>
        </w:tc>
        <w:tc>
          <w:tcPr>
            <w:tcW w:w="6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1238"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(39.1</w:t>
            </w:r>
          </w:p>
        </w:tc>
        <w:tc>
          <w:tcPr>
            <w:tcW w:w="269"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0"/>
              <w:jc w:val="left"/>
              <w:rPr/>
            </w:pPr>
            <w:r>
              <w:rPr/>
              <w:t> </w:t>
            </w:r>
          </w:p>
        </w:tc>
        <w:tc>
          <w:tcPr>
            <w:tcW w:w="389"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1185"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26.3</w:t>
            </w:r>
          </w:p>
        </w:tc>
        <w:tc>
          <w:tcPr>
            <w:tcW w:w="73" w:type="dxa"/>
            <w:tcBorders/>
            <w:shd w:fill="CCEEFF" w:val="clear"/>
            <w:vAlign w:val="center"/>
          </w:tcPr>
          <w:p>
            <w:pPr>
              <w:pStyle w:val="TableContents"/>
              <w:bidi w:val="0"/>
              <w:spacing w:before="0" w:after="0"/>
              <w:jc w:val="left"/>
              <w:rPr>
                <w:sz w:val="20"/>
              </w:rPr>
            </w:pPr>
            <w:r>
              <w:rPr>
                <w:sz w:val="20"/>
              </w:rPr>
            </w:r>
          </w:p>
        </w:tc>
        <w:tc>
          <w:tcPr>
            <w:tcW w:w="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496"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(12.8</w:t>
            </w:r>
          </w:p>
        </w:tc>
        <w:tc>
          <w:tcPr>
            <w:tcW w:w="133" w:type="dxa"/>
            <w:tcBorders/>
            <w:shd w:fill="CCEEFF" w:val="clear"/>
            <w:vAlign w:val="center"/>
          </w:tcPr>
          <w:p>
            <w:pPr>
              <w:pStyle w:val="TableContents"/>
              <w:bidi w:val="0"/>
              <w:spacing w:before="0" w:after="283"/>
              <w:jc w:val="left"/>
              <w:rPr/>
            </w:pPr>
            <w:r>
              <w:rPr/>
              <w:t>)</w:t>
            </w:r>
          </w:p>
        </w:tc>
      </w:tr>
    </w:tbl>
    <w:p>
      <w:pPr>
        <w:pStyle w:val="TextBody"/>
        <w:widowControl/>
        <w:bidi w:val="0"/>
        <w:spacing w:lineRule="atLeast" w:line="240" w:before="0" w:after="0"/>
        <w:jc w:val="left"/>
        <w:rPr>
          <w:caps w:val="false"/>
          <w:smallCaps w:val="false"/>
          <w:color w:val="000000"/>
          <w:spacing w:val="0"/>
          <w:sz w:val="20"/>
          <w:szCs w:val="20"/>
        </w:rPr>
      </w:pPr>
      <w:r>
        <w:rPr>
          <w:caps w:val="false"/>
          <w:smallCaps w:val="false"/>
          <w:color w:val="000000"/>
          <w:spacing w:val="0"/>
          <w:sz w:val="20"/>
          <w:szCs w:val="20"/>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widowControl/>
        <w:bidi w:val="0"/>
        <w:spacing w:lineRule="auto" w:line="288" w:before="0" w:after="0"/>
        <w:ind w:left="0" w:right="0" w:hanging="0"/>
        <w:jc w:val="both"/>
        <w:rPr>
          <w:caps w:val="false"/>
          <w:smallCaps w:val="false"/>
          <w:color w:val="000000"/>
          <w:spacing w:val="0"/>
        </w:rPr>
      </w:pPr>
      <w:r>
        <w:rPr>
          <w:caps w:val="false"/>
          <w:smallCaps w:val="false"/>
          <w:color w:val="000000"/>
          <w:spacing w:val="0"/>
        </w:rPr>
        <w:t> </w:t>
      </w:r>
      <w:r>
        <w:rPr>
          <w:rFonts w:ascii="times new roman;times" w:hAnsi="times new roman;times"/>
          <w:caps w:val="false"/>
          <w:smallCaps w:val="false"/>
          <w:color w:val="000000"/>
          <w:spacing w:val="0"/>
          <w:sz w:val="20"/>
        </w:rPr>
        <w:br/>
        <w:t>See Note 12, Fair Value Measurements, for the determination of the fair values of derivatives.</w:t>
      </w:r>
    </w:p>
    <w:p>
      <w:pPr>
        <w:pStyle w:val="TextBody"/>
        <w:widowControl/>
        <w:bidi w:val="0"/>
        <w:spacing w:lineRule="auto" w:line="288"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bidi w:val="0"/>
        <w:spacing w:lineRule="auto" w:line="288" w:before="0" w:after="0"/>
        <w:ind w:left="0" w:right="0" w:hanging="0"/>
        <w:jc w:val="both"/>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Income Statement Presentation</w:t>
      </w:r>
    </w:p>
    <w:p>
      <w:pPr>
        <w:pStyle w:val="TextBody"/>
        <w:widowControl/>
        <w:bidi w:val="0"/>
        <w:spacing w:lineRule="auto" w:line="288" w:before="0" w:after="0"/>
        <w:ind w:left="0" w:right="0" w:hanging="0"/>
        <w:jc w:val="both"/>
        <w:rPr>
          <w:sz w:val="20"/>
        </w:rPr>
      </w:pPr>
      <w:r>
        <w:rPr>
          <w:sz w:val="20"/>
        </w:rPr>
      </w:r>
    </w:p>
    <w:p>
      <w:pPr>
        <w:pStyle w:val="TextBody"/>
        <w:widowControl/>
        <w:bidi w:val="0"/>
        <w:spacing w:lineRule="auto" w:line="288"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following table summarizes the location and amount of losses on derivatives in the Consolidated Statements of Income for the three and six months ended June 30, 2024 and 2023:</w:t>
      </w:r>
    </w:p>
    <w:p>
      <w:pPr>
        <w:pStyle w:val="TextBody"/>
        <w:widowControl/>
        <w:bidi w:val="0"/>
        <w:spacing w:lineRule="auto" w:line="288" w:before="0" w:after="0"/>
        <w:ind w:left="0" w:right="0" w:hanging="0"/>
        <w:jc w:val="both"/>
        <w:rPr>
          <w:caps w:val="false"/>
          <w:smallCaps w:val="false"/>
          <w:color w:val="000000"/>
          <w:spacing w:val="0"/>
        </w:rPr>
      </w:pPr>
      <w:r>
        <w:rPr>
          <w:caps w:val="false"/>
          <w:smallCaps w:val="false"/>
          <w:color w:val="000000"/>
          <w:spacing w:val="0"/>
        </w:rPr>
        <w:t> </w:t>
      </w:r>
    </w:p>
    <w:tbl>
      <w:tblPr>
        <w:tblW w:w="10205" w:type="dxa"/>
        <w:jc w:val="left"/>
        <w:tblInd w:w="0" w:type="dxa"/>
        <w:tblLayout w:type="fixed"/>
        <w:tblCellMar>
          <w:top w:w="0" w:type="dxa"/>
          <w:left w:w="0" w:type="dxa"/>
          <w:bottom w:w="0" w:type="dxa"/>
          <w:right w:w="0" w:type="dxa"/>
        </w:tblCellMar>
      </w:tblPr>
      <w:tblGrid>
        <w:gridCol w:w="3181"/>
        <w:gridCol w:w="60"/>
        <w:gridCol w:w="3355"/>
        <w:gridCol w:w="60"/>
        <w:gridCol w:w="184"/>
        <w:gridCol w:w="495"/>
        <w:gridCol w:w="139"/>
        <w:gridCol w:w="88"/>
        <w:gridCol w:w="184"/>
        <w:gridCol w:w="495"/>
        <w:gridCol w:w="139"/>
        <w:gridCol w:w="33"/>
        <w:gridCol w:w="184"/>
        <w:gridCol w:w="583"/>
        <w:gridCol w:w="139"/>
        <w:gridCol w:w="184"/>
        <w:gridCol w:w="583"/>
        <w:gridCol w:w="119"/>
      </w:tblGrid>
      <w:tr>
        <w:trPr/>
        <w:tc>
          <w:tcPr>
            <w:tcW w:w="3181"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33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3430" w:type="dxa"/>
            <w:gridSpan w:val="13"/>
            <w:tcBorders/>
            <w:vAlign w:val="bottom"/>
          </w:tcPr>
          <w:p>
            <w:pPr>
              <w:pStyle w:val="TableContents"/>
              <w:bidi w:val="0"/>
              <w:spacing w:before="0" w:after="0"/>
              <w:jc w:val="center"/>
              <w:rPr>
                <w:rFonts w:ascii="times new roman;times" w:hAnsi="times new roman;times"/>
                <w:b/>
                <w:sz w:val="16"/>
              </w:rPr>
            </w:pPr>
            <w:r>
              <w:rPr>
                <w:rFonts w:ascii="times new roman;times" w:hAnsi="times new roman;times"/>
                <w:b/>
                <w:sz w:val="16"/>
              </w:rPr>
              <w:t>Loss Recognized in Income on Derivative Contracts (a)</w:t>
            </w:r>
          </w:p>
        </w:tc>
        <w:tc>
          <w:tcPr>
            <w:tcW w:w="119" w:type="dxa"/>
            <w:tcBorders/>
            <w:vAlign w:val="center"/>
          </w:tcPr>
          <w:p>
            <w:pPr>
              <w:pStyle w:val="TableContents"/>
              <w:bidi w:val="0"/>
              <w:spacing w:before="0" w:after="0"/>
              <w:jc w:val="center"/>
              <w:rPr>
                <w:sz w:val="16"/>
              </w:rPr>
            </w:pPr>
            <w:r>
              <w:rPr>
                <w:sz w:val="16"/>
              </w:rPr>
            </w:r>
          </w:p>
        </w:tc>
      </w:tr>
      <w:tr>
        <w:trPr/>
        <w:tc>
          <w:tcPr>
            <w:tcW w:w="3181"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3355" w:type="dxa"/>
            <w:vMerge w:val="restart"/>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Location of Loss Recognized in Income on Derivative Contracts</w:t>
            </w:r>
          </w:p>
        </w:tc>
        <w:tc>
          <w:tcPr>
            <w:tcW w:w="60" w:type="dxa"/>
            <w:tcBorders/>
            <w:vAlign w:val="center"/>
          </w:tcPr>
          <w:p>
            <w:pPr>
              <w:pStyle w:val="TableContents"/>
              <w:bidi w:val="0"/>
              <w:spacing w:before="0" w:after="0"/>
              <w:jc w:val="left"/>
              <w:rPr/>
            </w:pPr>
            <w:r>
              <w:rPr/>
              <w:t> </w:t>
            </w:r>
          </w:p>
        </w:tc>
        <w:tc>
          <w:tcPr>
            <w:tcW w:w="1724" w:type="dxa"/>
            <w:gridSpan w:val="7"/>
            <w:tcBorders/>
            <w:vAlign w:val="center"/>
          </w:tcPr>
          <w:p>
            <w:pPr>
              <w:pStyle w:val="TableContents"/>
              <w:bidi w:val="0"/>
              <w:spacing w:lineRule="auto" w:line="264" w:before="0" w:after="0"/>
              <w:ind w:left="0" w:right="0" w:hanging="0"/>
              <w:jc w:val="center"/>
              <w:rPr>
                <w:rFonts w:ascii="times new roman;times" w:hAnsi="times new roman;times"/>
                <w:b/>
                <w:sz w:val="16"/>
              </w:rPr>
            </w:pPr>
            <w:r>
              <w:rPr>
                <w:rFonts w:ascii="times new roman;times" w:hAnsi="times new roman;times"/>
                <w:b/>
                <w:sz w:val="16"/>
              </w:rPr>
              <w:t>Three Months Ended</w:t>
            </w:r>
            <w:r>
              <w:rPr>
                <w:rFonts w:ascii="times new roman;times" w:hAnsi="times new roman;times"/>
                <w:b/>
                <w:sz w:val="16"/>
              </w:rPr>
              <w:br/>
            </w:r>
            <w:r>
              <w:rPr>
                <w:rFonts w:ascii="times new roman;times" w:hAnsi="times new roman;times"/>
                <w:b/>
                <w:sz w:val="16"/>
              </w:rPr>
              <w:t>June 30,</w:t>
            </w:r>
          </w:p>
        </w:tc>
        <w:tc>
          <w:tcPr>
            <w:tcW w:w="33" w:type="dxa"/>
            <w:tcBorders/>
            <w:vAlign w:val="center"/>
          </w:tcPr>
          <w:p>
            <w:pPr>
              <w:pStyle w:val="TableContents"/>
              <w:bidi w:val="0"/>
              <w:spacing w:before="0" w:after="0"/>
              <w:ind w:left="0" w:right="0" w:hanging="0"/>
              <w:jc w:val="center"/>
              <w:rPr>
                <w:sz w:val="16"/>
              </w:rPr>
            </w:pPr>
            <w:r>
              <w:rPr>
                <w:sz w:val="16"/>
              </w:rPr>
            </w:r>
          </w:p>
        </w:tc>
        <w:tc>
          <w:tcPr>
            <w:tcW w:w="1673" w:type="dxa"/>
            <w:gridSpan w:val="5"/>
            <w:tcBorders/>
            <w:vAlign w:val="center"/>
          </w:tcPr>
          <w:p>
            <w:pPr>
              <w:pStyle w:val="TableContents"/>
              <w:bidi w:val="0"/>
              <w:spacing w:before="0" w:after="0"/>
              <w:jc w:val="center"/>
              <w:rPr>
                <w:b/>
              </w:rPr>
            </w:pPr>
            <w:r>
              <w:rPr>
                <w:b/>
                <w:sz w:val="16"/>
              </w:rPr>
              <w:t>Six Months Ended</w:t>
            </w:r>
            <w:r>
              <w:rPr>
                <w:b/>
              </w:rPr>
              <w:br/>
            </w:r>
            <w:r>
              <w:rPr>
                <w:b/>
                <w:sz w:val="16"/>
              </w:rPr>
              <w:t>June 30,</w:t>
            </w:r>
          </w:p>
        </w:tc>
        <w:tc>
          <w:tcPr>
            <w:tcW w:w="119" w:type="dxa"/>
            <w:tcBorders/>
            <w:vAlign w:val="center"/>
          </w:tcPr>
          <w:p>
            <w:pPr>
              <w:pStyle w:val="TableContents"/>
              <w:bidi w:val="0"/>
              <w:spacing w:before="0" w:after="0"/>
              <w:jc w:val="center"/>
              <w:rPr>
                <w:sz w:val="16"/>
              </w:rPr>
            </w:pPr>
            <w:r>
              <w:rPr>
                <w:sz w:val="16"/>
              </w:rPr>
            </w:r>
          </w:p>
        </w:tc>
      </w:tr>
      <w:tr>
        <w:trPr/>
        <w:tc>
          <w:tcPr>
            <w:tcW w:w="3181" w:type="dxa"/>
            <w:tcBorders/>
            <w:vAlign w:val="center"/>
          </w:tcPr>
          <w:p>
            <w:pPr>
              <w:pStyle w:val="TableContents"/>
              <w:bidi w:val="0"/>
              <w:spacing w:before="0" w:after="0"/>
              <w:jc w:val="left"/>
              <w:rPr>
                <w:rFonts w:ascii="times new roman;times" w:hAnsi="times new roman;times"/>
                <w:sz w:val="16"/>
              </w:rPr>
            </w:pPr>
            <w:r>
              <w:rPr>
                <w:rFonts w:ascii="times new roman;times" w:hAnsi="times new roman;times"/>
                <w:sz w:val="16"/>
              </w:rPr>
              <w:t>(in millions)</w:t>
            </w:r>
          </w:p>
        </w:tc>
        <w:tc>
          <w:tcPr>
            <w:tcW w:w="60" w:type="dxa"/>
            <w:tcBorders/>
            <w:vAlign w:val="center"/>
          </w:tcPr>
          <w:p>
            <w:pPr>
              <w:pStyle w:val="TableContents"/>
              <w:bidi w:val="0"/>
              <w:spacing w:before="0" w:after="0"/>
              <w:jc w:val="left"/>
              <w:rPr/>
            </w:pPr>
            <w:r>
              <w:rPr/>
              <w:t> </w:t>
            </w:r>
          </w:p>
        </w:tc>
        <w:tc>
          <w:tcPr>
            <w:tcW w:w="33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0"/>
              <w:jc w:val="left"/>
              <w:rPr/>
            </w:pPr>
            <w:r>
              <w:rPr/>
              <w:t> </w:t>
            </w:r>
          </w:p>
        </w:tc>
        <w:tc>
          <w:tcPr>
            <w:tcW w:w="818" w:type="dxa"/>
            <w:gridSpan w:val="3"/>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2024</w:t>
            </w:r>
          </w:p>
        </w:tc>
        <w:tc>
          <w:tcPr>
            <w:tcW w:w="88" w:type="dxa"/>
            <w:tcBorders/>
            <w:vAlign w:val="center"/>
          </w:tcPr>
          <w:p>
            <w:pPr>
              <w:pStyle w:val="TableContents"/>
              <w:bidi w:val="0"/>
              <w:spacing w:before="0" w:after="0"/>
              <w:jc w:val="left"/>
              <w:rPr/>
            </w:pPr>
            <w:r>
              <w:rPr/>
              <w:t> </w:t>
            </w:r>
          </w:p>
        </w:tc>
        <w:tc>
          <w:tcPr>
            <w:tcW w:w="818" w:type="dxa"/>
            <w:gridSpan w:val="3"/>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2023</w:t>
            </w:r>
          </w:p>
        </w:tc>
        <w:tc>
          <w:tcPr>
            <w:tcW w:w="33" w:type="dxa"/>
            <w:tcBorders/>
            <w:vAlign w:val="center"/>
          </w:tcPr>
          <w:p>
            <w:pPr>
              <w:pStyle w:val="TableContents"/>
              <w:bidi w:val="0"/>
              <w:spacing w:before="0" w:after="0"/>
              <w:jc w:val="center"/>
              <w:rPr>
                <w:sz w:val="16"/>
              </w:rPr>
            </w:pPr>
            <w:r>
              <w:rPr>
                <w:sz w:val="16"/>
              </w:rPr>
            </w:r>
          </w:p>
        </w:tc>
        <w:tc>
          <w:tcPr>
            <w:tcW w:w="767" w:type="dxa"/>
            <w:gridSpan w:val="2"/>
            <w:tcBorders/>
            <w:vAlign w:val="center"/>
          </w:tcPr>
          <w:p>
            <w:pPr>
              <w:pStyle w:val="TableContents"/>
              <w:bidi w:val="0"/>
              <w:spacing w:before="0" w:after="283"/>
              <w:jc w:val="center"/>
              <w:rPr>
                <w:b/>
                <w:sz w:val="16"/>
              </w:rPr>
            </w:pPr>
            <w:r>
              <w:rPr>
                <w:b/>
                <w:sz w:val="16"/>
              </w:rPr>
              <w:t>2024</w:t>
            </w:r>
          </w:p>
        </w:tc>
        <w:tc>
          <w:tcPr>
            <w:tcW w:w="139" w:type="dxa"/>
            <w:tcBorders/>
            <w:vAlign w:val="center"/>
          </w:tcPr>
          <w:p>
            <w:pPr>
              <w:pStyle w:val="TableContents"/>
              <w:bidi w:val="0"/>
              <w:spacing w:before="0" w:after="0"/>
              <w:jc w:val="center"/>
              <w:rPr>
                <w:sz w:val="16"/>
              </w:rPr>
            </w:pPr>
            <w:r>
              <w:rPr>
                <w:sz w:val="16"/>
              </w:rPr>
            </w:r>
          </w:p>
        </w:tc>
        <w:tc>
          <w:tcPr>
            <w:tcW w:w="767" w:type="dxa"/>
            <w:gridSpan w:val="2"/>
            <w:tcBorders/>
            <w:vAlign w:val="center"/>
          </w:tcPr>
          <w:p>
            <w:pPr>
              <w:pStyle w:val="TableContents"/>
              <w:bidi w:val="0"/>
              <w:spacing w:before="0" w:after="0"/>
              <w:jc w:val="center"/>
              <w:rPr>
                <w:b/>
                <w:sz w:val="16"/>
              </w:rPr>
            </w:pPr>
            <w:r>
              <w:rPr>
                <w:b/>
                <w:sz w:val="16"/>
              </w:rPr>
              <w:t>2023</w:t>
            </w:r>
          </w:p>
        </w:tc>
        <w:tc>
          <w:tcPr>
            <w:tcW w:w="119" w:type="dxa"/>
            <w:tcBorders/>
            <w:vAlign w:val="center"/>
          </w:tcPr>
          <w:p>
            <w:pPr>
              <w:pStyle w:val="TableContents"/>
              <w:bidi w:val="0"/>
              <w:spacing w:before="0" w:after="0"/>
              <w:jc w:val="center"/>
              <w:rPr>
                <w:sz w:val="16"/>
              </w:rPr>
            </w:pPr>
            <w:r>
              <w:rPr>
                <w:sz w:val="16"/>
              </w:rPr>
            </w:r>
          </w:p>
        </w:tc>
      </w:tr>
      <w:tr>
        <w:trPr/>
        <w:tc>
          <w:tcPr>
            <w:tcW w:w="3181" w:type="dxa"/>
            <w:tcBorders/>
            <w:shd w:fill="CCEEFF" w:val="clear"/>
            <w:vAlign w:val="center"/>
          </w:tcPr>
          <w:p>
            <w:pPr>
              <w:pStyle w:val="TableContents"/>
              <w:bidi w:val="0"/>
              <w:spacing w:before="0" w:after="0"/>
              <w:ind w:left="0" w:right="0" w:hanging="90"/>
              <w:jc w:val="left"/>
              <w:rPr>
                <w:rFonts w:ascii="times new roman;times" w:hAnsi="times new roman;times"/>
                <w:sz w:val="20"/>
              </w:rPr>
            </w:pPr>
            <w:r>
              <w:rPr>
                <w:rFonts w:ascii="times new roman;times" w:hAnsi="times new roman;times"/>
                <w:sz w:val="20"/>
              </w:rPr>
              <w:t>Foreign currency exchange contracts - Ria Operations</w:t>
            </w:r>
          </w:p>
        </w:tc>
        <w:tc>
          <w:tcPr>
            <w:tcW w:w="60" w:type="dxa"/>
            <w:tcBorders/>
            <w:shd w:fill="CCEEFF" w:val="clear"/>
            <w:vAlign w:val="center"/>
          </w:tcPr>
          <w:p>
            <w:pPr>
              <w:pStyle w:val="TableContents"/>
              <w:bidi w:val="0"/>
              <w:spacing w:before="0" w:after="0"/>
              <w:jc w:val="left"/>
              <w:rPr/>
            </w:pPr>
            <w:r>
              <w:rPr/>
              <w:t> </w:t>
            </w:r>
          </w:p>
        </w:tc>
        <w:tc>
          <w:tcPr>
            <w:tcW w:w="3355" w:type="dxa"/>
            <w:tcBorders/>
            <w:shd w:fill="CCEEFF" w:val="clear"/>
            <w:vAlign w:val="center"/>
          </w:tcPr>
          <w:p>
            <w:pPr>
              <w:pStyle w:val="TableContents"/>
              <w:bidi w:val="0"/>
              <w:spacing w:before="0" w:after="0"/>
              <w:jc w:val="center"/>
              <w:rPr>
                <w:rFonts w:ascii="times new roman;times" w:hAnsi="times new roman;times"/>
                <w:sz w:val="20"/>
              </w:rPr>
            </w:pPr>
            <w:r>
              <w:rPr>
                <w:rFonts w:ascii="times new roman;times" w:hAnsi="times new roman;times"/>
                <w:sz w:val="20"/>
              </w:rPr>
              <w:t>Foreign currency exchange loss, net</w:t>
            </w:r>
          </w:p>
        </w:tc>
        <w:tc>
          <w:tcPr>
            <w:tcW w:w="60" w:type="dxa"/>
            <w:tcBorders/>
            <w:shd w:fill="CCEEFF" w:val="clear"/>
            <w:vAlign w:val="center"/>
          </w:tcPr>
          <w:p>
            <w:pPr>
              <w:pStyle w:val="TableContents"/>
              <w:bidi w:val="0"/>
              <w:spacing w:before="0" w:after="0"/>
              <w:jc w:val="left"/>
              <w:rPr/>
            </w:pPr>
            <w:r>
              <w:rPr/>
              <w:t> </w:t>
            </w:r>
          </w:p>
        </w:tc>
        <w:tc>
          <w:tcPr>
            <w:tcW w:w="184"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495"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(1.0</w:t>
            </w:r>
          </w:p>
        </w:tc>
        <w:tc>
          <w:tcPr>
            <w:tcW w:w="139" w:type="dxa"/>
            <w:tcBorders/>
            <w:shd w:fill="CCEEFF" w:val="clear"/>
            <w:vAlign w:val="center"/>
          </w:tcPr>
          <w:p>
            <w:pPr>
              <w:pStyle w:val="TableContents"/>
              <w:bidi w:val="0"/>
              <w:spacing w:before="0" w:after="283"/>
              <w:jc w:val="left"/>
              <w:rPr/>
            </w:pPr>
            <w:r>
              <w:rPr/>
              <w:t>)</w:t>
            </w:r>
          </w:p>
        </w:tc>
        <w:tc>
          <w:tcPr>
            <w:tcW w:w="88" w:type="dxa"/>
            <w:tcBorders/>
            <w:shd w:fill="CCEEFF" w:val="clear"/>
            <w:vAlign w:val="center"/>
          </w:tcPr>
          <w:p>
            <w:pPr>
              <w:pStyle w:val="TableContents"/>
              <w:bidi w:val="0"/>
              <w:spacing w:before="0" w:after="0"/>
              <w:jc w:val="left"/>
              <w:rPr/>
            </w:pPr>
            <w:r>
              <w:rPr/>
              <w:t> </w:t>
            </w:r>
          </w:p>
        </w:tc>
        <w:tc>
          <w:tcPr>
            <w:tcW w:w="184"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495"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(0.5</w:t>
            </w:r>
          </w:p>
        </w:tc>
        <w:tc>
          <w:tcPr>
            <w:tcW w:w="139" w:type="dxa"/>
            <w:tcBorders/>
            <w:shd w:fill="CCEEFF" w:val="clear"/>
            <w:vAlign w:val="bottom"/>
          </w:tcPr>
          <w:p>
            <w:pPr>
              <w:pStyle w:val="TableContents"/>
              <w:bidi w:val="0"/>
              <w:spacing w:before="0" w:after="283"/>
              <w:jc w:val="left"/>
              <w:rPr/>
            </w:pPr>
            <w:r>
              <w:rPr/>
              <w:t>)</w:t>
            </w:r>
          </w:p>
        </w:tc>
        <w:tc>
          <w:tcPr>
            <w:tcW w:w="33" w:type="dxa"/>
            <w:tcBorders/>
            <w:shd w:fill="CCEEFF" w:val="clear"/>
            <w:vAlign w:val="center"/>
          </w:tcPr>
          <w:p>
            <w:pPr>
              <w:pStyle w:val="TableContents"/>
              <w:bidi w:val="0"/>
              <w:spacing w:before="0" w:after="283"/>
              <w:jc w:val="left"/>
              <w:rPr/>
            </w:pPr>
            <w:r>
              <w:rPr/>
            </w:r>
          </w:p>
        </w:tc>
        <w:tc>
          <w:tcPr>
            <w:tcW w:w="184"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583" w:type="dxa"/>
            <w:tcBorders/>
            <w:shd w:fill="CCEEFF" w:val="clear"/>
            <w:vAlign w:val="center"/>
          </w:tcPr>
          <w:p>
            <w:pPr>
              <w:pStyle w:val="TableContents"/>
              <w:bidi w:val="0"/>
              <w:spacing w:before="0" w:after="283"/>
              <w:jc w:val="right"/>
              <w:rPr/>
            </w:pPr>
            <w:r>
              <w:rPr/>
              <w:t>(2.7</w:t>
            </w:r>
          </w:p>
        </w:tc>
        <w:tc>
          <w:tcPr>
            <w:tcW w:w="139" w:type="dxa"/>
            <w:tcBorders/>
            <w:shd w:fill="CCEEFF" w:val="clear"/>
            <w:vAlign w:val="center"/>
          </w:tcPr>
          <w:p>
            <w:pPr>
              <w:pStyle w:val="TableContents"/>
              <w:bidi w:val="0"/>
              <w:spacing w:before="0" w:after="283"/>
              <w:jc w:val="left"/>
              <w:rPr/>
            </w:pPr>
            <w:r>
              <w:rPr/>
              <w:t>)</w:t>
            </w:r>
          </w:p>
        </w:tc>
        <w:tc>
          <w:tcPr>
            <w:tcW w:w="184"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583" w:type="dxa"/>
            <w:tcBorders/>
            <w:shd w:fill="CCEEFF" w:val="clear"/>
            <w:vAlign w:val="center"/>
          </w:tcPr>
          <w:p>
            <w:pPr>
              <w:pStyle w:val="TableContents"/>
              <w:bidi w:val="0"/>
              <w:spacing w:before="0" w:after="283"/>
              <w:jc w:val="right"/>
              <w:rPr/>
            </w:pPr>
            <w:r>
              <w:rPr/>
              <w:t>(2.1</w:t>
            </w:r>
          </w:p>
        </w:tc>
        <w:tc>
          <w:tcPr>
            <w:tcW w:w="119" w:type="dxa"/>
            <w:tcBorders/>
            <w:shd w:fill="CCEEFF" w:val="clear"/>
            <w:vAlign w:val="center"/>
          </w:tcPr>
          <w:p>
            <w:pPr>
              <w:pStyle w:val="TableContents"/>
              <w:bidi w:val="0"/>
              <w:spacing w:before="0" w:after="283"/>
              <w:jc w:val="left"/>
              <w:rPr/>
            </w:pPr>
            <w:r>
              <w:rPr/>
              <w:t>)</w:t>
            </w:r>
          </w:p>
        </w:tc>
      </w:tr>
    </w:tbl>
    <w:p>
      <w:pPr>
        <w:pStyle w:val="TextBody"/>
        <w:widowControl/>
        <w:bidi w:val="0"/>
        <w:spacing w:lineRule="auto" w:line="288"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bidi w:val="0"/>
        <w:spacing w:lineRule="auto" w:line="288" w:before="0" w:after="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(a) The Company enters into derivative contracts such as foreign currency exchange forwards and cross-currency swaps as part of its xe operations. These derivative contracts are excluded from this table as they are part of the broader disclosure of foreign currency exchange revenues for this business discussed above. </w:t>
      </w:r>
    </w:p>
    <w:p>
      <w:pPr>
        <w:pStyle w:val="TextBody"/>
        <w:widowControl/>
        <w:bidi w:val="0"/>
        <w:spacing w:lineRule="auto" w:line="288" w:before="0" w:after="0"/>
        <w:jc w:val="both"/>
        <w:rPr>
          <w:caps w:val="false"/>
          <w:smallCaps w:val="false"/>
          <w:color w:val="000000"/>
          <w:spacing w:val="0"/>
        </w:rPr>
      </w:pPr>
      <w:r>
        <w:rPr>
          <w:caps w:val="false"/>
          <w:smallCaps w:val="false"/>
          <w:color w:val="000000"/>
          <w:spacing w:val="0"/>
        </w:rPr>
        <w:t> </w:t>
      </w:r>
    </w:p>
    <w:p>
      <w:pPr>
        <w:pStyle w:val="TextBody"/>
        <w:widowControl/>
        <w:bidi w:val="0"/>
        <w:spacing w:lineRule="auto" w:line="288" w:before="0" w:after="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See Note 12, Fair Value Measurements, for the determination of the fair values of derivatives.</w:t>
      </w:r>
    </w:p>
    <w:p>
      <w:pPr>
        <w:pStyle w:val="TextBody"/>
        <w:widowControl/>
        <w:bidi w:val="0"/>
        <w:spacing w:before="0" w:after="0"/>
        <w:jc w:val="both"/>
        <w:rPr>
          <w:caps w:val="false"/>
          <w:smallCaps w:val="false"/>
          <w:color w:val="000000"/>
          <w:spacing w:val="0"/>
        </w:rPr>
      </w:pPr>
      <w:r>
        <w:rPr>
          <w:caps w:val="false"/>
          <w:smallCaps w:val="false"/>
          <w:color w:val="000000"/>
          <w:spacing w:val="0"/>
        </w:rPr>
        <w:t>  </w:t>
      </w:r>
    </w:p>
    <w:p>
      <w:pPr>
        <w:pStyle w:val="TextBody"/>
        <w:widowControl/>
        <w:bidi w:val="0"/>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w:t>
      </w:r>
      <w:r>
        <w:rPr>
          <w:rFonts w:ascii="times new roman;times" w:hAnsi="times new roman;times"/>
          <w:b/>
          <w:i w:val="false"/>
          <w:caps w:val="false"/>
          <w:smallCaps w:val="false"/>
          <w:color w:val="000000"/>
          <w:spacing w:val="0"/>
          <w:sz w:val="20"/>
        </w:rPr>
        <w:t>12</w:t>
      </w:r>
      <w:r>
        <w:rPr>
          <w:rFonts w:ascii="times new roman;times" w:hAnsi="times new roman;times"/>
          <w:b/>
          <w:i w:val="false"/>
          <w:caps w:val="false"/>
          <w:smallCaps w:val="false"/>
          <w:color w:val="000000"/>
          <w:spacing w:val="0"/>
          <w:sz w:val="20"/>
        </w:rPr>
        <w:t>) FAIR VALUE MEASUREMENTS</w:t>
      </w:r>
    </w:p>
    <w:p>
      <w:pPr>
        <w:pStyle w:val="TextBody"/>
        <w:widowControl/>
        <w:bidi w:val="0"/>
        <w:spacing w:lineRule="auto" w:line="288"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lineRule="auto" w:line="288" w:before="0" w:after="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Fair value measurements used in the unaudited consolidated financial statements are based upon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pPr>
            <w:r>
              <w:rPr/>
              <w:t> </w:t>
            </w:r>
          </w:p>
        </w:tc>
      </w:tr>
      <w:tr>
        <w:trPr/>
        <w:tc>
          <w:tcPr>
            <w:tcW w:w="10205" w:type="dxa"/>
            <w:tcBorders/>
            <w:vAlign w:val="center"/>
          </w:tcPr>
          <w:p>
            <w:pPr>
              <w:pStyle w:val="TableContents"/>
              <w:numPr>
                <w:ilvl w:val="0"/>
                <w:numId w:val="2"/>
              </w:numPr>
              <w:tabs>
                <w:tab w:val="clear" w:pos="1134"/>
                <w:tab w:val="left" w:pos="709" w:leader="none"/>
              </w:tabs>
              <w:bidi w:val="0"/>
              <w:spacing w:lineRule="atLeast" w:line="240" w:before="0" w:after="0"/>
              <w:ind w:left="709" w:hanging="283"/>
              <w:jc w:val="both"/>
              <w:rPr>
                <w:rFonts w:ascii="times new roman;times" w:hAnsi="times new roman;times"/>
                <w:sz w:val="20"/>
              </w:rPr>
            </w:pPr>
            <w:r>
              <w:rPr>
                <w:rFonts w:ascii="times new roman;times" w:hAnsi="times new roman;times"/>
                <w:sz w:val="20"/>
              </w:rPr>
              <w:t>Level 1 – Unadjusted quoted prices in active markets for identical assets or liabilities. </w:t>
            </w:r>
          </w:p>
          <w:p>
            <w:pPr>
              <w:pStyle w:val="TableContents"/>
              <w:widowControl/>
              <w:numPr>
                <w:ilvl w:val="0"/>
                <w:numId w:val="2"/>
              </w:numPr>
              <w:tabs>
                <w:tab w:val="clear" w:pos="1134"/>
                <w:tab w:val="left" w:pos="709" w:leader="none"/>
              </w:tabs>
              <w:bidi w:val="0"/>
              <w:spacing w:lineRule="atLeast" w:line="240" w:before="0" w:after="0"/>
              <w:ind w:left="709" w:right="0" w:hanging="283"/>
              <w:jc w:val="left"/>
              <w:rPr>
                <w:sz w:val="20"/>
              </w:rPr>
            </w:pPr>
            <w:r>
              <w:rPr>
                <w:sz w:val="20"/>
              </w:rPr>
              <w:t>Level </w:t>
            </w:r>
            <w:r>
              <w:rPr>
                <w:rFonts w:ascii="times new roman;times" w:hAnsi="times new roman;times"/>
                <w:sz w:val="20"/>
              </w:rPr>
              <w:t>2</w:t>
            </w:r>
            <w:r>
              <w:rPr>
                <w:caps w:val="false"/>
                <w:smallCaps w:val="false"/>
                <w:color w:val="000000"/>
                <w:spacing w:val="0"/>
                <w:sz w:val="20"/>
              </w:rPr>
              <w:t xml:space="preserve"> – </w:t>
            </w:r>
            <w:r>
              <w:rPr>
                <w:rFonts w:ascii="times new roman;times" w:hAnsi="times new roman;times"/>
                <w:b w:val="false"/>
                <w:i w:val="false"/>
                <w:caps w:val="false"/>
                <w:smallCaps w:val="false"/>
                <w:color w:val="000000"/>
                <w:spacing w:val="0"/>
                <w:sz w:val="20"/>
              </w:rPr>
              <w:t>Valuations based on quoted prices for similar assets or liabilities, quoted prices in markets that are not active, or other inputs that are observable or can be corroborated by observable data for substantially the full term of the assets or liabilities.</w:t>
            </w:r>
          </w:p>
          <w:p>
            <w:pPr>
              <w:pStyle w:val="TableContents"/>
              <w:widowControl/>
              <w:numPr>
                <w:ilvl w:val="0"/>
                <w:numId w:val="2"/>
              </w:numPr>
              <w:tabs>
                <w:tab w:val="clear" w:pos="1134"/>
                <w:tab w:val="left" w:pos="709" w:leader="none"/>
              </w:tabs>
              <w:bidi w:val="0"/>
              <w:spacing w:lineRule="atLeast" w:line="240" w:before="0" w:after="0"/>
              <w:ind w:left="709" w:right="0" w:hanging="283"/>
              <w:jc w:val="left"/>
              <w:rPr/>
            </w:pPr>
            <w:r>
              <w:rPr>
                <w:sz w:val="20"/>
              </w:rPr>
              <w:t>Level </w:t>
            </w:r>
            <w:r>
              <w:rPr>
                <w:rFonts w:ascii="times new roman;times" w:hAnsi="times new roman;times"/>
                <w:sz w:val="20"/>
              </w:rPr>
              <w:t>3</w:t>
            </w:r>
            <w:r>
              <w:rPr>
                <w:caps w:val="false"/>
                <w:smallCaps w:val="false"/>
                <w:color w:val="000000"/>
                <w:spacing w:val="0"/>
                <w:sz w:val="20"/>
              </w:rPr>
              <w:t xml:space="preserve"> – </w:t>
            </w:r>
            <w:r>
              <w:rPr>
                <w:rFonts w:ascii="times new roman;times" w:hAnsi="times new roman;times"/>
                <w:b w:val="false"/>
                <w:i w:val="false"/>
                <w:caps w:val="false"/>
                <w:smallCaps w:val="false"/>
                <w:color w:val="000000"/>
                <w:spacing w:val="0"/>
                <w:sz w:val="20"/>
              </w:rPr>
              <w:t>Unobservable inputs in which little or no market activity exists, therefore requiring an entity to develop its own assumptions about the inputs that market participants would use in pricing.</w:t>
            </w:r>
            <w:r>
              <w:rPr/>
              <w:t xml:space="preserve"> </w:t>
            </w:r>
          </w:p>
        </w:tc>
      </w:tr>
    </w:tbl>
    <w:p>
      <w:pPr>
        <w:pStyle w:val="TextBody"/>
        <w:widowControl/>
        <w:bidi w:val="0"/>
        <w:spacing w:lineRule="auto" w:line="288"/>
        <w:jc w:val="left"/>
        <w:rPr>
          <w:caps w:val="false"/>
          <w:smallCaps w:val="false"/>
          <w:color w:val="000000"/>
          <w:spacing w:val="0"/>
        </w:rPr>
      </w:pPr>
      <w:r>
        <w:rPr>
          <w:caps w:val="false"/>
          <w:smallCaps w:val="false"/>
          <w:color w:val="000000"/>
          <w:spacing w:val="0"/>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widowControl/>
        <w:bidi w:val="0"/>
        <w:spacing w:lineRule="auto" w:line="288" w:before="0" w:after="0"/>
        <w:ind w:left="0" w:right="0" w:hanging="0"/>
        <w:jc w:val="left"/>
        <w:rPr>
          <w:caps w:val="false"/>
          <w:smallCaps w:val="false"/>
          <w:color w:val="000000"/>
          <w:spacing w:val="0"/>
        </w:rPr>
      </w:pPr>
      <w:r>
        <w:rPr>
          <w:caps w:val="false"/>
          <w:smallCaps w:val="false"/>
          <w:color w:val="000000"/>
          <w:spacing w:val="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16" w:type="dxa"/>
        <w:jc w:val="left"/>
        <w:tblInd w:w="0" w:type="dxa"/>
        <w:tblLayout w:type="fixed"/>
        <w:tblCellMar>
          <w:top w:w="0" w:type="dxa"/>
          <w:left w:w="0" w:type="dxa"/>
          <w:bottom w:w="0" w:type="dxa"/>
          <w:right w:w="0" w:type="dxa"/>
        </w:tblCellMar>
      </w:tblPr>
      <w:tblGrid>
        <w:gridCol w:w="316"/>
      </w:tblGrid>
      <w:tr>
        <w:trPr/>
        <w:tc>
          <w:tcPr>
            <w:tcW w:w="316" w:type="dxa"/>
            <w:tcBorders/>
            <w:vAlign w:val="center"/>
          </w:tcPr>
          <w:p>
            <w:pPr>
              <w:pStyle w:val="TableContents"/>
              <w:bidi w:val="0"/>
              <w:spacing w:before="0" w:after="283"/>
              <w:jc w:val="center"/>
              <w:rPr>
                <w:sz w:val="20"/>
              </w:rPr>
            </w:pPr>
            <w:r>
              <w:rPr>
                <w:sz w:val="20"/>
              </w:rPr>
              <w:t>16</w:t>
            </w:r>
          </w:p>
        </w:tc>
      </w:tr>
    </w:tbl>
    <w:p>
      <w:pPr>
        <w:pStyle w:val="TextBody"/>
        <w:widowControl/>
        <w:bidi w:val="0"/>
        <w:jc w:val="left"/>
        <w:rPr>
          <w:caps w:val="false"/>
          <w:smallCaps w:val="false"/>
          <w:color w:val="000000"/>
          <w:spacing w:val="0"/>
        </w:rPr>
      </w:pPr>
      <w:r>
        <w:rPr>
          <w:caps w:val="false"/>
          <w:smallCaps w:val="false"/>
          <w:color w:val="000000"/>
          <w:spacing w:val="0"/>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widowControl/>
        <w:bidi w:val="0"/>
        <w:jc w:val="left"/>
        <w:rPr/>
      </w:pPr>
      <w:r>
        <w:rPr/>
      </w:r>
    </w:p>
    <w:p>
      <w:pPr>
        <w:pStyle w:val="TextBody"/>
        <w:widowControl/>
        <w:bidi w:val="0"/>
        <w:jc w:val="left"/>
        <w:rPr>
          <w:sz w:val="20"/>
        </w:rPr>
      </w:pPr>
      <w:r>
        <w:rPr>
          <w:sz w:val="20"/>
        </w:rPr>
      </w:r>
    </w:p>
    <w:p>
      <w:pPr>
        <w:pStyle w:val="TextBody"/>
        <w:widowControl/>
        <w:bidi w:val="0"/>
        <w:spacing w:before="0" w:after="0"/>
        <w:ind w:left="0" w:right="0" w:hanging="0"/>
        <w:jc w:val="left"/>
        <w:rPr/>
      </w:pPr>
      <w:r>
        <w:rPr/>
      </w:r>
    </w:p>
    <w:p>
      <w:pPr>
        <w:pStyle w:val="TextBody"/>
        <w:widowControl/>
        <w:bidi w:val="0"/>
        <w:spacing w:lineRule="atLeast" w:line="240" w:before="0" w:after="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following table details financial assets and liabilities measured and recorded at fair value on a recurring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7786" w:type="dxa"/>
        <w:jc w:val="left"/>
        <w:tblInd w:w="0" w:type="dxa"/>
        <w:tblLayout w:type="fixed"/>
        <w:tblCellMar>
          <w:top w:w="0" w:type="dxa"/>
          <w:left w:w="0" w:type="dxa"/>
          <w:bottom w:w="0" w:type="dxa"/>
          <w:right w:w="0" w:type="dxa"/>
        </w:tblCellMar>
      </w:tblPr>
      <w:tblGrid>
        <w:gridCol w:w="3020"/>
        <w:gridCol w:w="60"/>
        <w:gridCol w:w="2045"/>
        <w:gridCol w:w="60"/>
        <w:gridCol w:w="166"/>
        <w:gridCol w:w="346"/>
        <w:gridCol w:w="31"/>
        <w:gridCol w:w="60"/>
        <w:gridCol w:w="125"/>
        <w:gridCol w:w="440"/>
        <w:gridCol w:w="95"/>
        <w:gridCol w:w="60"/>
        <w:gridCol w:w="166"/>
        <w:gridCol w:w="346"/>
        <w:gridCol w:w="31"/>
        <w:gridCol w:w="60"/>
        <w:gridCol w:w="125"/>
        <w:gridCol w:w="440"/>
        <w:gridCol w:w="110"/>
      </w:tblGrid>
      <w:tr>
        <w:trPr/>
        <w:tc>
          <w:tcPr>
            <w:tcW w:w="30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04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601" w:type="dxa"/>
            <w:gridSpan w:val="15"/>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As of June 30, 2024</w:t>
            </w:r>
          </w:p>
        </w:tc>
      </w:tr>
      <w:tr>
        <w:trPr/>
        <w:tc>
          <w:tcPr>
            <w:tcW w:w="3020" w:type="dxa"/>
            <w:tcBorders/>
            <w:vAlign w:val="center"/>
          </w:tcPr>
          <w:p>
            <w:pPr>
              <w:pStyle w:val="TableContents"/>
              <w:bidi w:val="0"/>
              <w:spacing w:before="0" w:after="0"/>
              <w:jc w:val="left"/>
              <w:rPr>
                <w:rFonts w:ascii="times new roman;times" w:hAnsi="times new roman;times"/>
                <w:sz w:val="16"/>
              </w:rPr>
            </w:pPr>
            <w:r>
              <w:rPr>
                <w:rFonts w:ascii="times new roman;times" w:hAnsi="times new roman;times"/>
                <w:sz w:val="16"/>
              </w:rPr>
              <w:t>(in millions)</w:t>
            </w:r>
          </w:p>
        </w:tc>
        <w:tc>
          <w:tcPr>
            <w:tcW w:w="60" w:type="dxa"/>
            <w:tcBorders/>
            <w:vAlign w:val="center"/>
          </w:tcPr>
          <w:p>
            <w:pPr>
              <w:pStyle w:val="TableContents"/>
              <w:bidi w:val="0"/>
              <w:spacing w:before="0" w:after="0"/>
              <w:jc w:val="left"/>
              <w:rPr/>
            </w:pPr>
            <w:r>
              <w:rPr/>
              <w:t> </w:t>
            </w:r>
          </w:p>
        </w:tc>
        <w:tc>
          <w:tcPr>
            <w:tcW w:w="2045" w:type="dxa"/>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Balance Sheet Classification</w:t>
            </w:r>
          </w:p>
        </w:tc>
        <w:tc>
          <w:tcPr>
            <w:tcW w:w="60" w:type="dxa"/>
            <w:tcBorders/>
            <w:vAlign w:val="center"/>
          </w:tcPr>
          <w:p>
            <w:pPr>
              <w:pStyle w:val="TableContents"/>
              <w:bidi w:val="0"/>
              <w:spacing w:before="0" w:after="0"/>
              <w:jc w:val="left"/>
              <w:rPr/>
            </w:pPr>
            <w:r>
              <w:rPr/>
              <w:t> </w:t>
            </w:r>
          </w:p>
        </w:tc>
        <w:tc>
          <w:tcPr>
            <w:tcW w:w="543" w:type="dxa"/>
            <w:gridSpan w:val="3"/>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 xml:space="preserve">Level </w:t>
            </w:r>
            <w:r>
              <w:rPr>
                <w:rFonts w:ascii="times new roman;times" w:hAnsi="times new roman;times"/>
                <w:b/>
                <w:sz w:val="16"/>
              </w:rPr>
              <w:t>1</w:t>
            </w:r>
          </w:p>
        </w:tc>
        <w:tc>
          <w:tcPr>
            <w:tcW w:w="60" w:type="dxa"/>
            <w:tcBorders/>
            <w:vAlign w:val="center"/>
          </w:tcPr>
          <w:p>
            <w:pPr>
              <w:pStyle w:val="TableContents"/>
              <w:bidi w:val="0"/>
              <w:spacing w:before="0" w:after="0"/>
              <w:jc w:val="left"/>
              <w:rPr/>
            </w:pPr>
            <w:r>
              <w:rPr/>
              <w:t> </w:t>
            </w:r>
          </w:p>
        </w:tc>
        <w:tc>
          <w:tcPr>
            <w:tcW w:w="660" w:type="dxa"/>
            <w:gridSpan w:val="3"/>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 xml:space="preserve">Level </w:t>
            </w:r>
            <w:r>
              <w:rPr>
                <w:rFonts w:ascii="times new roman;times" w:hAnsi="times new roman;times"/>
                <w:b/>
                <w:sz w:val="16"/>
              </w:rPr>
              <w:t>2</w:t>
            </w:r>
          </w:p>
        </w:tc>
        <w:tc>
          <w:tcPr>
            <w:tcW w:w="60" w:type="dxa"/>
            <w:tcBorders/>
            <w:vAlign w:val="center"/>
          </w:tcPr>
          <w:p>
            <w:pPr>
              <w:pStyle w:val="TableContents"/>
              <w:bidi w:val="0"/>
              <w:spacing w:before="0" w:after="0"/>
              <w:jc w:val="left"/>
              <w:rPr/>
            </w:pPr>
            <w:r>
              <w:rPr/>
              <w:t> </w:t>
            </w:r>
          </w:p>
        </w:tc>
        <w:tc>
          <w:tcPr>
            <w:tcW w:w="543" w:type="dxa"/>
            <w:gridSpan w:val="3"/>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 xml:space="preserve">Level </w:t>
            </w:r>
            <w:r>
              <w:rPr>
                <w:rFonts w:ascii="times new roman;times" w:hAnsi="times new roman;times"/>
                <w:b/>
                <w:sz w:val="16"/>
              </w:rPr>
              <w:t>3</w:t>
            </w:r>
          </w:p>
        </w:tc>
        <w:tc>
          <w:tcPr>
            <w:tcW w:w="60" w:type="dxa"/>
            <w:tcBorders/>
            <w:vAlign w:val="center"/>
          </w:tcPr>
          <w:p>
            <w:pPr>
              <w:pStyle w:val="TableContents"/>
              <w:bidi w:val="0"/>
              <w:spacing w:before="0" w:after="0"/>
              <w:jc w:val="left"/>
              <w:rPr/>
            </w:pPr>
            <w:r>
              <w:rPr/>
              <w:t> </w:t>
            </w:r>
          </w:p>
        </w:tc>
        <w:tc>
          <w:tcPr>
            <w:tcW w:w="675" w:type="dxa"/>
            <w:gridSpan w:val="3"/>
            <w:tcBorders/>
            <w:vAlign w:val="center"/>
          </w:tcPr>
          <w:p>
            <w:pPr>
              <w:pStyle w:val="TableContents"/>
              <w:bidi w:val="0"/>
              <w:spacing w:before="0" w:after="0"/>
              <w:ind w:left="0" w:right="0" w:hanging="0"/>
              <w:jc w:val="center"/>
              <w:rPr>
                <w:rFonts w:ascii="times new roman;times" w:hAnsi="times new roman;times"/>
                <w:b/>
                <w:sz w:val="16"/>
              </w:rPr>
            </w:pPr>
            <w:r>
              <w:rPr>
                <w:rFonts w:ascii="times new roman;times" w:hAnsi="times new roman;times"/>
                <w:b/>
                <w:sz w:val="16"/>
              </w:rPr>
              <w:t>Total</w:t>
            </w:r>
          </w:p>
        </w:tc>
      </w:tr>
      <w:tr>
        <w:trPr/>
        <w:tc>
          <w:tcPr>
            <w:tcW w:w="3020" w:type="dxa"/>
            <w:tcBorders/>
            <w:vAlign w:val="center"/>
          </w:tcPr>
          <w:p>
            <w:pPr>
              <w:pStyle w:val="TableContents"/>
              <w:bidi w:val="0"/>
              <w:spacing w:before="0" w:after="0"/>
              <w:ind w:left="0" w:right="0" w:hanging="0"/>
              <w:jc w:val="left"/>
              <w:rPr>
                <w:rFonts w:ascii="times new roman;times" w:hAnsi="times new roman;times"/>
                <w:b/>
                <w:sz w:val="20"/>
              </w:rPr>
            </w:pPr>
            <w:r>
              <w:rPr>
                <w:rFonts w:ascii="times new roman;times" w:hAnsi="times new roman;times"/>
                <w:b/>
                <w:sz w:val="20"/>
              </w:rPr>
              <w:t>Assets</w:t>
            </w:r>
          </w:p>
        </w:tc>
        <w:tc>
          <w:tcPr>
            <w:tcW w:w="60" w:type="dxa"/>
            <w:tcBorders/>
            <w:vAlign w:val="center"/>
          </w:tcPr>
          <w:p>
            <w:pPr>
              <w:pStyle w:val="TableContents"/>
              <w:bidi w:val="0"/>
              <w:spacing w:before="0" w:after="0"/>
              <w:ind w:left="0" w:right="0" w:hanging="0"/>
              <w:jc w:val="left"/>
              <w:rPr/>
            </w:pPr>
            <w:r>
              <w:rPr/>
              <w:t> </w:t>
            </w:r>
          </w:p>
        </w:tc>
        <w:tc>
          <w:tcPr>
            <w:tcW w:w="204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jc w:val="left"/>
              <w:rPr/>
            </w:pPr>
            <w:r>
              <w:rPr/>
              <w:t> </w:t>
            </w:r>
          </w:p>
        </w:tc>
        <w:tc>
          <w:tcPr>
            <w:tcW w:w="543" w:type="dxa"/>
            <w:gridSpan w:val="3"/>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jc w:val="left"/>
              <w:rPr/>
            </w:pPr>
            <w:r>
              <w:rPr/>
              <w:t> </w:t>
            </w:r>
          </w:p>
        </w:tc>
        <w:tc>
          <w:tcPr>
            <w:tcW w:w="660" w:type="dxa"/>
            <w:gridSpan w:val="3"/>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543" w:type="dxa"/>
            <w:gridSpan w:val="3"/>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75" w:type="dxa"/>
            <w:gridSpan w:val="3"/>
            <w:tcBorders/>
            <w:vAlign w:val="center"/>
          </w:tcPr>
          <w:p>
            <w:pPr>
              <w:pStyle w:val="TableContents"/>
              <w:bidi w:val="0"/>
              <w:spacing w:before="0" w:after="0"/>
              <w:jc w:val="left"/>
              <w:rPr/>
            </w:pPr>
            <w:r>
              <w:rPr/>
              <w:t> </w:t>
            </w:r>
          </w:p>
        </w:tc>
      </w:tr>
      <w:tr>
        <w:trPr/>
        <w:tc>
          <w:tcPr>
            <w:tcW w:w="3020" w:type="dxa"/>
            <w:tcBorders/>
            <w:shd w:fill="CCEEFF" w:val="clear"/>
            <w:vAlign w:val="center"/>
          </w:tcPr>
          <w:p>
            <w:pPr>
              <w:pStyle w:val="TableContents"/>
              <w:bidi w:val="0"/>
              <w:spacing w:before="0" w:after="0"/>
              <w:ind w:left="0" w:right="0" w:hanging="90"/>
              <w:jc w:val="left"/>
              <w:rPr>
                <w:rFonts w:ascii="times new roman;times" w:hAnsi="times new roman;times"/>
                <w:sz w:val="20"/>
              </w:rPr>
            </w:pPr>
            <w:r>
              <w:rPr>
                <w:rFonts w:ascii="times new roman;times" w:hAnsi="times new roman;times"/>
                <w:sz w:val="20"/>
              </w:rPr>
              <w:t>Foreign currency exchange contracts</w:t>
            </w:r>
          </w:p>
        </w:tc>
        <w:tc>
          <w:tcPr>
            <w:tcW w:w="60" w:type="dxa"/>
            <w:tcBorders/>
            <w:shd w:fill="CCEEFF" w:val="clear"/>
            <w:vAlign w:val="center"/>
          </w:tcPr>
          <w:p>
            <w:pPr>
              <w:pStyle w:val="TableContents"/>
              <w:bidi w:val="0"/>
              <w:spacing w:before="0" w:after="0"/>
              <w:jc w:val="left"/>
              <w:rPr/>
            </w:pPr>
            <w:r>
              <w:rPr/>
              <w:t> </w:t>
            </w:r>
          </w:p>
        </w:tc>
        <w:tc>
          <w:tcPr>
            <w:tcW w:w="2045" w:type="dxa"/>
            <w:tcBorders/>
            <w:shd w:fill="CCEEFF" w:val="clear"/>
            <w:vAlign w:val="center"/>
          </w:tcPr>
          <w:p>
            <w:pPr>
              <w:pStyle w:val="TableContents"/>
              <w:bidi w:val="0"/>
              <w:spacing w:before="0" w:after="0"/>
              <w:jc w:val="center"/>
              <w:rPr>
                <w:rFonts w:ascii="times new roman;times" w:hAnsi="times new roman;times"/>
                <w:sz w:val="20"/>
              </w:rPr>
            </w:pPr>
            <w:r>
              <w:rPr>
                <w:rFonts w:ascii="times new roman;times" w:hAnsi="times new roman;times"/>
                <w:sz w:val="20"/>
              </w:rPr>
              <w:t>Other current assets</w:t>
            </w:r>
          </w:p>
        </w:tc>
        <w:tc>
          <w:tcPr>
            <w:tcW w:w="60" w:type="dxa"/>
            <w:tcBorders/>
            <w:shd w:fill="CCEEFF" w:val="clear"/>
            <w:vAlign w:val="center"/>
          </w:tcPr>
          <w:p>
            <w:pPr>
              <w:pStyle w:val="TableContents"/>
              <w:bidi w:val="0"/>
              <w:spacing w:before="0" w:after="0"/>
              <w:ind w:left="0" w:right="0" w:hanging="0"/>
              <w:jc w:val="left"/>
              <w:rPr/>
            </w:pPr>
            <w:r>
              <w:rPr/>
              <w:t> </w:t>
            </w:r>
          </w:p>
        </w:tc>
        <w:tc>
          <w:tcPr>
            <w:tcW w:w="166"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346" w:type="dxa"/>
            <w:tcBorders/>
            <w:shd w:fill="CCEEFF" w:val="clear"/>
            <w:vAlign w:val="center"/>
          </w:tcPr>
          <w:p>
            <w:pPr>
              <w:pStyle w:val="TableContents"/>
              <w:bidi w:val="0"/>
              <w:spacing w:before="0" w:after="0"/>
              <w:jc w:val="right"/>
              <w:rPr/>
            </w:pPr>
            <w:r>
              <w:rPr/>
              <w:t>—</w:t>
            </w:r>
          </w:p>
        </w:tc>
        <w:tc>
          <w:tcPr>
            <w:tcW w:w="31" w:type="dxa"/>
            <w:tcBorders/>
            <w:shd w:fill="CCEEFF" w:val="clear"/>
            <w:vAlign w:val="center"/>
          </w:tcPr>
          <w:p>
            <w:pPr>
              <w:pStyle w:val="TableContents"/>
              <w:bidi w:val="0"/>
              <w:spacing w:before="0" w:after="0"/>
              <w:jc w:val="left"/>
              <w:rPr>
                <w:sz w:val="20"/>
              </w:rPr>
            </w:pPr>
            <w:r>
              <w:rPr>
                <w:sz w:val="20"/>
              </w:rPr>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440"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32.4</w:t>
            </w:r>
          </w:p>
        </w:tc>
        <w:tc>
          <w:tcPr>
            <w:tcW w:w="95" w:type="dxa"/>
            <w:tcBorders/>
            <w:shd w:fill="CCEEFF" w:val="clear"/>
            <w:vAlign w:val="center"/>
          </w:tcPr>
          <w:p>
            <w:pPr>
              <w:pStyle w:val="TableContents"/>
              <w:bidi w:val="0"/>
              <w:spacing w:before="0" w:after="0"/>
              <w:ind w:left="0" w:right="0" w:hanging="0"/>
              <w:jc w:val="left"/>
              <w:rPr>
                <w:sz w:val="20"/>
              </w:rPr>
            </w:pPr>
            <w:r>
              <w:rPr>
                <w:sz w:val="20"/>
              </w:rPr>
            </w:r>
          </w:p>
        </w:tc>
        <w:tc>
          <w:tcPr>
            <w:tcW w:w="60" w:type="dxa"/>
            <w:tcBorders/>
            <w:shd w:fill="CCEEFF" w:val="clear"/>
            <w:vAlign w:val="center"/>
          </w:tcPr>
          <w:p>
            <w:pPr>
              <w:pStyle w:val="TableContents"/>
              <w:bidi w:val="0"/>
              <w:spacing w:before="0" w:after="0"/>
              <w:ind w:left="0" w:right="0" w:hanging="0"/>
              <w:jc w:val="left"/>
              <w:rPr/>
            </w:pPr>
            <w:r>
              <w:rPr/>
              <w:t> </w:t>
            </w:r>
          </w:p>
        </w:tc>
        <w:tc>
          <w:tcPr>
            <w:tcW w:w="166"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346" w:type="dxa"/>
            <w:tcBorders/>
            <w:shd w:fill="CCEEFF" w:val="clear"/>
            <w:vAlign w:val="center"/>
          </w:tcPr>
          <w:p>
            <w:pPr>
              <w:pStyle w:val="TableContents"/>
              <w:bidi w:val="0"/>
              <w:spacing w:before="0" w:after="0"/>
              <w:jc w:val="right"/>
              <w:rPr/>
            </w:pPr>
            <w:r>
              <w:rPr/>
              <w:t>—</w:t>
            </w:r>
          </w:p>
        </w:tc>
        <w:tc>
          <w:tcPr>
            <w:tcW w:w="31" w:type="dxa"/>
            <w:tcBorders/>
            <w:shd w:fill="CCEEFF" w:val="clear"/>
            <w:vAlign w:val="center"/>
          </w:tcPr>
          <w:p>
            <w:pPr>
              <w:pStyle w:val="TableContents"/>
              <w:bidi w:val="0"/>
              <w:spacing w:before="0" w:after="0"/>
              <w:ind w:left="0" w:right="0" w:hanging="0"/>
              <w:jc w:val="left"/>
              <w:rPr>
                <w:sz w:val="20"/>
              </w:rPr>
            </w:pPr>
            <w:r>
              <w:rPr>
                <w:sz w:val="20"/>
              </w:rPr>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440"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32.4</w:t>
            </w:r>
          </w:p>
        </w:tc>
        <w:tc>
          <w:tcPr>
            <w:tcW w:w="110" w:type="dxa"/>
            <w:tcBorders/>
            <w:shd w:fill="CCEEFF" w:val="clear"/>
            <w:vAlign w:val="center"/>
          </w:tcPr>
          <w:p>
            <w:pPr>
              <w:pStyle w:val="TableContents"/>
              <w:bidi w:val="0"/>
              <w:spacing w:before="0" w:after="0"/>
              <w:jc w:val="left"/>
              <w:rPr>
                <w:sz w:val="20"/>
              </w:rPr>
            </w:pPr>
            <w:r>
              <w:rPr>
                <w:sz w:val="20"/>
              </w:rPr>
            </w:r>
          </w:p>
        </w:tc>
      </w:tr>
      <w:tr>
        <w:trPr/>
        <w:tc>
          <w:tcPr>
            <w:tcW w:w="3020" w:type="dxa"/>
            <w:tcBorders/>
            <w:vAlign w:val="center"/>
          </w:tcPr>
          <w:p>
            <w:pPr>
              <w:pStyle w:val="TableContents"/>
              <w:bidi w:val="0"/>
              <w:spacing w:before="0" w:after="0"/>
              <w:jc w:val="left"/>
              <w:rPr>
                <w:rFonts w:ascii="times new roman;times" w:hAnsi="times new roman;times"/>
                <w:b/>
                <w:sz w:val="20"/>
              </w:rPr>
            </w:pPr>
            <w:r>
              <w:rPr>
                <w:rFonts w:ascii="times new roman;times" w:hAnsi="times new roman;times"/>
                <w:b/>
                <w:sz w:val="20"/>
              </w:rPr>
              <w:t>Liabilities</w:t>
            </w:r>
          </w:p>
        </w:tc>
        <w:tc>
          <w:tcPr>
            <w:tcW w:w="60" w:type="dxa"/>
            <w:tcBorders/>
            <w:vAlign w:val="center"/>
          </w:tcPr>
          <w:p>
            <w:pPr>
              <w:pStyle w:val="TableContents"/>
              <w:bidi w:val="0"/>
              <w:spacing w:before="0" w:after="0"/>
              <w:jc w:val="left"/>
              <w:rPr/>
            </w:pPr>
            <w:r>
              <w:rPr/>
              <w:t> </w:t>
            </w:r>
          </w:p>
        </w:tc>
        <w:tc>
          <w:tcPr>
            <w:tcW w:w="204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543" w:type="dxa"/>
            <w:gridSpan w:val="3"/>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60" w:type="dxa"/>
            <w:gridSpan w:val="3"/>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543" w:type="dxa"/>
            <w:gridSpan w:val="3"/>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75" w:type="dxa"/>
            <w:gridSpan w:val="3"/>
            <w:tcBorders/>
            <w:vAlign w:val="center"/>
          </w:tcPr>
          <w:p>
            <w:pPr>
              <w:pStyle w:val="TableContents"/>
              <w:bidi w:val="0"/>
              <w:spacing w:before="0" w:after="0"/>
              <w:jc w:val="left"/>
              <w:rPr/>
            </w:pPr>
            <w:r>
              <w:rPr/>
              <w:t> </w:t>
            </w:r>
          </w:p>
        </w:tc>
      </w:tr>
      <w:tr>
        <w:trPr/>
        <w:tc>
          <w:tcPr>
            <w:tcW w:w="3020" w:type="dxa"/>
            <w:tcBorders/>
            <w:shd w:fill="CCEEFF" w:val="clear"/>
            <w:vAlign w:val="center"/>
          </w:tcPr>
          <w:p>
            <w:pPr>
              <w:pStyle w:val="TableContents"/>
              <w:bidi w:val="0"/>
              <w:spacing w:before="0" w:after="0"/>
              <w:ind w:left="0" w:right="0" w:hanging="90"/>
              <w:jc w:val="left"/>
              <w:rPr>
                <w:rFonts w:ascii="times new roman;times" w:hAnsi="times new roman;times"/>
                <w:sz w:val="20"/>
              </w:rPr>
            </w:pPr>
            <w:r>
              <w:rPr>
                <w:rFonts w:ascii="times new roman;times" w:hAnsi="times new roman;times"/>
                <w:sz w:val="20"/>
              </w:rPr>
              <w:t>Foreign currency exchange contracts</w:t>
            </w:r>
          </w:p>
        </w:tc>
        <w:tc>
          <w:tcPr>
            <w:tcW w:w="60" w:type="dxa"/>
            <w:tcBorders/>
            <w:shd w:fill="CCEEFF" w:val="clear"/>
            <w:vAlign w:val="center"/>
          </w:tcPr>
          <w:p>
            <w:pPr>
              <w:pStyle w:val="TableContents"/>
              <w:bidi w:val="0"/>
              <w:spacing w:before="0" w:after="0"/>
              <w:jc w:val="left"/>
              <w:rPr/>
            </w:pPr>
            <w:r>
              <w:rPr/>
              <w:t> </w:t>
            </w:r>
          </w:p>
        </w:tc>
        <w:tc>
          <w:tcPr>
            <w:tcW w:w="2045" w:type="dxa"/>
            <w:tcBorders/>
            <w:shd w:fill="CCEEFF" w:val="clear"/>
            <w:vAlign w:val="center"/>
          </w:tcPr>
          <w:p>
            <w:pPr>
              <w:pStyle w:val="TableContents"/>
              <w:bidi w:val="0"/>
              <w:spacing w:before="0" w:after="0"/>
              <w:jc w:val="center"/>
              <w:rPr>
                <w:rFonts w:ascii="times new roman;times" w:hAnsi="times new roman;times"/>
                <w:sz w:val="20"/>
              </w:rPr>
            </w:pPr>
            <w:r>
              <w:rPr>
                <w:rFonts w:ascii="times new roman;times" w:hAnsi="times new roman;times"/>
                <w:sz w:val="20"/>
              </w:rPr>
              <w:t>Other current liabilities</w:t>
            </w:r>
          </w:p>
        </w:tc>
        <w:tc>
          <w:tcPr>
            <w:tcW w:w="60" w:type="dxa"/>
            <w:tcBorders/>
            <w:shd w:fill="CCEEFF" w:val="clear"/>
            <w:vAlign w:val="center"/>
          </w:tcPr>
          <w:p>
            <w:pPr>
              <w:pStyle w:val="TableContents"/>
              <w:bidi w:val="0"/>
              <w:spacing w:before="0" w:after="0"/>
              <w:jc w:val="left"/>
              <w:rPr/>
            </w:pPr>
            <w:r>
              <w:rPr/>
              <w:t> </w:t>
            </w:r>
          </w:p>
        </w:tc>
        <w:tc>
          <w:tcPr>
            <w:tcW w:w="166"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346" w:type="dxa"/>
            <w:tcBorders/>
            <w:shd w:fill="CCEEFF" w:val="clear"/>
            <w:vAlign w:val="center"/>
          </w:tcPr>
          <w:p>
            <w:pPr>
              <w:pStyle w:val="TableContents"/>
              <w:bidi w:val="0"/>
              <w:spacing w:before="0" w:after="0"/>
              <w:jc w:val="right"/>
              <w:rPr/>
            </w:pPr>
            <w:r>
              <w:rPr/>
              <w:t>—</w:t>
            </w:r>
          </w:p>
        </w:tc>
        <w:tc>
          <w:tcPr>
            <w:tcW w:w="31" w:type="dxa"/>
            <w:tcBorders/>
            <w:shd w:fill="CCEEFF" w:val="clear"/>
            <w:vAlign w:val="center"/>
          </w:tcPr>
          <w:p>
            <w:pPr>
              <w:pStyle w:val="TableContents"/>
              <w:bidi w:val="0"/>
              <w:spacing w:before="0" w:after="0"/>
              <w:jc w:val="left"/>
              <w:rPr>
                <w:sz w:val="20"/>
              </w:rPr>
            </w:pPr>
            <w:r>
              <w:rPr>
                <w:sz w:val="20"/>
              </w:rPr>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440"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0"/>
              <w:jc w:val="left"/>
              <w:rPr/>
            </w:pPr>
            <w:r>
              <w:rPr/>
              <w:t> </w:t>
            </w:r>
          </w:p>
        </w:tc>
        <w:tc>
          <w:tcPr>
            <w:tcW w:w="166"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346" w:type="dxa"/>
            <w:tcBorders/>
            <w:shd w:fill="CCEEFF" w:val="clear"/>
            <w:vAlign w:val="center"/>
          </w:tcPr>
          <w:p>
            <w:pPr>
              <w:pStyle w:val="TableContents"/>
              <w:bidi w:val="0"/>
              <w:spacing w:before="0" w:after="0"/>
              <w:jc w:val="right"/>
              <w:rPr/>
            </w:pPr>
            <w:r>
              <w:rPr/>
              <w:t>—</w:t>
            </w:r>
          </w:p>
        </w:tc>
        <w:tc>
          <w:tcPr>
            <w:tcW w:w="31" w:type="dxa"/>
            <w:tcBorders/>
            <w:shd w:fill="CCEEFF" w:val="clear"/>
            <w:vAlign w:val="center"/>
          </w:tcPr>
          <w:p>
            <w:pPr>
              <w:pStyle w:val="TableContents"/>
              <w:bidi w:val="0"/>
              <w:spacing w:before="0" w:after="0"/>
              <w:jc w:val="left"/>
              <w:rPr>
                <w:sz w:val="20"/>
              </w:rPr>
            </w:pPr>
            <w:r>
              <w:rPr>
                <w:sz w:val="20"/>
              </w:rPr>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440"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(28.4</w:t>
            </w:r>
          </w:p>
        </w:tc>
        <w:tc>
          <w:tcPr>
            <w:tcW w:w="110" w:type="dxa"/>
            <w:tcBorders/>
            <w:shd w:fill="CCEEFF" w:val="clear"/>
            <w:vAlign w:val="center"/>
          </w:tcPr>
          <w:p>
            <w:pPr>
              <w:pStyle w:val="TableContents"/>
              <w:bidi w:val="0"/>
              <w:spacing w:before="0" w:after="283"/>
              <w:jc w:val="left"/>
              <w:rPr/>
            </w:pPr>
            <w:r>
              <w:rPr/>
              <w:t>)</w:t>
            </w:r>
          </w:p>
        </w:tc>
      </w:tr>
    </w:tbl>
    <w:p>
      <w:pPr>
        <w:pStyle w:val="TextBody"/>
        <w:widowControl/>
        <w:bidi w:val="0"/>
        <w:spacing w:lineRule="atLeast" w:line="240"/>
        <w:jc w:val="left"/>
        <w:rPr>
          <w:caps w:val="false"/>
          <w:smallCaps w:val="false"/>
          <w:color w:val="000000"/>
          <w:spacing w:val="0"/>
          <w:sz w:val="20"/>
          <w:szCs w:val="20"/>
        </w:rPr>
      </w:pPr>
      <w:r>
        <w:rPr>
          <w:caps w:val="false"/>
          <w:smallCaps w:val="false"/>
          <w:color w:val="000000"/>
          <w:spacing w:val="0"/>
          <w:sz w:val="20"/>
          <w:szCs w:val="20"/>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widowControl/>
        <w:bidi w:val="0"/>
        <w:spacing w:lineRule="auto" w:line="288" w:before="0" w:after="0"/>
        <w:ind w:left="0" w:right="0" w:hanging="0"/>
        <w:jc w:val="left"/>
        <w:rPr>
          <w:caps w:val="false"/>
          <w:smallCaps w:val="false"/>
          <w:color w:val="000000"/>
          <w:spacing w:val="0"/>
        </w:rPr>
      </w:pPr>
      <w:r>
        <w:rPr>
          <w:caps w:val="false"/>
          <w:smallCaps w:val="false"/>
          <w:color w:val="000000"/>
          <w:spacing w:val="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7786" w:type="dxa"/>
        <w:jc w:val="left"/>
        <w:tblInd w:w="0" w:type="dxa"/>
        <w:tblLayout w:type="fixed"/>
        <w:tblCellMar>
          <w:top w:w="0" w:type="dxa"/>
          <w:left w:w="0" w:type="dxa"/>
          <w:bottom w:w="0" w:type="dxa"/>
          <w:right w:w="0" w:type="dxa"/>
        </w:tblCellMar>
      </w:tblPr>
      <w:tblGrid>
        <w:gridCol w:w="3020"/>
        <w:gridCol w:w="60"/>
        <w:gridCol w:w="2045"/>
        <w:gridCol w:w="60"/>
        <w:gridCol w:w="166"/>
        <w:gridCol w:w="346"/>
        <w:gridCol w:w="31"/>
        <w:gridCol w:w="60"/>
        <w:gridCol w:w="125"/>
        <w:gridCol w:w="440"/>
        <w:gridCol w:w="95"/>
        <w:gridCol w:w="60"/>
        <w:gridCol w:w="166"/>
        <w:gridCol w:w="346"/>
        <w:gridCol w:w="31"/>
        <w:gridCol w:w="60"/>
        <w:gridCol w:w="125"/>
        <w:gridCol w:w="440"/>
        <w:gridCol w:w="110"/>
      </w:tblGrid>
      <w:tr>
        <w:trPr/>
        <w:tc>
          <w:tcPr>
            <w:tcW w:w="30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04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601" w:type="dxa"/>
            <w:gridSpan w:val="15"/>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As of December 31, 2023</w:t>
            </w:r>
          </w:p>
        </w:tc>
      </w:tr>
      <w:tr>
        <w:trPr/>
        <w:tc>
          <w:tcPr>
            <w:tcW w:w="3020" w:type="dxa"/>
            <w:tcBorders/>
            <w:vAlign w:val="center"/>
          </w:tcPr>
          <w:p>
            <w:pPr>
              <w:pStyle w:val="TableContents"/>
              <w:bidi w:val="0"/>
              <w:spacing w:before="0" w:after="0"/>
              <w:jc w:val="left"/>
              <w:rPr>
                <w:rFonts w:ascii="times new roman;times" w:hAnsi="times new roman;times"/>
                <w:sz w:val="16"/>
              </w:rPr>
            </w:pPr>
            <w:r>
              <w:rPr>
                <w:rFonts w:ascii="times new roman;times" w:hAnsi="times new roman;times"/>
                <w:sz w:val="16"/>
              </w:rPr>
              <w:t>(in millions)</w:t>
            </w:r>
          </w:p>
        </w:tc>
        <w:tc>
          <w:tcPr>
            <w:tcW w:w="60" w:type="dxa"/>
            <w:tcBorders/>
            <w:vAlign w:val="center"/>
          </w:tcPr>
          <w:p>
            <w:pPr>
              <w:pStyle w:val="TableContents"/>
              <w:bidi w:val="0"/>
              <w:spacing w:before="0" w:after="0"/>
              <w:jc w:val="left"/>
              <w:rPr/>
            </w:pPr>
            <w:r>
              <w:rPr/>
              <w:t> </w:t>
            </w:r>
          </w:p>
        </w:tc>
        <w:tc>
          <w:tcPr>
            <w:tcW w:w="2045" w:type="dxa"/>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Balance Sheet Classification</w:t>
            </w:r>
          </w:p>
        </w:tc>
        <w:tc>
          <w:tcPr>
            <w:tcW w:w="60" w:type="dxa"/>
            <w:tcBorders/>
            <w:vAlign w:val="center"/>
          </w:tcPr>
          <w:p>
            <w:pPr>
              <w:pStyle w:val="TableContents"/>
              <w:bidi w:val="0"/>
              <w:spacing w:before="0" w:after="0"/>
              <w:jc w:val="left"/>
              <w:rPr/>
            </w:pPr>
            <w:r>
              <w:rPr/>
              <w:t> </w:t>
            </w:r>
          </w:p>
        </w:tc>
        <w:tc>
          <w:tcPr>
            <w:tcW w:w="543" w:type="dxa"/>
            <w:gridSpan w:val="3"/>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 xml:space="preserve">Level </w:t>
            </w:r>
            <w:r>
              <w:rPr>
                <w:rFonts w:ascii="times new roman;times" w:hAnsi="times new roman;times"/>
                <w:b/>
                <w:sz w:val="16"/>
              </w:rPr>
              <w:t>1</w:t>
            </w:r>
          </w:p>
        </w:tc>
        <w:tc>
          <w:tcPr>
            <w:tcW w:w="60" w:type="dxa"/>
            <w:tcBorders/>
            <w:vAlign w:val="center"/>
          </w:tcPr>
          <w:p>
            <w:pPr>
              <w:pStyle w:val="TableContents"/>
              <w:bidi w:val="0"/>
              <w:spacing w:before="0" w:after="0"/>
              <w:jc w:val="left"/>
              <w:rPr/>
            </w:pPr>
            <w:r>
              <w:rPr/>
              <w:t> </w:t>
            </w:r>
          </w:p>
        </w:tc>
        <w:tc>
          <w:tcPr>
            <w:tcW w:w="660" w:type="dxa"/>
            <w:gridSpan w:val="3"/>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 xml:space="preserve">Level </w:t>
            </w:r>
            <w:r>
              <w:rPr>
                <w:rFonts w:ascii="times new roman;times" w:hAnsi="times new roman;times"/>
                <w:b/>
                <w:sz w:val="16"/>
              </w:rPr>
              <w:t>2</w:t>
            </w:r>
          </w:p>
        </w:tc>
        <w:tc>
          <w:tcPr>
            <w:tcW w:w="60" w:type="dxa"/>
            <w:tcBorders/>
            <w:vAlign w:val="center"/>
          </w:tcPr>
          <w:p>
            <w:pPr>
              <w:pStyle w:val="TableContents"/>
              <w:bidi w:val="0"/>
              <w:spacing w:before="0" w:after="0"/>
              <w:jc w:val="left"/>
              <w:rPr/>
            </w:pPr>
            <w:r>
              <w:rPr/>
              <w:t> </w:t>
            </w:r>
          </w:p>
        </w:tc>
        <w:tc>
          <w:tcPr>
            <w:tcW w:w="543" w:type="dxa"/>
            <w:gridSpan w:val="3"/>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 xml:space="preserve">Level </w:t>
            </w:r>
            <w:r>
              <w:rPr>
                <w:rFonts w:ascii="times new roman;times" w:hAnsi="times new roman;times"/>
                <w:b/>
                <w:sz w:val="16"/>
              </w:rPr>
              <w:t>3</w:t>
            </w:r>
          </w:p>
        </w:tc>
        <w:tc>
          <w:tcPr>
            <w:tcW w:w="60" w:type="dxa"/>
            <w:tcBorders/>
            <w:vAlign w:val="center"/>
          </w:tcPr>
          <w:p>
            <w:pPr>
              <w:pStyle w:val="TableContents"/>
              <w:bidi w:val="0"/>
              <w:spacing w:before="0" w:after="0"/>
              <w:jc w:val="left"/>
              <w:rPr/>
            </w:pPr>
            <w:r>
              <w:rPr/>
              <w:t> </w:t>
            </w:r>
          </w:p>
        </w:tc>
        <w:tc>
          <w:tcPr>
            <w:tcW w:w="675" w:type="dxa"/>
            <w:gridSpan w:val="3"/>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Total</w:t>
            </w:r>
          </w:p>
        </w:tc>
      </w:tr>
      <w:tr>
        <w:trPr/>
        <w:tc>
          <w:tcPr>
            <w:tcW w:w="3020" w:type="dxa"/>
            <w:tcBorders/>
            <w:vAlign w:val="center"/>
          </w:tcPr>
          <w:p>
            <w:pPr>
              <w:pStyle w:val="TableContents"/>
              <w:bidi w:val="0"/>
              <w:spacing w:before="0" w:after="0"/>
              <w:jc w:val="left"/>
              <w:rPr>
                <w:rFonts w:ascii="times new roman;times" w:hAnsi="times new roman;times"/>
                <w:b/>
                <w:sz w:val="20"/>
              </w:rPr>
            </w:pPr>
            <w:r>
              <w:rPr>
                <w:rFonts w:ascii="times new roman;times" w:hAnsi="times new roman;times"/>
                <w:b/>
                <w:sz w:val="20"/>
              </w:rPr>
              <w:t>Assets</w:t>
            </w:r>
          </w:p>
        </w:tc>
        <w:tc>
          <w:tcPr>
            <w:tcW w:w="60" w:type="dxa"/>
            <w:tcBorders/>
            <w:vAlign w:val="center"/>
          </w:tcPr>
          <w:p>
            <w:pPr>
              <w:pStyle w:val="TableContents"/>
              <w:bidi w:val="0"/>
              <w:spacing w:before="0" w:after="0"/>
              <w:jc w:val="left"/>
              <w:rPr/>
            </w:pPr>
            <w:r>
              <w:rPr/>
              <w:t> </w:t>
            </w:r>
          </w:p>
        </w:tc>
        <w:tc>
          <w:tcPr>
            <w:tcW w:w="204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543" w:type="dxa"/>
            <w:gridSpan w:val="3"/>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60" w:type="dxa"/>
            <w:gridSpan w:val="3"/>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543" w:type="dxa"/>
            <w:gridSpan w:val="3"/>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75" w:type="dxa"/>
            <w:gridSpan w:val="3"/>
            <w:tcBorders/>
            <w:vAlign w:val="center"/>
          </w:tcPr>
          <w:p>
            <w:pPr>
              <w:pStyle w:val="TableContents"/>
              <w:bidi w:val="0"/>
              <w:spacing w:before="0" w:after="0"/>
              <w:jc w:val="left"/>
              <w:rPr/>
            </w:pPr>
            <w:r>
              <w:rPr/>
              <w:t> </w:t>
            </w:r>
          </w:p>
        </w:tc>
      </w:tr>
      <w:tr>
        <w:trPr/>
        <w:tc>
          <w:tcPr>
            <w:tcW w:w="3020" w:type="dxa"/>
            <w:tcBorders/>
            <w:shd w:fill="CCEEFF" w:val="clear"/>
            <w:vAlign w:val="center"/>
          </w:tcPr>
          <w:p>
            <w:pPr>
              <w:pStyle w:val="TableContents"/>
              <w:bidi w:val="0"/>
              <w:spacing w:before="0" w:after="0"/>
              <w:ind w:left="0" w:right="0" w:hanging="90"/>
              <w:jc w:val="left"/>
              <w:rPr>
                <w:rFonts w:ascii="times new roman;times" w:hAnsi="times new roman;times"/>
                <w:sz w:val="20"/>
              </w:rPr>
            </w:pPr>
            <w:r>
              <w:rPr>
                <w:rFonts w:ascii="times new roman;times" w:hAnsi="times new roman;times"/>
                <w:sz w:val="20"/>
              </w:rPr>
              <w:t>Foreign currency exchange contracts</w:t>
            </w:r>
          </w:p>
        </w:tc>
        <w:tc>
          <w:tcPr>
            <w:tcW w:w="60" w:type="dxa"/>
            <w:tcBorders/>
            <w:shd w:fill="CCEEFF" w:val="clear"/>
            <w:vAlign w:val="center"/>
          </w:tcPr>
          <w:p>
            <w:pPr>
              <w:pStyle w:val="TableContents"/>
              <w:bidi w:val="0"/>
              <w:spacing w:before="0" w:after="0"/>
              <w:jc w:val="left"/>
              <w:rPr/>
            </w:pPr>
            <w:r>
              <w:rPr/>
              <w:t> </w:t>
            </w:r>
          </w:p>
        </w:tc>
        <w:tc>
          <w:tcPr>
            <w:tcW w:w="2045" w:type="dxa"/>
            <w:tcBorders/>
            <w:shd w:fill="CCEEFF" w:val="clear"/>
            <w:vAlign w:val="center"/>
          </w:tcPr>
          <w:p>
            <w:pPr>
              <w:pStyle w:val="TableContents"/>
              <w:bidi w:val="0"/>
              <w:spacing w:before="0" w:after="0"/>
              <w:jc w:val="center"/>
              <w:rPr>
                <w:rFonts w:ascii="times new roman;times" w:hAnsi="times new roman;times"/>
                <w:sz w:val="20"/>
              </w:rPr>
            </w:pPr>
            <w:r>
              <w:rPr>
                <w:rFonts w:ascii="times new roman;times" w:hAnsi="times new roman;times"/>
                <w:sz w:val="20"/>
              </w:rPr>
              <w:t>Other current assets</w:t>
            </w:r>
          </w:p>
        </w:tc>
        <w:tc>
          <w:tcPr>
            <w:tcW w:w="60" w:type="dxa"/>
            <w:tcBorders/>
            <w:shd w:fill="CCEEFF" w:val="clear"/>
            <w:vAlign w:val="center"/>
          </w:tcPr>
          <w:p>
            <w:pPr>
              <w:pStyle w:val="TableContents"/>
              <w:bidi w:val="0"/>
              <w:spacing w:before="0" w:after="0"/>
              <w:jc w:val="left"/>
              <w:rPr/>
            </w:pPr>
            <w:r>
              <w:rPr/>
              <w:t> </w:t>
            </w:r>
          </w:p>
        </w:tc>
        <w:tc>
          <w:tcPr>
            <w:tcW w:w="166"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346" w:type="dxa"/>
            <w:tcBorders/>
            <w:shd w:fill="CCEEFF" w:val="clear"/>
            <w:vAlign w:val="center"/>
          </w:tcPr>
          <w:p>
            <w:pPr>
              <w:pStyle w:val="TableContents"/>
              <w:bidi w:val="0"/>
              <w:spacing w:before="0" w:after="0"/>
              <w:jc w:val="right"/>
              <w:rPr/>
            </w:pPr>
            <w:r>
              <w:rPr/>
              <w:t>—</w:t>
            </w:r>
          </w:p>
        </w:tc>
        <w:tc>
          <w:tcPr>
            <w:tcW w:w="31" w:type="dxa"/>
            <w:tcBorders/>
            <w:shd w:fill="CCEEFF" w:val="clear"/>
            <w:vAlign w:val="center"/>
          </w:tcPr>
          <w:p>
            <w:pPr>
              <w:pStyle w:val="TableContents"/>
              <w:bidi w:val="0"/>
              <w:spacing w:before="0" w:after="0"/>
              <w:jc w:val="left"/>
              <w:rPr>
                <w:sz w:val="20"/>
              </w:rPr>
            </w:pPr>
            <w:r>
              <w:rPr>
                <w:sz w:val="20"/>
              </w:rPr>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440"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50.0</w:t>
            </w:r>
          </w:p>
        </w:tc>
        <w:tc>
          <w:tcPr>
            <w:tcW w:w="95" w:type="dxa"/>
            <w:tcBorders/>
            <w:shd w:fill="CCEEFF" w:val="clear"/>
            <w:vAlign w:val="center"/>
          </w:tcPr>
          <w:p>
            <w:pPr>
              <w:pStyle w:val="TableContents"/>
              <w:bidi w:val="0"/>
              <w:spacing w:before="0" w:after="0"/>
              <w:jc w:val="left"/>
              <w:rPr>
                <w:sz w:val="20"/>
              </w:rPr>
            </w:pPr>
            <w:r>
              <w:rPr>
                <w:sz w:val="20"/>
              </w:rPr>
            </w:r>
          </w:p>
        </w:tc>
        <w:tc>
          <w:tcPr>
            <w:tcW w:w="60" w:type="dxa"/>
            <w:tcBorders/>
            <w:shd w:fill="CCEEFF" w:val="clear"/>
            <w:vAlign w:val="center"/>
          </w:tcPr>
          <w:p>
            <w:pPr>
              <w:pStyle w:val="TableContents"/>
              <w:bidi w:val="0"/>
              <w:spacing w:before="0" w:after="0"/>
              <w:jc w:val="left"/>
              <w:rPr/>
            </w:pPr>
            <w:r>
              <w:rPr/>
              <w:t> </w:t>
            </w:r>
          </w:p>
        </w:tc>
        <w:tc>
          <w:tcPr>
            <w:tcW w:w="166"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346" w:type="dxa"/>
            <w:tcBorders/>
            <w:shd w:fill="CCEEFF" w:val="clear"/>
            <w:vAlign w:val="center"/>
          </w:tcPr>
          <w:p>
            <w:pPr>
              <w:pStyle w:val="TableContents"/>
              <w:bidi w:val="0"/>
              <w:spacing w:before="0" w:after="0"/>
              <w:jc w:val="right"/>
              <w:rPr/>
            </w:pPr>
            <w:r>
              <w:rPr/>
              <w:t>—</w:t>
            </w:r>
          </w:p>
        </w:tc>
        <w:tc>
          <w:tcPr>
            <w:tcW w:w="31" w:type="dxa"/>
            <w:tcBorders/>
            <w:shd w:fill="CCEEFF" w:val="clear"/>
            <w:vAlign w:val="center"/>
          </w:tcPr>
          <w:p>
            <w:pPr>
              <w:pStyle w:val="TableContents"/>
              <w:bidi w:val="0"/>
              <w:spacing w:before="0" w:after="0"/>
              <w:jc w:val="left"/>
              <w:rPr>
                <w:sz w:val="20"/>
              </w:rPr>
            </w:pPr>
            <w:r>
              <w:rPr>
                <w:sz w:val="20"/>
              </w:rPr>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440"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50.0</w:t>
            </w:r>
          </w:p>
        </w:tc>
        <w:tc>
          <w:tcPr>
            <w:tcW w:w="110" w:type="dxa"/>
            <w:tcBorders/>
            <w:shd w:fill="CCEEFF" w:val="clear"/>
            <w:vAlign w:val="center"/>
          </w:tcPr>
          <w:p>
            <w:pPr>
              <w:pStyle w:val="TableContents"/>
              <w:bidi w:val="0"/>
              <w:spacing w:before="0" w:after="0"/>
              <w:jc w:val="left"/>
              <w:rPr>
                <w:sz w:val="20"/>
              </w:rPr>
            </w:pPr>
            <w:r>
              <w:rPr>
                <w:sz w:val="20"/>
              </w:rPr>
            </w:r>
          </w:p>
        </w:tc>
      </w:tr>
      <w:tr>
        <w:trPr/>
        <w:tc>
          <w:tcPr>
            <w:tcW w:w="3020" w:type="dxa"/>
            <w:tcBorders/>
            <w:vAlign w:val="center"/>
          </w:tcPr>
          <w:p>
            <w:pPr>
              <w:pStyle w:val="TableContents"/>
              <w:bidi w:val="0"/>
              <w:spacing w:before="0" w:after="0"/>
              <w:jc w:val="left"/>
              <w:rPr>
                <w:rFonts w:ascii="times new roman;times" w:hAnsi="times new roman;times"/>
                <w:b/>
                <w:sz w:val="20"/>
              </w:rPr>
            </w:pPr>
            <w:r>
              <w:rPr>
                <w:rFonts w:ascii="times new roman;times" w:hAnsi="times new roman;times"/>
                <w:b/>
                <w:sz w:val="20"/>
              </w:rPr>
              <w:t>Liabilities</w:t>
            </w:r>
          </w:p>
        </w:tc>
        <w:tc>
          <w:tcPr>
            <w:tcW w:w="60" w:type="dxa"/>
            <w:tcBorders/>
            <w:vAlign w:val="center"/>
          </w:tcPr>
          <w:p>
            <w:pPr>
              <w:pStyle w:val="TableContents"/>
              <w:bidi w:val="0"/>
              <w:spacing w:before="0" w:after="0"/>
              <w:jc w:val="left"/>
              <w:rPr/>
            </w:pPr>
            <w:r>
              <w:rPr/>
              <w:t> </w:t>
            </w:r>
          </w:p>
        </w:tc>
        <w:tc>
          <w:tcPr>
            <w:tcW w:w="2045" w:type="dxa"/>
            <w:tcBorders/>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0"/>
              <w:jc w:val="left"/>
              <w:rPr/>
            </w:pPr>
            <w:r>
              <w:rPr/>
              <w:t> </w:t>
            </w:r>
          </w:p>
        </w:tc>
        <w:tc>
          <w:tcPr>
            <w:tcW w:w="543" w:type="dxa"/>
            <w:gridSpan w:val="3"/>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60" w:type="dxa"/>
            <w:gridSpan w:val="3"/>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543" w:type="dxa"/>
            <w:gridSpan w:val="3"/>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75" w:type="dxa"/>
            <w:gridSpan w:val="3"/>
            <w:tcBorders/>
            <w:vAlign w:val="center"/>
          </w:tcPr>
          <w:p>
            <w:pPr>
              <w:pStyle w:val="TableContents"/>
              <w:bidi w:val="0"/>
              <w:spacing w:before="0" w:after="0"/>
              <w:jc w:val="left"/>
              <w:rPr/>
            </w:pPr>
            <w:r>
              <w:rPr/>
              <w:t> </w:t>
            </w:r>
          </w:p>
        </w:tc>
      </w:tr>
      <w:tr>
        <w:trPr/>
        <w:tc>
          <w:tcPr>
            <w:tcW w:w="3020" w:type="dxa"/>
            <w:tcBorders/>
            <w:shd w:fill="CCEEFF" w:val="clear"/>
            <w:vAlign w:val="center"/>
          </w:tcPr>
          <w:p>
            <w:pPr>
              <w:pStyle w:val="TableContents"/>
              <w:bidi w:val="0"/>
              <w:spacing w:before="0" w:after="0"/>
              <w:ind w:left="0" w:right="0" w:hanging="90"/>
              <w:jc w:val="left"/>
              <w:rPr>
                <w:rFonts w:ascii="times new roman;times" w:hAnsi="times new roman;times"/>
                <w:sz w:val="20"/>
              </w:rPr>
            </w:pPr>
            <w:r>
              <w:rPr>
                <w:rFonts w:ascii="times new roman;times" w:hAnsi="times new roman;times"/>
                <w:sz w:val="20"/>
              </w:rPr>
              <w:t>Foreign currency exchange contracts</w:t>
            </w:r>
          </w:p>
        </w:tc>
        <w:tc>
          <w:tcPr>
            <w:tcW w:w="60" w:type="dxa"/>
            <w:tcBorders/>
            <w:shd w:fill="CCEEFF" w:val="clear"/>
            <w:vAlign w:val="center"/>
          </w:tcPr>
          <w:p>
            <w:pPr>
              <w:pStyle w:val="TableContents"/>
              <w:bidi w:val="0"/>
              <w:spacing w:before="0" w:after="0"/>
              <w:jc w:val="left"/>
              <w:rPr/>
            </w:pPr>
            <w:r>
              <w:rPr/>
              <w:t> </w:t>
            </w:r>
          </w:p>
        </w:tc>
        <w:tc>
          <w:tcPr>
            <w:tcW w:w="2045" w:type="dxa"/>
            <w:tcBorders/>
            <w:shd w:fill="CCEEFF" w:val="clear"/>
            <w:vAlign w:val="center"/>
          </w:tcPr>
          <w:p>
            <w:pPr>
              <w:pStyle w:val="TableContents"/>
              <w:bidi w:val="0"/>
              <w:spacing w:before="0" w:after="0"/>
              <w:jc w:val="center"/>
              <w:rPr>
                <w:rFonts w:ascii="times new roman;times" w:hAnsi="times new roman;times"/>
                <w:sz w:val="20"/>
              </w:rPr>
            </w:pPr>
            <w:r>
              <w:rPr>
                <w:rFonts w:ascii="times new roman;times" w:hAnsi="times new roman;times"/>
                <w:sz w:val="20"/>
              </w:rPr>
              <w:t>Other current liabilities</w:t>
            </w:r>
          </w:p>
        </w:tc>
        <w:tc>
          <w:tcPr>
            <w:tcW w:w="60" w:type="dxa"/>
            <w:tcBorders/>
            <w:shd w:fill="CCEEFF" w:val="clear"/>
            <w:vAlign w:val="center"/>
          </w:tcPr>
          <w:p>
            <w:pPr>
              <w:pStyle w:val="TableContents"/>
              <w:bidi w:val="0"/>
              <w:spacing w:before="0" w:after="0"/>
              <w:jc w:val="left"/>
              <w:rPr/>
            </w:pPr>
            <w:r>
              <w:rPr/>
              <w:t> </w:t>
            </w:r>
          </w:p>
        </w:tc>
        <w:tc>
          <w:tcPr>
            <w:tcW w:w="166"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346" w:type="dxa"/>
            <w:tcBorders/>
            <w:shd w:fill="CCEEFF" w:val="clear"/>
            <w:vAlign w:val="center"/>
          </w:tcPr>
          <w:p>
            <w:pPr>
              <w:pStyle w:val="TableContents"/>
              <w:bidi w:val="0"/>
              <w:spacing w:before="0" w:after="0"/>
              <w:jc w:val="right"/>
              <w:rPr/>
            </w:pPr>
            <w:r>
              <w:rPr/>
              <w:t>—</w:t>
            </w:r>
          </w:p>
        </w:tc>
        <w:tc>
          <w:tcPr>
            <w:tcW w:w="31" w:type="dxa"/>
            <w:tcBorders/>
            <w:shd w:fill="CCEEFF" w:val="clear"/>
            <w:vAlign w:val="center"/>
          </w:tcPr>
          <w:p>
            <w:pPr>
              <w:pStyle w:val="TableContents"/>
              <w:bidi w:val="0"/>
              <w:spacing w:before="0" w:after="0"/>
              <w:jc w:val="left"/>
              <w:rPr>
                <w:sz w:val="20"/>
              </w:rPr>
            </w:pPr>
            <w:r>
              <w:rPr>
                <w:sz w:val="20"/>
              </w:rPr>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440"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(39.1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0"/>
              <w:jc w:val="left"/>
              <w:rPr/>
            </w:pPr>
            <w:r>
              <w:rPr/>
              <w:t> </w:t>
            </w:r>
          </w:p>
        </w:tc>
        <w:tc>
          <w:tcPr>
            <w:tcW w:w="166"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346" w:type="dxa"/>
            <w:tcBorders/>
            <w:shd w:fill="CCEEFF" w:val="clear"/>
            <w:vAlign w:val="center"/>
          </w:tcPr>
          <w:p>
            <w:pPr>
              <w:pStyle w:val="TableContents"/>
              <w:bidi w:val="0"/>
              <w:spacing w:before="0" w:after="0"/>
              <w:jc w:val="right"/>
              <w:rPr/>
            </w:pPr>
            <w:r>
              <w:rPr/>
              <w:t>—</w:t>
            </w:r>
          </w:p>
        </w:tc>
        <w:tc>
          <w:tcPr>
            <w:tcW w:w="31" w:type="dxa"/>
            <w:tcBorders/>
            <w:shd w:fill="CCEEFF" w:val="clear"/>
            <w:vAlign w:val="center"/>
          </w:tcPr>
          <w:p>
            <w:pPr>
              <w:pStyle w:val="TableContents"/>
              <w:bidi w:val="0"/>
              <w:spacing w:before="0" w:after="0"/>
              <w:jc w:val="left"/>
              <w:rPr>
                <w:sz w:val="20"/>
              </w:rPr>
            </w:pPr>
            <w:r>
              <w:rPr>
                <w:sz w:val="20"/>
              </w:rPr>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440"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(39.1</w:t>
            </w:r>
          </w:p>
        </w:tc>
        <w:tc>
          <w:tcPr>
            <w:tcW w:w="110" w:type="dxa"/>
            <w:tcBorders/>
            <w:shd w:fill="CCEEFF" w:val="clear"/>
            <w:vAlign w:val="center"/>
          </w:tcPr>
          <w:p>
            <w:pPr>
              <w:pStyle w:val="TableContents"/>
              <w:bidi w:val="0"/>
              <w:spacing w:before="0" w:after="283"/>
              <w:jc w:val="left"/>
              <w:rPr/>
            </w:pPr>
            <w:r>
              <w:rPr/>
              <w:t>)</w:t>
            </w:r>
          </w:p>
        </w:tc>
      </w:tr>
    </w:tbl>
    <w:p>
      <w:pPr>
        <w:pStyle w:val="TextBody"/>
        <w:widowControl/>
        <w:bidi w:val="0"/>
        <w:spacing w:lineRule="atLeast" w:line="240"/>
        <w:jc w:val="left"/>
        <w:rPr>
          <w:caps w:val="false"/>
          <w:smallCaps w:val="false"/>
          <w:color w:val="000000"/>
          <w:spacing w:val="0"/>
          <w:sz w:val="20"/>
          <w:szCs w:val="20"/>
        </w:rPr>
      </w:pPr>
      <w:r>
        <w:rPr>
          <w:caps w:val="false"/>
          <w:smallCaps w:val="false"/>
          <w:color w:val="000000"/>
          <w:spacing w:val="0"/>
          <w:sz w:val="20"/>
          <w:szCs w:val="20"/>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widowControl/>
        <w:bidi w:val="0"/>
        <w:spacing w:lineRule="auto" w:line="288"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bidi w:val="0"/>
        <w:spacing w:lineRule="auto" w:line="288" w:before="0" w:after="0"/>
        <w:ind w:left="0" w:right="0" w:hanging="0"/>
        <w:jc w:val="both"/>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Other Fair Value Disclosures</w:t>
      </w:r>
    </w:p>
    <w:p>
      <w:pPr>
        <w:pStyle w:val="TextBody"/>
        <w:widowControl/>
        <w:bidi w:val="0"/>
        <w:spacing w:lineRule="auto" w:line="288"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bidi w:val="0"/>
        <w:spacing w:lineRule="auto" w:line="288" w:before="0" w:after="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carrying amounts of cash and cash equivalents, trade accounts receivable, trade accounts payable and short-term debt obligations approximate fair values due to their short maturities. The carrying values of the Company’s revolving credit agreements approximate fair values because interest as of June 30, 2024 was based on the Secured Overnight Financing Rate ("SOFR") that resets at various intervals of less than one year. The Company estimates the fair value of the Convertible Notes and Senior Notes using quoted prices in inactive markets for identical liabilities (Level 2).</w:t>
      </w:r>
      <w:r>
        <w:rPr>
          <w:rFonts w:ascii="times new roman;times" w:hAnsi="times new roman;times"/>
          <w:b w:val="false"/>
          <w:i w:val="false"/>
          <w:caps w:val="false"/>
          <w:smallCaps w:val="false"/>
          <w:color w:val="252525"/>
          <w:spacing w:val="0"/>
          <w:sz w:val="20"/>
        </w:rPr>
        <w:t xml:space="preserve"> As of June 30, 2024, </w:t>
      </w:r>
      <w:r>
        <w:rPr>
          <w:rFonts w:ascii="times new roman;times" w:hAnsi="times new roman;times"/>
          <w:b w:val="false"/>
          <w:i w:val="false"/>
          <w:caps w:val="false"/>
          <w:smallCaps w:val="false"/>
          <w:color w:val="000000"/>
          <w:spacing w:val="0"/>
          <w:sz w:val="20"/>
        </w:rPr>
        <w:t>the fair values of the Convertible Notes and Senior Notes were $510.7 million and $612.0 million, respectively, with carrying values of $525.0 million and $642.6 million, respectively.</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bidi w:val="0"/>
        <w:spacing w:before="0" w:after="0"/>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(13) SEGMENT INFORMATION</w:t>
      </w:r>
    </w:p>
    <w:p>
      <w:pPr>
        <w:pStyle w:val="TextBody"/>
        <w:widowControl/>
        <w:bidi w:val="0"/>
        <w:spacing w:lineRule="auto" w:line="288"/>
        <w:jc w:val="both"/>
        <w:rPr>
          <w:sz w:val="20"/>
        </w:rPr>
      </w:pPr>
      <w:r>
        <w:rPr>
          <w:sz w:val="20"/>
        </w:rPr>
      </w:r>
    </w:p>
    <w:p>
      <w:pPr>
        <w:pStyle w:val="TextBody"/>
        <w:widowControl/>
        <w:bidi w:val="0"/>
        <w:spacing w:lineRule="auto" w:line="264"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Our reportable operating segments have been determined in accordance with ASC Topic 280, </w:t>
      </w:r>
      <w:r>
        <w:rPr>
          <w:rFonts w:ascii="times new roman;times" w:hAnsi="times new roman;times"/>
          <w:b w:val="false"/>
          <w:i/>
          <w:caps w:val="false"/>
          <w:smallCaps w:val="false"/>
          <w:color w:val="000000"/>
          <w:spacing w:val="0"/>
          <w:sz w:val="20"/>
        </w:rPr>
        <w:t>Segment Reporting</w:t>
      </w:r>
      <w:r>
        <w:rPr>
          <w:rFonts w:ascii="times new roman;times" w:hAnsi="times new roman;times"/>
          <w:b w:val="false"/>
          <w:i w:val="false"/>
          <w:caps w:val="false"/>
          <w:smallCaps w:val="false"/>
          <w:color w:val="000000"/>
          <w:spacing w:val="0"/>
          <w:sz w:val="20"/>
        </w:rPr>
        <w:t> ("ASC 280")</w:t>
      </w:r>
      <w:r>
        <w:rPr>
          <w:rFonts w:ascii="times new roman;times" w:hAnsi="times new roman;times"/>
          <w:b w:val="false"/>
          <w:i/>
          <w:caps w:val="false"/>
          <w:smallCaps w:val="false"/>
          <w:color w:val="000000"/>
          <w:spacing w:val="0"/>
          <w:sz w:val="20"/>
        </w:rPr>
        <w:t>.</w:t>
      </w:r>
      <w:r>
        <w:rPr>
          <w:rFonts w:ascii="times new roman;times" w:hAnsi="times new roman;times"/>
          <w:b w:val="false"/>
          <w:i w:val="false"/>
          <w:caps w:val="false"/>
          <w:smallCaps w:val="false"/>
          <w:color w:val="000000"/>
          <w:spacing w:val="0"/>
          <w:sz w:val="20"/>
        </w:rPr>
        <w:t> The Company currently operates in the following three reportable operating segments: </w:t>
      </w:r>
    </w:p>
    <w:p>
      <w:pPr>
        <w:pStyle w:val="TextBody"/>
        <w:widowControl/>
        <w:bidi w:val="0"/>
        <w:spacing w:lineRule="auto" w:line="264"/>
        <w:ind w:left="0" w:right="0" w:hanging="0"/>
        <w:jc w:val="both"/>
        <w:rPr/>
      </w:pPr>
      <w:r>
        <w:rPr/>
      </w:r>
    </w:p>
    <w:p>
      <w:pPr>
        <w:pStyle w:val="TextBody"/>
        <w:widowControl/>
        <w:bidi w:val="0"/>
        <w:spacing w:lineRule="auto" w:line="264"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1) Through the EFT Processing Segment, the Company processes transactions for a network of ATMs and POS terminals across Europe, the Middle East, Africa, Asia Pacific and North America. Euronet provides comprehensive electronic payment solutions consisting of ATM cash withdrawal and deposit services, ATM network participation, outsourced ATM and POS management solutions, credit, debit and prepaid card outsourcing, dynamic currency conversion, domestic and international surcharges and other value added services. Through this segment, the Company also offers a suite of integrated electronic financial transaction software solutions for electronic payment and transaction delivery systems.</w:t>
      </w:r>
    </w:p>
    <w:p>
      <w:pPr>
        <w:pStyle w:val="TextBody"/>
        <w:widowControl/>
        <w:bidi w:val="0"/>
        <w:spacing w:lineRule="auto" w:line="264" w:before="0" w:after="0"/>
        <w:ind w:left="0" w:right="0" w:hanging="0"/>
        <w:jc w:val="both"/>
        <w:rPr>
          <w:caps w:val="false"/>
          <w:smallCaps w:val="false"/>
          <w:color w:val="000000"/>
          <w:spacing w:val="0"/>
        </w:rPr>
      </w:pPr>
      <w:r>
        <w:rPr>
          <w:caps w:val="false"/>
          <w:smallCaps w:val="false"/>
          <w:color w:val="000000"/>
          <w:spacing w:val="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16" w:type="dxa"/>
        <w:jc w:val="left"/>
        <w:tblInd w:w="0" w:type="dxa"/>
        <w:tblLayout w:type="fixed"/>
        <w:tblCellMar>
          <w:top w:w="0" w:type="dxa"/>
          <w:left w:w="0" w:type="dxa"/>
          <w:bottom w:w="0" w:type="dxa"/>
          <w:right w:w="0" w:type="dxa"/>
        </w:tblCellMar>
      </w:tblPr>
      <w:tblGrid>
        <w:gridCol w:w="316"/>
      </w:tblGrid>
      <w:tr>
        <w:trPr/>
        <w:tc>
          <w:tcPr>
            <w:tcW w:w="316" w:type="dxa"/>
            <w:tcBorders/>
            <w:vAlign w:val="center"/>
          </w:tcPr>
          <w:p>
            <w:pPr>
              <w:pStyle w:val="TableContents"/>
              <w:bidi w:val="0"/>
              <w:spacing w:before="0" w:after="283"/>
              <w:jc w:val="center"/>
              <w:rPr>
                <w:sz w:val="20"/>
              </w:rPr>
            </w:pPr>
            <w:r>
              <w:rPr>
                <w:sz w:val="20"/>
              </w:rPr>
              <w:t>17</w:t>
            </w:r>
          </w:p>
        </w:tc>
      </w:tr>
    </w:tbl>
    <w:p>
      <w:pPr>
        <w:pStyle w:val="TextBody"/>
        <w:widowControl/>
        <w:bidi w:val="0"/>
        <w:spacing w:lineRule="auto" w:line="264"/>
        <w:jc w:val="both"/>
        <w:rPr>
          <w:caps w:val="false"/>
          <w:smallCaps w:val="false"/>
          <w:color w:val="000000"/>
          <w:spacing w:val="0"/>
        </w:rPr>
      </w:pPr>
      <w:r>
        <w:rPr>
          <w:caps w:val="false"/>
          <w:smallCaps w:val="false"/>
          <w:color w:val="000000"/>
          <w:spacing w:val="0"/>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widowControl/>
        <w:bidi w:val="0"/>
        <w:spacing w:lineRule="auto" w:line="264"/>
        <w:jc w:val="both"/>
        <w:rPr/>
      </w:pPr>
      <w:r>
        <w:rPr/>
      </w:r>
    </w:p>
    <w:p>
      <w:pPr>
        <w:pStyle w:val="TextBody"/>
        <w:widowControl/>
        <w:bidi w:val="0"/>
        <w:spacing w:lineRule="auto" w:line="264"/>
        <w:jc w:val="left"/>
        <w:rPr>
          <w:sz w:val="20"/>
        </w:rPr>
      </w:pPr>
      <w:r>
        <w:rPr>
          <w:sz w:val="20"/>
        </w:rPr>
      </w:r>
    </w:p>
    <w:p>
      <w:pPr>
        <w:pStyle w:val="TextBody"/>
        <w:widowControl/>
        <w:bidi w:val="0"/>
        <w:spacing w:lineRule="auto" w:line="264" w:before="0" w:after="0"/>
        <w:ind w:left="0" w:right="0" w:hanging="0"/>
        <w:jc w:val="both"/>
        <w:rPr/>
      </w:pPr>
      <w:r>
        <w:rPr/>
      </w:r>
    </w:p>
    <w:p>
      <w:pPr>
        <w:pStyle w:val="TextBody"/>
        <w:widowControl/>
        <w:bidi w:val="0"/>
        <w:spacing w:lineRule="auto" w:line="264"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2</w:t>
      </w:r>
      <w:r>
        <w:rPr>
          <w:rFonts w:ascii="times new roman;times" w:hAnsi="times new roman;times"/>
          <w:b w:val="false"/>
          <w:i w:val="false"/>
          <w:caps w:val="false"/>
          <w:smallCaps w:val="false"/>
          <w:color w:val="000000"/>
          <w:spacing w:val="0"/>
          <w:sz w:val="20"/>
        </w:rPr>
        <w:t xml:space="preserve">) </w:t>
      </w:r>
      <w:r>
        <w:rPr>
          <w:rFonts w:ascii="times new roman;times" w:hAnsi="times new roman;times"/>
          <w:b w:val="false"/>
          <w:i w:val="false"/>
          <w:caps w:val="false"/>
          <w:smallCaps w:val="false"/>
          <w:color w:val="000000"/>
          <w:spacing w:val="0"/>
          <w:sz w:val="20"/>
        </w:rPr>
        <w:t xml:space="preserve">Through the epay Segment, the Company provides distribution, processing and collection services for electronic payment products, and prepaid mobile airtime through a network of POS terminals in Europe, the Middle East, Asia Pacific, South America and North America.  The epay Segment </w:t>
      </w:r>
      <w:r>
        <w:rPr>
          <w:rFonts w:ascii="times new roman;times" w:hAnsi="times new roman;times"/>
          <w:b w:val="false"/>
          <w:i w:val="false"/>
          <w:caps w:val="false"/>
          <w:smallCaps w:val="false"/>
          <w:color w:val="000000"/>
          <w:spacing w:val="0"/>
          <w:sz w:val="20"/>
        </w:rPr>
        <w:t>also provides vouchers and physical gift fulfillment services in Europe.</w:t>
      </w:r>
      <w:r>
        <w:rPr>
          <w:rFonts w:ascii="times new roman;times" w:hAnsi="times new roman;times"/>
          <w:b w:val="false"/>
          <w:i w:val="false"/>
          <w:caps w:val="false"/>
          <w:smallCaps w:val="false"/>
          <w:color w:val="000000"/>
          <w:spacing w:val="0"/>
          <w:sz w:val="20"/>
        </w:rPr>
        <w:t xml:space="preserve"> </w:t>
      </w:r>
    </w:p>
    <w:p>
      <w:pPr>
        <w:pStyle w:val="TextBody"/>
        <w:widowControl/>
        <w:bidi w:val="0"/>
        <w:spacing w:lineRule="auto" w:line="264"/>
        <w:jc w:val="both"/>
        <w:rPr>
          <w:caps w:val="false"/>
          <w:smallCaps w:val="false"/>
          <w:color w:val="000000"/>
          <w:spacing w:val="0"/>
        </w:rPr>
      </w:pPr>
      <w:r>
        <w:rPr>
          <w:caps w:val="false"/>
          <w:smallCaps w:val="false"/>
          <w:color w:val="000000"/>
          <w:spacing w:val="0"/>
        </w:rPr>
        <w:t> </w:t>
      </w:r>
    </w:p>
    <w:p>
      <w:pPr>
        <w:pStyle w:val="TextBody"/>
        <w:widowControl/>
        <w:bidi w:val="0"/>
        <w:spacing w:lineRule="auto" w:line="264"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 xml:space="preserve">3) </w:t>
      </w:r>
      <w:r>
        <w:rPr>
          <w:rFonts w:ascii="times new roman;times" w:hAnsi="times new roman;times"/>
          <w:b w:val="false"/>
          <w:i w:val="false"/>
          <w:caps w:val="false"/>
          <w:smallCaps w:val="false"/>
          <w:color w:val="000000"/>
          <w:spacing w:val="0"/>
          <w:sz w:val="20"/>
        </w:rPr>
        <w:t>Through the Money Transfer Segment, the Company provides global consumer-to-consumer money transfer services,</w:t>
      </w:r>
      <w:r>
        <w:rPr>
          <w:rFonts w:ascii="times new roman;times" w:hAnsi="times new roman;times"/>
          <w:b w:val="false"/>
          <w:i w:val="false"/>
          <w:caps w:val="false"/>
          <w:smallCaps w:val="false"/>
          <w:color w:val="000000"/>
          <w:spacing w:val="0"/>
          <w:sz w:val="20"/>
        </w:rPr>
        <w:t xml:space="preserve"> primarily under the brand names Ria, IME, AFEX, and xe, and global account-to-account money transfer services under the brand name xe. The Company offers services under the brand names Ria and IME</w:t>
      </w:r>
      <w:r>
        <w:rPr>
          <w:rFonts w:ascii="times new roman;times" w:hAnsi="times new roman;times"/>
          <w:b w:val="false"/>
          <w:i w:val="false"/>
          <w:caps w:val="false"/>
          <w:smallCaps w:val="false"/>
          <w:color w:val="000000"/>
          <w:spacing w:val="0"/>
          <w:sz w:val="20"/>
        </w:rPr>
        <w:t xml:space="preserve"> through a network of sending agents, Company-owned stores, Company-owned websites, and mobile applications, disbursing money transfers through a worldwide correspondent network. xe is a provider of foreign currency exchange information</w:t>
      </w:r>
      <w:r>
        <w:rPr>
          <w:rFonts w:ascii="times new roman;times" w:hAnsi="times new roman;times"/>
          <w:b w:val="false"/>
          <w:i w:val="false"/>
          <w:caps w:val="false"/>
          <w:smallCaps w:val="false"/>
          <w:color w:val="000000"/>
          <w:spacing w:val="0"/>
          <w:sz w:val="20"/>
        </w:rPr>
        <w:t xml:space="preserve"> and offers money transfer services on its currency data websites</w:t>
      </w:r>
      <w:r>
        <w:rPr>
          <w:rFonts w:ascii="times new roman;times" w:hAnsi="times new roman;times"/>
          <w:b w:val="false"/>
          <w:i w:val="false"/>
          <w:caps w:val="false"/>
          <w:smallCaps w:val="false"/>
          <w:color w:val="000000"/>
          <w:spacing w:val="0"/>
          <w:sz w:val="20"/>
        </w:rPr>
        <w:t xml:space="preserve">. The Company also offers customers bill payment services </w:t>
      </w:r>
      <w:r>
        <w:rPr>
          <w:rFonts w:ascii="times new roman;times" w:hAnsi="times new roman;times"/>
          <w:b w:val="false"/>
          <w:i w:val="false"/>
          <w:caps w:val="false"/>
          <w:smallCaps w:val="false"/>
          <w:color w:val="000000"/>
          <w:spacing w:val="0"/>
          <w:sz w:val="20"/>
        </w:rPr>
        <w:t>(primarily in the U.S.)</w:t>
      </w:r>
      <w:r>
        <w:rPr>
          <w:rFonts w:ascii="times new roman;times" w:hAnsi="times new roman;times"/>
          <w:b w:val="false"/>
          <w:i w:val="false"/>
          <w:caps w:val="false"/>
          <w:smallCaps w:val="false"/>
          <w:color w:val="000000"/>
          <w:spacing w:val="0"/>
          <w:sz w:val="20"/>
        </w:rPr>
        <w:t>, payment alternatives such as money orders and prepaid debit cards, comprehensive check cashing services</w:t>
      </w:r>
      <w:r>
        <w:rPr>
          <w:rFonts w:ascii="times new roman;times" w:hAnsi="times new roman;times"/>
          <w:b w:val="false"/>
          <w:i w:val="false"/>
          <w:caps w:val="false"/>
          <w:smallCaps w:val="false"/>
          <w:color w:val="000000"/>
          <w:spacing w:val="0"/>
          <w:sz w:val="20"/>
        </w:rPr>
        <w:t xml:space="preserve"> for a wide variety of issued checks, along with competitive</w:t>
      </w:r>
      <w:r>
        <w:rPr>
          <w:rFonts w:ascii="times new roman;times" w:hAnsi="times new roman;times"/>
          <w:b w:val="false"/>
          <w:i w:val="false"/>
          <w:caps w:val="false"/>
          <w:smallCaps w:val="false"/>
          <w:color w:val="000000"/>
          <w:spacing w:val="0"/>
          <w:sz w:val="20"/>
        </w:rPr>
        <w:t xml:space="preserve"> foreign currency exchange services and prepaid mobile top-up. Furthermore, xe provides cash management solutions and foreign currency risk management services to small-to-medium sized businesses.</w:t>
      </w:r>
      <w:r>
        <w:rPr>
          <w:rFonts w:ascii="times new roman;times" w:hAnsi="times new roman;times"/>
          <w:b w:val="false"/>
          <w:i w:val="false"/>
          <w:caps w:val="false"/>
          <w:smallCaps w:val="false"/>
          <w:color w:val="000000"/>
          <w:spacing w:val="0"/>
          <w:sz w:val="20"/>
        </w:rPr>
        <w:t xml:space="preserve"> </w:t>
      </w:r>
    </w:p>
    <w:p>
      <w:pPr>
        <w:pStyle w:val="TextBody"/>
        <w:widowControl/>
        <w:bidi w:val="0"/>
        <w:spacing w:lineRule="auto" w:line="264"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bidi w:val="0"/>
        <w:spacing w:lineRule="auto" w:line="288"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In addition, the Company accounts for non-operating activity, share-based compensation expense, certain intersegment eliminations and the costs of providing corporate and other administrative services in the administrative division, "Corporate Services, Eliminations and Other." These services are not directly identifiable with the Company’s reportable operating segments. </w:t>
      </w:r>
    </w:p>
    <w:p>
      <w:pPr>
        <w:pStyle w:val="TextBody"/>
        <w:widowControl/>
        <w:bidi w:val="0"/>
        <w:spacing w:lineRule="auto" w:line="288" w:before="0" w:after="0"/>
        <w:jc w:val="both"/>
        <w:rPr>
          <w:caps w:val="false"/>
          <w:smallCaps w:val="false"/>
          <w:color w:val="000000"/>
          <w:spacing w:val="0"/>
        </w:rPr>
      </w:pPr>
      <w:r>
        <w:rPr>
          <w:caps w:val="false"/>
          <w:smallCaps w:val="false"/>
          <w:color w:val="000000"/>
          <w:spacing w:val="0"/>
        </w:rPr>
        <w:t> </w:t>
      </w:r>
    </w:p>
    <w:p>
      <w:pPr>
        <w:pStyle w:val="TextBody"/>
        <w:widowControl/>
        <w:bidi w:val="0"/>
        <w:spacing w:lineRule="auto" w:line="288" w:before="0" w:after="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following tables present the Company's reportable segment results for the </w:t>
      </w:r>
      <w:r>
        <w:rPr>
          <w:rFonts w:ascii="times new roman;times" w:hAnsi="times new roman;times"/>
          <w:b w:val="false"/>
          <w:i w:val="false"/>
          <w:caps w:val="false"/>
          <w:smallCaps w:val="false"/>
          <w:color w:val="000000"/>
          <w:spacing w:val="0"/>
          <w:sz w:val="20"/>
        </w:rPr>
        <w:t>three</w:t>
      </w:r>
      <w:r>
        <w:rPr>
          <w:rFonts w:ascii="times new roman;times" w:hAnsi="times new roman;times"/>
          <w:b w:val="false"/>
          <w:i w:val="false"/>
          <w:caps w:val="false"/>
          <w:smallCaps w:val="false"/>
          <w:color w:val="000000"/>
          <w:spacing w:val="0"/>
          <w:sz w:val="20"/>
        </w:rPr>
        <w:t xml:space="preserve"> months and six months ended June 30, 2024 and 2023:</w:t>
      </w:r>
    </w:p>
    <w:p>
      <w:pPr>
        <w:pStyle w:val="TextBody"/>
        <w:widowControl/>
        <w:bidi w:val="0"/>
        <w:spacing w:lineRule="auto" w:line="264" w:before="0" w:after="0"/>
        <w:ind w:left="0" w:right="0" w:hanging="0"/>
        <w:jc w:val="both"/>
        <w:rPr>
          <w:caps w:val="false"/>
          <w:smallCaps w:val="false"/>
          <w:color w:val="000000"/>
          <w:spacing w:val="0"/>
        </w:rPr>
      </w:pPr>
      <w:r>
        <w:rPr>
          <w:caps w:val="false"/>
          <w:smallCaps w:val="false"/>
          <w:color w:val="000000"/>
          <w:spacing w:val="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8756" w:type="dxa"/>
        <w:jc w:val="left"/>
        <w:tblInd w:w="0" w:type="dxa"/>
        <w:tblLayout w:type="fixed"/>
        <w:tblCellMar>
          <w:top w:w="0" w:type="dxa"/>
          <w:left w:w="0" w:type="dxa"/>
          <w:bottom w:w="0" w:type="dxa"/>
          <w:right w:w="0" w:type="dxa"/>
        </w:tblCellMar>
      </w:tblPr>
      <w:tblGrid>
        <w:gridCol w:w="3950"/>
        <w:gridCol w:w="60"/>
        <w:gridCol w:w="155"/>
        <w:gridCol w:w="601"/>
        <w:gridCol w:w="29"/>
        <w:gridCol w:w="60"/>
        <w:gridCol w:w="125"/>
        <w:gridCol w:w="485"/>
        <w:gridCol w:w="23"/>
        <w:gridCol w:w="60"/>
        <w:gridCol w:w="128"/>
        <w:gridCol w:w="498"/>
        <w:gridCol w:w="24"/>
        <w:gridCol w:w="60"/>
        <w:gridCol w:w="275"/>
        <w:gridCol w:w="972"/>
        <w:gridCol w:w="211"/>
        <w:gridCol w:w="60"/>
        <w:gridCol w:w="189"/>
        <w:gridCol w:w="733"/>
        <w:gridCol w:w="58"/>
      </w:tblGrid>
      <w:tr>
        <w:trPr/>
        <w:tc>
          <w:tcPr>
            <w:tcW w:w="395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4746" w:type="dxa"/>
            <w:gridSpan w:val="19"/>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For the Three Months Ended June 30, 2024</w:t>
            </w:r>
          </w:p>
        </w:tc>
      </w:tr>
      <w:tr>
        <w:trPr/>
        <w:tc>
          <w:tcPr>
            <w:tcW w:w="3950" w:type="dxa"/>
            <w:tcBorders/>
            <w:vAlign w:val="center"/>
          </w:tcPr>
          <w:p>
            <w:pPr>
              <w:pStyle w:val="TableContents"/>
              <w:bidi w:val="0"/>
              <w:spacing w:before="0" w:after="0"/>
              <w:jc w:val="left"/>
              <w:rPr>
                <w:rFonts w:ascii="times new roman;times" w:hAnsi="times new roman;times"/>
                <w:sz w:val="16"/>
              </w:rPr>
            </w:pPr>
            <w:r>
              <w:rPr>
                <w:rFonts w:ascii="times new roman;times" w:hAnsi="times new roman;times"/>
                <w:sz w:val="16"/>
              </w:rPr>
              <w:t>(in millions)</w:t>
            </w:r>
          </w:p>
        </w:tc>
        <w:tc>
          <w:tcPr>
            <w:tcW w:w="60" w:type="dxa"/>
            <w:tcBorders/>
            <w:vAlign w:val="center"/>
          </w:tcPr>
          <w:p>
            <w:pPr>
              <w:pStyle w:val="TableContents"/>
              <w:bidi w:val="0"/>
              <w:spacing w:before="0" w:after="0"/>
              <w:jc w:val="left"/>
              <w:rPr/>
            </w:pPr>
            <w:r>
              <w:rPr/>
              <w:t> </w:t>
            </w:r>
          </w:p>
        </w:tc>
        <w:tc>
          <w:tcPr>
            <w:tcW w:w="785" w:type="dxa"/>
            <w:gridSpan w:val="3"/>
            <w:tcBorders/>
            <w:vAlign w:val="center"/>
          </w:tcPr>
          <w:p>
            <w:pPr>
              <w:pStyle w:val="TableContents"/>
              <w:bidi w:val="0"/>
              <w:spacing w:lineRule="auto" w:line="288" w:before="0" w:after="0"/>
              <w:jc w:val="center"/>
              <w:rPr>
                <w:rFonts w:ascii="times new roman;times" w:hAnsi="times new roman;times"/>
                <w:b/>
                <w:sz w:val="16"/>
              </w:rPr>
            </w:pPr>
            <w:r>
              <w:rPr>
                <w:rFonts w:ascii="times new roman;times" w:hAnsi="times new roman;times"/>
                <w:b/>
                <w:sz w:val="16"/>
              </w:rPr>
              <w:t>EFT</w:t>
            </w:r>
          </w:p>
          <w:p>
            <w:pPr>
              <w:pStyle w:val="TableContents"/>
              <w:bidi w:val="0"/>
              <w:spacing w:lineRule="auto" w:line="288" w:before="0" w:after="0"/>
              <w:jc w:val="center"/>
              <w:rPr>
                <w:rFonts w:ascii="times new roman;times" w:hAnsi="times new roman;times"/>
                <w:b/>
                <w:sz w:val="16"/>
              </w:rPr>
            </w:pPr>
            <w:r>
              <w:rPr>
                <w:rFonts w:ascii="times new roman;times" w:hAnsi="times new roman;times"/>
                <w:b/>
                <w:sz w:val="16"/>
              </w:rPr>
              <w:t>Processing</w:t>
            </w:r>
          </w:p>
        </w:tc>
        <w:tc>
          <w:tcPr>
            <w:tcW w:w="60" w:type="dxa"/>
            <w:tcBorders/>
            <w:vAlign w:val="center"/>
          </w:tcPr>
          <w:p>
            <w:pPr>
              <w:pStyle w:val="TableContents"/>
              <w:bidi w:val="0"/>
              <w:spacing w:before="0" w:after="0"/>
              <w:jc w:val="left"/>
              <w:rPr/>
            </w:pPr>
            <w:r>
              <w:rPr/>
              <w:t> </w:t>
            </w:r>
          </w:p>
        </w:tc>
        <w:tc>
          <w:tcPr>
            <w:tcW w:w="633" w:type="dxa"/>
            <w:gridSpan w:val="3"/>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epay</w:t>
            </w:r>
          </w:p>
        </w:tc>
        <w:tc>
          <w:tcPr>
            <w:tcW w:w="60" w:type="dxa"/>
            <w:tcBorders/>
            <w:vAlign w:val="center"/>
          </w:tcPr>
          <w:p>
            <w:pPr>
              <w:pStyle w:val="TableContents"/>
              <w:bidi w:val="0"/>
              <w:spacing w:before="0" w:after="0"/>
              <w:jc w:val="left"/>
              <w:rPr/>
            </w:pPr>
            <w:r>
              <w:rPr/>
              <w:t> </w:t>
            </w:r>
          </w:p>
        </w:tc>
        <w:tc>
          <w:tcPr>
            <w:tcW w:w="650" w:type="dxa"/>
            <w:gridSpan w:val="3"/>
            <w:tcBorders/>
            <w:vAlign w:val="center"/>
          </w:tcPr>
          <w:p>
            <w:pPr>
              <w:pStyle w:val="TableContents"/>
              <w:bidi w:val="0"/>
              <w:spacing w:lineRule="auto" w:line="288" w:before="0" w:after="0"/>
              <w:jc w:val="center"/>
              <w:rPr>
                <w:rFonts w:ascii="times new roman;times" w:hAnsi="times new roman;times"/>
                <w:b/>
                <w:sz w:val="16"/>
              </w:rPr>
            </w:pPr>
            <w:r>
              <w:rPr>
                <w:rFonts w:ascii="times new roman;times" w:hAnsi="times new roman;times"/>
                <w:b/>
                <w:sz w:val="16"/>
              </w:rPr>
              <w:t>Money</w:t>
            </w:r>
          </w:p>
          <w:p>
            <w:pPr>
              <w:pStyle w:val="TableContents"/>
              <w:bidi w:val="0"/>
              <w:spacing w:lineRule="auto" w:line="288" w:before="0" w:after="0"/>
              <w:jc w:val="center"/>
              <w:rPr>
                <w:rFonts w:ascii="times new roman;times" w:hAnsi="times new roman;times"/>
                <w:b/>
                <w:sz w:val="16"/>
              </w:rPr>
            </w:pPr>
            <w:r>
              <w:rPr>
                <w:rFonts w:ascii="times new roman;times" w:hAnsi="times new roman;times"/>
                <w:b/>
                <w:sz w:val="16"/>
              </w:rPr>
              <w:t>Transfer</w:t>
            </w:r>
          </w:p>
        </w:tc>
        <w:tc>
          <w:tcPr>
            <w:tcW w:w="60" w:type="dxa"/>
            <w:tcBorders/>
            <w:vAlign w:val="center"/>
          </w:tcPr>
          <w:p>
            <w:pPr>
              <w:pStyle w:val="TableContents"/>
              <w:bidi w:val="0"/>
              <w:spacing w:before="0" w:after="0"/>
              <w:jc w:val="left"/>
              <w:rPr/>
            </w:pPr>
            <w:r>
              <w:rPr/>
              <w:t> </w:t>
            </w:r>
          </w:p>
        </w:tc>
        <w:tc>
          <w:tcPr>
            <w:tcW w:w="1458" w:type="dxa"/>
            <w:gridSpan w:val="3"/>
            <w:tcBorders/>
            <w:vAlign w:val="center"/>
          </w:tcPr>
          <w:p>
            <w:pPr>
              <w:pStyle w:val="TableContents"/>
              <w:bidi w:val="0"/>
              <w:spacing w:lineRule="auto" w:line="288" w:before="0" w:after="0"/>
              <w:jc w:val="center"/>
              <w:rPr>
                <w:rFonts w:ascii="times new roman;times" w:hAnsi="times new roman;times"/>
                <w:b/>
                <w:sz w:val="16"/>
              </w:rPr>
            </w:pPr>
            <w:r>
              <w:rPr>
                <w:rFonts w:ascii="times new roman;times" w:hAnsi="times new roman;times"/>
                <w:b/>
                <w:sz w:val="16"/>
              </w:rPr>
              <w:t>Corporate Services,</w:t>
            </w:r>
          </w:p>
          <w:p>
            <w:pPr>
              <w:pStyle w:val="TableContents"/>
              <w:bidi w:val="0"/>
              <w:spacing w:lineRule="auto" w:line="288" w:before="0" w:after="0"/>
              <w:jc w:val="center"/>
              <w:rPr>
                <w:rFonts w:ascii="times new roman;times" w:hAnsi="times new roman;times"/>
                <w:b/>
                <w:sz w:val="16"/>
              </w:rPr>
            </w:pPr>
            <w:r>
              <w:rPr>
                <w:rFonts w:ascii="times new roman;times" w:hAnsi="times new roman;times"/>
                <w:b/>
                <w:sz w:val="16"/>
              </w:rPr>
              <w:t>Eliminations</w:t>
            </w:r>
          </w:p>
          <w:p>
            <w:pPr>
              <w:pStyle w:val="TableContents"/>
              <w:bidi w:val="0"/>
              <w:spacing w:lineRule="auto" w:line="288" w:before="0" w:after="0"/>
              <w:jc w:val="center"/>
              <w:rPr>
                <w:rFonts w:ascii="times new roman;times" w:hAnsi="times new roman;times"/>
                <w:b/>
                <w:sz w:val="16"/>
              </w:rPr>
            </w:pPr>
            <w:r>
              <w:rPr>
                <w:rFonts w:ascii="times new roman;times" w:hAnsi="times new roman;times"/>
                <w:b/>
                <w:sz w:val="16"/>
              </w:rPr>
              <w:t>and Other</w:t>
            </w:r>
          </w:p>
        </w:tc>
        <w:tc>
          <w:tcPr>
            <w:tcW w:w="60" w:type="dxa"/>
            <w:tcBorders/>
            <w:vAlign w:val="center"/>
          </w:tcPr>
          <w:p>
            <w:pPr>
              <w:pStyle w:val="TableContents"/>
              <w:bidi w:val="0"/>
              <w:spacing w:before="0" w:after="0"/>
              <w:jc w:val="left"/>
              <w:rPr/>
            </w:pPr>
            <w:r>
              <w:rPr/>
              <w:t> </w:t>
            </w:r>
          </w:p>
        </w:tc>
        <w:tc>
          <w:tcPr>
            <w:tcW w:w="980" w:type="dxa"/>
            <w:gridSpan w:val="3"/>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Consolidated</w:t>
            </w:r>
          </w:p>
        </w:tc>
      </w:tr>
      <w:tr>
        <w:trPr/>
        <w:tc>
          <w:tcPr>
            <w:tcW w:w="3950"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Total revenues</w:t>
            </w:r>
          </w:p>
        </w:tc>
        <w:tc>
          <w:tcPr>
            <w:tcW w:w="6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601"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305.4</w:t>
            </w:r>
          </w:p>
        </w:tc>
        <w:tc>
          <w:tcPr>
            <w:tcW w:w="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485"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260.9</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128"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498"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421.8</w:t>
            </w:r>
          </w:p>
        </w:tc>
        <w:tc>
          <w:tcPr>
            <w:tcW w:w="2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275"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972"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(1.9</w:t>
            </w:r>
          </w:p>
        </w:tc>
        <w:tc>
          <w:tcPr>
            <w:tcW w:w="211"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0"/>
              <w:jc w:val="left"/>
              <w:rPr/>
            </w:pPr>
            <w:r>
              <w:rPr/>
              <w:t> </w:t>
            </w:r>
          </w:p>
        </w:tc>
        <w:tc>
          <w:tcPr>
            <w:tcW w:w="189"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733"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986.2</w:t>
            </w:r>
          </w:p>
        </w:tc>
        <w:tc>
          <w:tcPr>
            <w:tcW w:w="58" w:type="dxa"/>
            <w:tcBorders/>
            <w:shd w:fill="CCEEFF" w:val="clear"/>
            <w:vAlign w:val="center"/>
          </w:tcPr>
          <w:p>
            <w:pPr>
              <w:pStyle w:val="TableContents"/>
              <w:bidi w:val="0"/>
              <w:spacing w:before="0" w:after="283"/>
              <w:jc w:val="left"/>
              <w:rPr>
                <w:sz w:val="4"/>
                <w:szCs w:val="4"/>
              </w:rPr>
            </w:pPr>
            <w:r>
              <w:rPr>
                <w:sz w:val="4"/>
                <w:szCs w:val="4"/>
              </w:rPr>
            </w:r>
          </w:p>
        </w:tc>
      </w:tr>
      <w:tr>
        <w:trPr/>
        <w:tc>
          <w:tcPr>
            <w:tcW w:w="3950"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Operating expenses:</w:t>
            </w:r>
          </w:p>
        </w:tc>
        <w:tc>
          <w:tcPr>
            <w:tcW w:w="60" w:type="dxa"/>
            <w:tcBorders/>
            <w:vAlign w:val="center"/>
          </w:tcPr>
          <w:p>
            <w:pPr>
              <w:pStyle w:val="TableContents"/>
              <w:bidi w:val="0"/>
              <w:spacing w:before="0" w:after="0"/>
              <w:jc w:val="left"/>
              <w:rPr/>
            </w:pPr>
            <w:r>
              <w:rPr/>
              <w:t> </w:t>
            </w:r>
          </w:p>
        </w:tc>
        <w:tc>
          <w:tcPr>
            <w:tcW w:w="785" w:type="dxa"/>
            <w:gridSpan w:val="3"/>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33" w:type="dxa"/>
            <w:gridSpan w:val="3"/>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50" w:type="dxa"/>
            <w:gridSpan w:val="3"/>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458" w:type="dxa"/>
            <w:gridSpan w:val="3"/>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80" w:type="dxa"/>
            <w:gridSpan w:val="3"/>
            <w:tcBorders/>
            <w:vAlign w:val="center"/>
          </w:tcPr>
          <w:p>
            <w:pPr>
              <w:pStyle w:val="TableContents"/>
              <w:bidi w:val="0"/>
              <w:spacing w:before="0" w:after="0"/>
              <w:jc w:val="left"/>
              <w:rPr/>
            </w:pPr>
            <w:r>
              <w:rPr/>
              <w:t> </w:t>
            </w:r>
          </w:p>
        </w:tc>
      </w:tr>
      <w:tr>
        <w:trPr/>
        <w:tc>
          <w:tcPr>
            <w:tcW w:w="3950"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Direct operating costs, exclusive of depreciation</w:t>
            </w:r>
          </w:p>
        </w:tc>
        <w:tc>
          <w:tcPr>
            <w:tcW w:w="60" w:type="dxa"/>
            <w:tcBorders/>
            <w:shd w:fill="CCEEFF" w:val="clear"/>
            <w:vAlign w:val="center"/>
          </w:tcPr>
          <w:p>
            <w:pPr>
              <w:pStyle w:val="TableContents"/>
              <w:bidi w:val="0"/>
              <w:spacing w:before="0" w:after="0"/>
              <w:jc w:val="left"/>
              <w:rPr/>
            </w:pPr>
            <w:r>
              <w:rPr/>
              <w:t> </w:t>
            </w:r>
          </w:p>
        </w:tc>
        <w:tc>
          <w:tcPr>
            <w:tcW w:w="756"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152.5</w:t>
            </w:r>
          </w:p>
        </w:tc>
        <w:tc>
          <w:tcPr>
            <w:tcW w:w="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610"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198.5</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626"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231.7</w:t>
            </w:r>
          </w:p>
        </w:tc>
        <w:tc>
          <w:tcPr>
            <w:tcW w:w="2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1247"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(1.9</w:t>
            </w:r>
          </w:p>
        </w:tc>
        <w:tc>
          <w:tcPr>
            <w:tcW w:w="211"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0"/>
              <w:jc w:val="left"/>
              <w:rPr/>
            </w:pPr>
            <w:r>
              <w:rPr/>
              <w:t> </w:t>
            </w:r>
          </w:p>
        </w:tc>
        <w:tc>
          <w:tcPr>
            <w:tcW w:w="922"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580.8</w:t>
            </w:r>
          </w:p>
        </w:tc>
        <w:tc>
          <w:tcPr>
            <w:tcW w:w="58" w:type="dxa"/>
            <w:tcBorders/>
            <w:shd w:fill="CCEEFF" w:val="clear"/>
            <w:vAlign w:val="center"/>
          </w:tcPr>
          <w:p>
            <w:pPr>
              <w:pStyle w:val="TableContents"/>
              <w:bidi w:val="0"/>
              <w:spacing w:before="0" w:after="283"/>
              <w:jc w:val="left"/>
              <w:rPr>
                <w:sz w:val="4"/>
                <w:szCs w:val="4"/>
              </w:rPr>
            </w:pPr>
            <w:r>
              <w:rPr>
                <w:sz w:val="4"/>
                <w:szCs w:val="4"/>
              </w:rPr>
            </w:r>
          </w:p>
        </w:tc>
      </w:tr>
      <w:tr>
        <w:trPr/>
        <w:tc>
          <w:tcPr>
            <w:tcW w:w="3950"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Salaries and benefits</w:t>
            </w:r>
          </w:p>
        </w:tc>
        <w:tc>
          <w:tcPr>
            <w:tcW w:w="60" w:type="dxa"/>
            <w:tcBorders/>
            <w:vAlign w:val="center"/>
          </w:tcPr>
          <w:p>
            <w:pPr>
              <w:pStyle w:val="TableContents"/>
              <w:bidi w:val="0"/>
              <w:spacing w:before="0" w:after="0"/>
              <w:jc w:val="left"/>
              <w:rPr/>
            </w:pPr>
            <w:r>
              <w:rPr/>
              <w:t> </w:t>
            </w:r>
          </w:p>
        </w:tc>
        <w:tc>
          <w:tcPr>
            <w:tcW w:w="756"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34.4</w:t>
            </w:r>
          </w:p>
        </w:tc>
        <w:tc>
          <w:tcPr>
            <w:tcW w:w="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610"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25.1</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626"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82.7</w:t>
            </w:r>
          </w:p>
        </w:tc>
        <w:tc>
          <w:tcPr>
            <w:tcW w:w="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1247"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15.8</w:t>
            </w:r>
          </w:p>
        </w:tc>
        <w:tc>
          <w:tcPr>
            <w:tcW w:w="2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922"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158.0</w:t>
            </w:r>
          </w:p>
        </w:tc>
        <w:tc>
          <w:tcPr>
            <w:tcW w:w="58" w:type="dxa"/>
            <w:tcBorders/>
            <w:vAlign w:val="center"/>
          </w:tcPr>
          <w:p>
            <w:pPr>
              <w:pStyle w:val="TableContents"/>
              <w:bidi w:val="0"/>
              <w:spacing w:before="0" w:after="283"/>
              <w:jc w:val="left"/>
              <w:rPr>
                <w:sz w:val="4"/>
                <w:szCs w:val="4"/>
              </w:rPr>
            </w:pPr>
            <w:r>
              <w:rPr>
                <w:sz w:val="4"/>
                <w:szCs w:val="4"/>
              </w:rPr>
            </w:r>
          </w:p>
        </w:tc>
      </w:tr>
      <w:tr>
        <w:trPr/>
        <w:tc>
          <w:tcPr>
            <w:tcW w:w="3950"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Selling, general and administrative</w:t>
            </w:r>
          </w:p>
        </w:tc>
        <w:tc>
          <w:tcPr>
            <w:tcW w:w="60" w:type="dxa"/>
            <w:tcBorders/>
            <w:shd w:fill="CCEEFF" w:val="clear"/>
            <w:vAlign w:val="center"/>
          </w:tcPr>
          <w:p>
            <w:pPr>
              <w:pStyle w:val="TableContents"/>
              <w:bidi w:val="0"/>
              <w:spacing w:before="0" w:after="0"/>
              <w:jc w:val="left"/>
              <w:rPr/>
            </w:pPr>
            <w:r>
              <w:rPr/>
              <w:t> </w:t>
            </w:r>
          </w:p>
        </w:tc>
        <w:tc>
          <w:tcPr>
            <w:tcW w:w="756"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13.5</w:t>
            </w:r>
          </w:p>
        </w:tc>
        <w:tc>
          <w:tcPr>
            <w:tcW w:w="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610"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9.3</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626"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53.4</w:t>
            </w:r>
          </w:p>
        </w:tc>
        <w:tc>
          <w:tcPr>
            <w:tcW w:w="2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1247"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3.2</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922"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79.4</w:t>
            </w:r>
          </w:p>
        </w:tc>
        <w:tc>
          <w:tcPr>
            <w:tcW w:w="58" w:type="dxa"/>
            <w:tcBorders/>
            <w:shd w:fill="CCEEFF" w:val="clear"/>
            <w:vAlign w:val="center"/>
          </w:tcPr>
          <w:p>
            <w:pPr>
              <w:pStyle w:val="TableContents"/>
              <w:bidi w:val="0"/>
              <w:spacing w:before="0" w:after="283"/>
              <w:jc w:val="left"/>
              <w:rPr>
                <w:sz w:val="4"/>
                <w:szCs w:val="4"/>
              </w:rPr>
            </w:pPr>
            <w:r>
              <w:rPr>
                <w:sz w:val="4"/>
                <w:szCs w:val="4"/>
              </w:rPr>
            </w:r>
          </w:p>
        </w:tc>
      </w:tr>
      <w:tr>
        <w:trPr/>
        <w:tc>
          <w:tcPr>
            <w:tcW w:w="3950"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Depreciation and amortization</w:t>
            </w:r>
          </w:p>
        </w:tc>
        <w:tc>
          <w:tcPr>
            <w:tcW w:w="60" w:type="dxa"/>
            <w:tcBorders/>
            <w:vAlign w:val="center"/>
          </w:tcPr>
          <w:p>
            <w:pPr>
              <w:pStyle w:val="TableContents"/>
              <w:bidi w:val="0"/>
              <w:spacing w:before="0" w:after="0"/>
              <w:jc w:val="left"/>
              <w:rPr/>
            </w:pPr>
            <w:r>
              <w:rPr/>
              <w:t> </w:t>
            </w:r>
          </w:p>
        </w:tc>
        <w:tc>
          <w:tcPr>
            <w:tcW w:w="756"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25.1</w:t>
            </w:r>
          </w:p>
        </w:tc>
        <w:tc>
          <w:tcPr>
            <w:tcW w:w="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610"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1.8</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626"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6.7</w:t>
            </w:r>
          </w:p>
        </w:tc>
        <w:tc>
          <w:tcPr>
            <w:tcW w:w="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1247"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0.1</w:t>
            </w:r>
          </w:p>
        </w:tc>
        <w:tc>
          <w:tcPr>
            <w:tcW w:w="2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922"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33.7</w:t>
            </w:r>
          </w:p>
        </w:tc>
        <w:tc>
          <w:tcPr>
            <w:tcW w:w="58" w:type="dxa"/>
            <w:tcBorders/>
            <w:vAlign w:val="center"/>
          </w:tcPr>
          <w:p>
            <w:pPr>
              <w:pStyle w:val="TableContents"/>
              <w:bidi w:val="0"/>
              <w:spacing w:before="0" w:after="283"/>
              <w:jc w:val="left"/>
              <w:rPr>
                <w:sz w:val="4"/>
                <w:szCs w:val="4"/>
              </w:rPr>
            </w:pPr>
            <w:r>
              <w:rPr>
                <w:sz w:val="4"/>
                <w:szCs w:val="4"/>
              </w:rPr>
            </w:r>
          </w:p>
        </w:tc>
      </w:tr>
      <w:tr>
        <w:trPr/>
        <w:tc>
          <w:tcPr>
            <w:tcW w:w="3950"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Total operating expenses</w:t>
            </w:r>
          </w:p>
        </w:tc>
        <w:tc>
          <w:tcPr>
            <w:tcW w:w="60" w:type="dxa"/>
            <w:tcBorders/>
            <w:shd w:fill="CCEEFF" w:val="clear"/>
            <w:vAlign w:val="center"/>
          </w:tcPr>
          <w:p>
            <w:pPr>
              <w:pStyle w:val="TableContents"/>
              <w:bidi w:val="0"/>
              <w:spacing w:before="0" w:after="0"/>
              <w:jc w:val="left"/>
              <w:rPr/>
            </w:pPr>
            <w:r>
              <w:rPr/>
              <w:t> </w:t>
            </w:r>
          </w:p>
        </w:tc>
        <w:tc>
          <w:tcPr>
            <w:tcW w:w="756"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225.5</w:t>
            </w:r>
          </w:p>
        </w:tc>
        <w:tc>
          <w:tcPr>
            <w:tcW w:w="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610"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234.7</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626"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374.5</w:t>
            </w:r>
          </w:p>
        </w:tc>
        <w:tc>
          <w:tcPr>
            <w:tcW w:w="2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1247"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17.2</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922"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851.9</w:t>
            </w:r>
          </w:p>
        </w:tc>
        <w:tc>
          <w:tcPr>
            <w:tcW w:w="58" w:type="dxa"/>
            <w:tcBorders/>
            <w:shd w:fill="CCEEFF" w:val="clear"/>
            <w:vAlign w:val="center"/>
          </w:tcPr>
          <w:p>
            <w:pPr>
              <w:pStyle w:val="TableContents"/>
              <w:bidi w:val="0"/>
              <w:spacing w:before="0" w:after="283"/>
              <w:jc w:val="left"/>
              <w:rPr>
                <w:sz w:val="4"/>
                <w:szCs w:val="4"/>
              </w:rPr>
            </w:pPr>
            <w:r>
              <w:rPr>
                <w:sz w:val="4"/>
                <w:szCs w:val="4"/>
              </w:rPr>
            </w:r>
          </w:p>
        </w:tc>
      </w:tr>
      <w:tr>
        <w:trPr/>
        <w:tc>
          <w:tcPr>
            <w:tcW w:w="3950" w:type="dxa"/>
            <w:tcBorders/>
            <w:vAlign w:val="center"/>
          </w:tcPr>
          <w:p>
            <w:pPr>
              <w:pStyle w:val="TableContents"/>
              <w:widowControl/>
              <w:bidi w:val="0"/>
              <w:spacing w:before="0" w:after="0"/>
              <w:ind w:left="0" w:right="0" w:hanging="0"/>
              <w:jc w:val="left"/>
              <w:rPr>
                <w:rFonts w:ascii="times new roman;times" w:hAnsi="times new roman;times"/>
                <w:sz w:val="20"/>
              </w:rPr>
            </w:pPr>
            <w:r>
              <w:rPr>
                <w:rFonts w:ascii="times new roman;times" w:hAnsi="times new roman;times"/>
                <w:sz w:val="20"/>
              </w:rPr>
              <w:t xml:space="preserve">Operating income </w:t>
            </w:r>
            <w:r>
              <w:rPr>
                <w:rFonts w:ascii="times new roman;times" w:hAnsi="times new roman;times"/>
                <w:b w:val="false"/>
                <w:i w:val="false"/>
                <w:caps w:val="false"/>
                <w:smallCaps w:val="false"/>
                <w:color w:val="000000"/>
                <w:spacing w:val="0"/>
                <w:sz w:val="20"/>
              </w:rPr>
              <w:t>(loss) </w:t>
            </w:r>
          </w:p>
        </w:tc>
        <w:tc>
          <w:tcPr>
            <w:tcW w:w="6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601"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79.9</w:t>
            </w:r>
          </w:p>
        </w:tc>
        <w:tc>
          <w:tcPr>
            <w:tcW w:w="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485"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26.2</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128"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498"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47.3</w:t>
            </w:r>
          </w:p>
        </w:tc>
        <w:tc>
          <w:tcPr>
            <w:tcW w:w="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972"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(19.1</w:t>
            </w:r>
          </w:p>
        </w:tc>
        <w:tc>
          <w:tcPr>
            <w:tcW w:w="211"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0"/>
              <w:jc w:val="left"/>
              <w:rPr/>
            </w:pPr>
            <w:r>
              <w:rPr/>
              <w:t> </w:t>
            </w:r>
          </w:p>
        </w:tc>
        <w:tc>
          <w:tcPr>
            <w:tcW w:w="189"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733"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134.3</w:t>
            </w:r>
          </w:p>
        </w:tc>
        <w:tc>
          <w:tcPr>
            <w:tcW w:w="58" w:type="dxa"/>
            <w:tcBorders/>
            <w:vAlign w:val="center"/>
          </w:tcPr>
          <w:p>
            <w:pPr>
              <w:pStyle w:val="TableContents"/>
              <w:bidi w:val="0"/>
              <w:spacing w:before="0" w:after="283"/>
              <w:jc w:val="left"/>
              <w:rPr>
                <w:sz w:val="4"/>
                <w:szCs w:val="4"/>
              </w:rPr>
            </w:pPr>
            <w:r>
              <w:rPr>
                <w:sz w:val="4"/>
                <w:szCs w:val="4"/>
              </w:rPr>
            </w:r>
          </w:p>
        </w:tc>
      </w:tr>
    </w:tbl>
    <w:p>
      <w:pPr>
        <w:pStyle w:val="TextBody"/>
        <w:widowControl/>
        <w:bidi w:val="0"/>
        <w:spacing w:lineRule="auto" w:line="264"/>
        <w:jc w:val="both"/>
        <w:rPr>
          <w:caps w:val="false"/>
          <w:smallCaps w:val="false"/>
          <w:color w:val="000000"/>
          <w:spacing w:val="0"/>
          <w:sz w:val="20"/>
          <w:szCs w:val="20"/>
        </w:rPr>
      </w:pPr>
      <w:r>
        <w:rPr>
          <w:caps w:val="false"/>
          <w:smallCaps w:val="false"/>
          <w:color w:val="000000"/>
          <w:spacing w:val="0"/>
          <w:sz w:val="20"/>
          <w:szCs w:val="20"/>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widowControl/>
        <w:bidi w:val="0"/>
        <w:spacing w:lineRule="auto" w:line="264" w:before="0" w:after="0"/>
        <w:ind w:left="0" w:right="0" w:hanging="0"/>
        <w:jc w:val="both"/>
        <w:rPr>
          <w:caps w:val="false"/>
          <w:smallCaps w:val="false"/>
          <w:color w:val="000000"/>
          <w:spacing w:val="0"/>
        </w:rPr>
      </w:pPr>
      <w:r>
        <w:rPr>
          <w:caps w:val="false"/>
          <w:smallCaps w:val="false"/>
          <w:color w:val="000000"/>
          <w:spacing w:val="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8756" w:type="dxa"/>
        <w:jc w:val="left"/>
        <w:tblInd w:w="0" w:type="dxa"/>
        <w:tblLayout w:type="fixed"/>
        <w:tblCellMar>
          <w:top w:w="0" w:type="dxa"/>
          <w:left w:w="0" w:type="dxa"/>
          <w:bottom w:w="0" w:type="dxa"/>
          <w:right w:w="0" w:type="dxa"/>
        </w:tblCellMar>
      </w:tblPr>
      <w:tblGrid>
        <w:gridCol w:w="3950"/>
        <w:gridCol w:w="60"/>
        <w:gridCol w:w="155"/>
        <w:gridCol w:w="601"/>
        <w:gridCol w:w="29"/>
        <w:gridCol w:w="60"/>
        <w:gridCol w:w="125"/>
        <w:gridCol w:w="485"/>
        <w:gridCol w:w="23"/>
        <w:gridCol w:w="60"/>
        <w:gridCol w:w="128"/>
        <w:gridCol w:w="498"/>
        <w:gridCol w:w="24"/>
        <w:gridCol w:w="60"/>
        <w:gridCol w:w="275"/>
        <w:gridCol w:w="972"/>
        <w:gridCol w:w="211"/>
        <w:gridCol w:w="60"/>
        <w:gridCol w:w="189"/>
        <w:gridCol w:w="733"/>
        <w:gridCol w:w="58"/>
      </w:tblGrid>
      <w:tr>
        <w:trPr/>
        <w:tc>
          <w:tcPr>
            <w:tcW w:w="39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4746" w:type="dxa"/>
            <w:gridSpan w:val="19"/>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For the Three Months Ended June 30, 2023</w:t>
            </w:r>
          </w:p>
        </w:tc>
      </w:tr>
      <w:tr>
        <w:trPr/>
        <w:tc>
          <w:tcPr>
            <w:tcW w:w="3950" w:type="dxa"/>
            <w:tcBorders/>
            <w:vAlign w:val="center"/>
          </w:tcPr>
          <w:p>
            <w:pPr>
              <w:pStyle w:val="TableContents"/>
              <w:bidi w:val="0"/>
              <w:spacing w:before="0" w:after="0"/>
              <w:jc w:val="left"/>
              <w:rPr>
                <w:rFonts w:ascii="times new roman;times" w:hAnsi="times new roman;times"/>
                <w:sz w:val="16"/>
              </w:rPr>
            </w:pPr>
            <w:r>
              <w:rPr>
                <w:rFonts w:ascii="times new roman;times" w:hAnsi="times new roman;times"/>
                <w:sz w:val="16"/>
              </w:rPr>
              <w:t>(in millions)</w:t>
            </w:r>
          </w:p>
        </w:tc>
        <w:tc>
          <w:tcPr>
            <w:tcW w:w="60" w:type="dxa"/>
            <w:tcBorders/>
            <w:vAlign w:val="center"/>
          </w:tcPr>
          <w:p>
            <w:pPr>
              <w:pStyle w:val="TableContents"/>
              <w:bidi w:val="0"/>
              <w:spacing w:before="0" w:after="0"/>
              <w:jc w:val="left"/>
              <w:rPr/>
            </w:pPr>
            <w:r>
              <w:rPr/>
              <w:t> </w:t>
            </w:r>
          </w:p>
        </w:tc>
        <w:tc>
          <w:tcPr>
            <w:tcW w:w="785" w:type="dxa"/>
            <w:gridSpan w:val="3"/>
            <w:tcBorders/>
            <w:vAlign w:val="center"/>
          </w:tcPr>
          <w:p>
            <w:pPr>
              <w:pStyle w:val="TableContents"/>
              <w:bidi w:val="0"/>
              <w:spacing w:lineRule="auto" w:line="288" w:before="0" w:after="0"/>
              <w:jc w:val="center"/>
              <w:rPr>
                <w:rFonts w:ascii="times new roman;times" w:hAnsi="times new roman;times"/>
                <w:b/>
                <w:sz w:val="16"/>
              </w:rPr>
            </w:pPr>
            <w:r>
              <w:rPr>
                <w:rFonts w:ascii="times new roman;times" w:hAnsi="times new roman;times"/>
                <w:b/>
                <w:sz w:val="16"/>
              </w:rPr>
              <w:t>EFT</w:t>
            </w:r>
          </w:p>
          <w:p>
            <w:pPr>
              <w:pStyle w:val="TableContents"/>
              <w:bidi w:val="0"/>
              <w:spacing w:lineRule="auto" w:line="288" w:before="0" w:after="0"/>
              <w:jc w:val="center"/>
              <w:rPr>
                <w:rFonts w:ascii="times new roman;times" w:hAnsi="times new roman;times"/>
                <w:b/>
                <w:sz w:val="16"/>
              </w:rPr>
            </w:pPr>
            <w:r>
              <w:rPr>
                <w:rFonts w:ascii="times new roman;times" w:hAnsi="times new roman;times"/>
                <w:b/>
                <w:sz w:val="16"/>
              </w:rPr>
              <w:t>Processing</w:t>
            </w:r>
          </w:p>
        </w:tc>
        <w:tc>
          <w:tcPr>
            <w:tcW w:w="60" w:type="dxa"/>
            <w:tcBorders/>
            <w:vAlign w:val="center"/>
          </w:tcPr>
          <w:p>
            <w:pPr>
              <w:pStyle w:val="TableContents"/>
              <w:bidi w:val="0"/>
              <w:spacing w:before="0" w:after="0"/>
              <w:jc w:val="left"/>
              <w:rPr/>
            </w:pPr>
            <w:r>
              <w:rPr/>
              <w:t> </w:t>
            </w:r>
          </w:p>
        </w:tc>
        <w:tc>
          <w:tcPr>
            <w:tcW w:w="633" w:type="dxa"/>
            <w:gridSpan w:val="3"/>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epay</w:t>
            </w:r>
          </w:p>
        </w:tc>
        <w:tc>
          <w:tcPr>
            <w:tcW w:w="60" w:type="dxa"/>
            <w:tcBorders/>
            <w:vAlign w:val="center"/>
          </w:tcPr>
          <w:p>
            <w:pPr>
              <w:pStyle w:val="TableContents"/>
              <w:bidi w:val="0"/>
              <w:spacing w:before="0" w:after="0"/>
              <w:jc w:val="left"/>
              <w:rPr/>
            </w:pPr>
            <w:r>
              <w:rPr/>
              <w:t> </w:t>
            </w:r>
          </w:p>
        </w:tc>
        <w:tc>
          <w:tcPr>
            <w:tcW w:w="650" w:type="dxa"/>
            <w:gridSpan w:val="3"/>
            <w:tcBorders/>
            <w:vAlign w:val="center"/>
          </w:tcPr>
          <w:p>
            <w:pPr>
              <w:pStyle w:val="TableContents"/>
              <w:bidi w:val="0"/>
              <w:spacing w:lineRule="auto" w:line="288" w:before="0" w:after="0"/>
              <w:jc w:val="center"/>
              <w:rPr>
                <w:rFonts w:ascii="times new roman;times" w:hAnsi="times new roman;times"/>
                <w:b/>
                <w:sz w:val="16"/>
              </w:rPr>
            </w:pPr>
            <w:r>
              <w:rPr>
                <w:rFonts w:ascii="times new roman;times" w:hAnsi="times new roman;times"/>
                <w:b/>
                <w:sz w:val="16"/>
              </w:rPr>
              <w:t>Money</w:t>
            </w:r>
          </w:p>
          <w:p>
            <w:pPr>
              <w:pStyle w:val="TableContents"/>
              <w:bidi w:val="0"/>
              <w:spacing w:lineRule="auto" w:line="288" w:before="0" w:after="0"/>
              <w:jc w:val="center"/>
              <w:rPr>
                <w:rFonts w:ascii="times new roman;times" w:hAnsi="times new roman;times"/>
                <w:b/>
                <w:sz w:val="16"/>
              </w:rPr>
            </w:pPr>
            <w:r>
              <w:rPr>
                <w:rFonts w:ascii="times new roman;times" w:hAnsi="times new roman;times"/>
                <w:b/>
                <w:sz w:val="16"/>
              </w:rPr>
              <w:t>Transfer</w:t>
            </w:r>
          </w:p>
        </w:tc>
        <w:tc>
          <w:tcPr>
            <w:tcW w:w="60" w:type="dxa"/>
            <w:tcBorders/>
            <w:vAlign w:val="center"/>
          </w:tcPr>
          <w:p>
            <w:pPr>
              <w:pStyle w:val="TableContents"/>
              <w:bidi w:val="0"/>
              <w:spacing w:before="0" w:after="0"/>
              <w:jc w:val="left"/>
              <w:rPr/>
            </w:pPr>
            <w:r>
              <w:rPr/>
              <w:t> </w:t>
            </w:r>
          </w:p>
        </w:tc>
        <w:tc>
          <w:tcPr>
            <w:tcW w:w="1458" w:type="dxa"/>
            <w:gridSpan w:val="3"/>
            <w:tcBorders/>
            <w:vAlign w:val="center"/>
          </w:tcPr>
          <w:p>
            <w:pPr>
              <w:pStyle w:val="TableContents"/>
              <w:bidi w:val="0"/>
              <w:spacing w:lineRule="auto" w:line="288" w:before="0" w:after="0"/>
              <w:jc w:val="center"/>
              <w:rPr>
                <w:rFonts w:ascii="times new roman;times" w:hAnsi="times new roman;times"/>
                <w:b/>
                <w:sz w:val="16"/>
              </w:rPr>
            </w:pPr>
            <w:r>
              <w:rPr>
                <w:rFonts w:ascii="times new roman;times" w:hAnsi="times new roman;times"/>
                <w:b/>
                <w:sz w:val="16"/>
              </w:rPr>
              <w:t>Corporate Services,</w:t>
            </w:r>
          </w:p>
          <w:p>
            <w:pPr>
              <w:pStyle w:val="TableContents"/>
              <w:bidi w:val="0"/>
              <w:spacing w:lineRule="auto" w:line="288" w:before="0" w:after="0"/>
              <w:jc w:val="center"/>
              <w:rPr>
                <w:rFonts w:ascii="times new roman;times" w:hAnsi="times new roman;times"/>
                <w:b/>
                <w:sz w:val="16"/>
              </w:rPr>
            </w:pPr>
            <w:r>
              <w:rPr>
                <w:rFonts w:ascii="times new roman;times" w:hAnsi="times new roman;times"/>
                <w:b/>
                <w:sz w:val="16"/>
              </w:rPr>
              <w:t>Eliminations</w:t>
            </w:r>
          </w:p>
          <w:p>
            <w:pPr>
              <w:pStyle w:val="TableContents"/>
              <w:bidi w:val="0"/>
              <w:spacing w:lineRule="auto" w:line="288" w:before="0" w:after="0"/>
              <w:jc w:val="center"/>
              <w:rPr>
                <w:rFonts w:ascii="times new roman;times" w:hAnsi="times new roman;times"/>
                <w:b/>
                <w:sz w:val="16"/>
              </w:rPr>
            </w:pPr>
            <w:r>
              <w:rPr>
                <w:rFonts w:ascii="times new roman;times" w:hAnsi="times new roman;times"/>
                <w:b/>
                <w:sz w:val="16"/>
              </w:rPr>
              <w:t>and Other</w:t>
            </w:r>
          </w:p>
        </w:tc>
        <w:tc>
          <w:tcPr>
            <w:tcW w:w="60" w:type="dxa"/>
            <w:tcBorders/>
            <w:vAlign w:val="center"/>
          </w:tcPr>
          <w:p>
            <w:pPr>
              <w:pStyle w:val="TableContents"/>
              <w:bidi w:val="0"/>
              <w:spacing w:before="0" w:after="0"/>
              <w:jc w:val="left"/>
              <w:rPr/>
            </w:pPr>
            <w:r>
              <w:rPr/>
              <w:t> </w:t>
            </w:r>
          </w:p>
        </w:tc>
        <w:tc>
          <w:tcPr>
            <w:tcW w:w="980" w:type="dxa"/>
            <w:gridSpan w:val="3"/>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Consolidated</w:t>
            </w:r>
          </w:p>
        </w:tc>
      </w:tr>
      <w:tr>
        <w:trPr/>
        <w:tc>
          <w:tcPr>
            <w:tcW w:w="3950"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Total revenues</w:t>
            </w:r>
          </w:p>
        </w:tc>
        <w:tc>
          <w:tcPr>
            <w:tcW w:w="6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601"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282.4</w:t>
            </w:r>
          </w:p>
        </w:tc>
        <w:tc>
          <w:tcPr>
            <w:tcW w:w="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485"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263.8</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128"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498"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394.8</w:t>
            </w:r>
          </w:p>
        </w:tc>
        <w:tc>
          <w:tcPr>
            <w:tcW w:w="2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275"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972"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(1.9</w:t>
            </w:r>
          </w:p>
        </w:tc>
        <w:tc>
          <w:tcPr>
            <w:tcW w:w="211"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0"/>
              <w:jc w:val="left"/>
              <w:rPr/>
            </w:pPr>
            <w:r>
              <w:rPr/>
              <w:t> </w:t>
            </w:r>
          </w:p>
        </w:tc>
        <w:tc>
          <w:tcPr>
            <w:tcW w:w="189"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733"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939.1</w:t>
            </w:r>
          </w:p>
        </w:tc>
        <w:tc>
          <w:tcPr>
            <w:tcW w:w="58" w:type="dxa"/>
            <w:tcBorders/>
            <w:shd w:fill="CCEEFF" w:val="clear"/>
            <w:vAlign w:val="center"/>
          </w:tcPr>
          <w:p>
            <w:pPr>
              <w:pStyle w:val="TableContents"/>
              <w:bidi w:val="0"/>
              <w:spacing w:before="0" w:after="283"/>
              <w:jc w:val="left"/>
              <w:rPr>
                <w:sz w:val="4"/>
                <w:szCs w:val="4"/>
              </w:rPr>
            </w:pPr>
            <w:r>
              <w:rPr>
                <w:sz w:val="4"/>
                <w:szCs w:val="4"/>
              </w:rPr>
            </w:r>
          </w:p>
        </w:tc>
      </w:tr>
      <w:tr>
        <w:trPr/>
        <w:tc>
          <w:tcPr>
            <w:tcW w:w="3950"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Operating expenses:</w:t>
            </w:r>
          </w:p>
        </w:tc>
        <w:tc>
          <w:tcPr>
            <w:tcW w:w="60" w:type="dxa"/>
            <w:tcBorders/>
            <w:vAlign w:val="center"/>
          </w:tcPr>
          <w:p>
            <w:pPr>
              <w:pStyle w:val="TableContents"/>
              <w:bidi w:val="0"/>
              <w:spacing w:before="0" w:after="0"/>
              <w:jc w:val="left"/>
              <w:rPr/>
            </w:pPr>
            <w:r>
              <w:rPr/>
              <w:t> </w:t>
            </w:r>
          </w:p>
        </w:tc>
        <w:tc>
          <w:tcPr>
            <w:tcW w:w="785" w:type="dxa"/>
            <w:gridSpan w:val="3"/>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33" w:type="dxa"/>
            <w:gridSpan w:val="3"/>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50" w:type="dxa"/>
            <w:gridSpan w:val="3"/>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458" w:type="dxa"/>
            <w:gridSpan w:val="3"/>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80" w:type="dxa"/>
            <w:gridSpan w:val="3"/>
            <w:tcBorders/>
            <w:vAlign w:val="center"/>
          </w:tcPr>
          <w:p>
            <w:pPr>
              <w:pStyle w:val="TableContents"/>
              <w:bidi w:val="0"/>
              <w:spacing w:before="0" w:after="0"/>
              <w:jc w:val="left"/>
              <w:rPr/>
            </w:pPr>
            <w:r>
              <w:rPr/>
              <w:t> </w:t>
            </w:r>
          </w:p>
        </w:tc>
      </w:tr>
      <w:tr>
        <w:trPr/>
        <w:tc>
          <w:tcPr>
            <w:tcW w:w="3950"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Direct operating costs, exclusive of depreciation</w:t>
            </w:r>
          </w:p>
        </w:tc>
        <w:tc>
          <w:tcPr>
            <w:tcW w:w="60" w:type="dxa"/>
            <w:tcBorders/>
            <w:shd w:fill="CCEEFF" w:val="clear"/>
            <w:vAlign w:val="center"/>
          </w:tcPr>
          <w:p>
            <w:pPr>
              <w:pStyle w:val="TableContents"/>
              <w:bidi w:val="0"/>
              <w:spacing w:before="0" w:after="0"/>
              <w:jc w:val="left"/>
              <w:rPr/>
            </w:pPr>
            <w:r>
              <w:rPr/>
              <w:t> </w:t>
            </w:r>
          </w:p>
        </w:tc>
        <w:tc>
          <w:tcPr>
            <w:tcW w:w="756"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142.1</w:t>
            </w:r>
          </w:p>
        </w:tc>
        <w:tc>
          <w:tcPr>
            <w:tcW w:w="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610"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204.2</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626"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213.7</w:t>
            </w:r>
          </w:p>
        </w:tc>
        <w:tc>
          <w:tcPr>
            <w:tcW w:w="2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1247"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(1.9</w:t>
            </w:r>
          </w:p>
        </w:tc>
        <w:tc>
          <w:tcPr>
            <w:tcW w:w="211"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0"/>
              <w:jc w:val="left"/>
              <w:rPr/>
            </w:pPr>
            <w:r>
              <w:rPr/>
              <w:t> </w:t>
            </w:r>
          </w:p>
        </w:tc>
        <w:tc>
          <w:tcPr>
            <w:tcW w:w="922"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558.1</w:t>
            </w:r>
          </w:p>
        </w:tc>
        <w:tc>
          <w:tcPr>
            <w:tcW w:w="58" w:type="dxa"/>
            <w:tcBorders/>
            <w:shd w:fill="CCEEFF" w:val="clear"/>
            <w:vAlign w:val="center"/>
          </w:tcPr>
          <w:p>
            <w:pPr>
              <w:pStyle w:val="TableContents"/>
              <w:bidi w:val="0"/>
              <w:spacing w:before="0" w:after="283"/>
              <w:jc w:val="left"/>
              <w:rPr>
                <w:sz w:val="4"/>
                <w:szCs w:val="4"/>
              </w:rPr>
            </w:pPr>
            <w:r>
              <w:rPr>
                <w:sz w:val="4"/>
                <w:szCs w:val="4"/>
              </w:rPr>
            </w:r>
          </w:p>
        </w:tc>
      </w:tr>
      <w:tr>
        <w:trPr/>
        <w:tc>
          <w:tcPr>
            <w:tcW w:w="3950"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Salaries and benefits</w:t>
            </w:r>
          </w:p>
        </w:tc>
        <w:tc>
          <w:tcPr>
            <w:tcW w:w="60" w:type="dxa"/>
            <w:tcBorders/>
            <w:vAlign w:val="center"/>
          </w:tcPr>
          <w:p>
            <w:pPr>
              <w:pStyle w:val="TableContents"/>
              <w:bidi w:val="0"/>
              <w:spacing w:before="0" w:after="0"/>
              <w:jc w:val="left"/>
              <w:rPr/>
            </w:pPr>
            <w:r>
              <w:rPr/>
              <w:t> </w:t>
            </w:r>
          </w:p>
        </w:tc>
        <w:tc>
          <w:tcPr>
            <w:tcW w:w="756"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30.8</w:t>
            </w:r>
          </w:p>
        </w:tc>
        <w:tc>
          <w:tcPr>
            <w:tcW w:w="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610"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22.0</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626"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78.5</w:t>
            </w:r>
          </w:p>
        </w:tc>
        <w:tc>
          <w:tcPr>
            <w:tcW w:w="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1247"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18.1</w:t>
            </w:r>
          </w:p>
        </w:tc>
        <w:tc>
          <w:tcPr>
            <w:tcW w:w="2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922"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149.4</w:t>
            </w:r>
          </w:p>
        </w:tc>
        <w:tc>
          <w:tcPr>
            <w:tcW w:w="58" w:type="dxa"/>
            <w:tcBorders/>
            <w:vAlign w:val="center"/>
          </w:tcPr>
          <w:p>
            <w:pPr>
              <w:pStyle w:val="TableContents"/>
              <w:bidi w:val="0"/>
              <w:spacing w:before="0" w:after="283"/>
              <w:jc w:val="left"/>
              <w:rPr>
                <w:sz w:val="4"/>
                <w:szCs w:val="4"/>
              </w:rPr>
            </w:pPr>
            <w:r>
              <w:rPr>
                <w:sz w:val="4"/>
                <w:szCs w:val="4"/>
              </w:rPr>
            </w:r>
          </w:p>
        </w:tc>
      </w:tr>
      <w:tr>
        <w:trPr/>
        <w:tc>
          <w:tcPr>
            <w:tcW w:w="3950"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Selling, general and administrative</w:t>
            </w:r>
          </w:p>
        </w:tc>
        <w:tc>
          <w:tcPr>
            <w:tcW w:w="60" w:type="dxa"/>
            <w:tcBorders/>
            <w:shd w:fill="CCEEFF" w:val="clear"/>
            <w:vAlign w:val="center"/>
          </w:tcPr>
          <w:p>
            <w:pPr>
              <w:pStyle w:val="TableContents"/>
              <w:bidi w:val="0"/>
              <w:spacing w:before="0" w:after="0"/>
              <w:jc w:val="left"/>
              <w:rPr/>
            </w:pPr>
            <w:r>
              <w:rPr/>
              <w:t> </w:t>
            </w:r>
          </w:p>
        </w:tc>
        <w:tc>
          <w:tcPr>
            <w:tcW w:w="756"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16.6</w:t>
            </w:r>
          </w:p>
        </w:tc>
        <w:tc>
          <w:tcPr>
            <w:tcW w:w="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610"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9.1</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626"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47.3</w:t>
            </w:r>
          </w:p>
        </w:tc>
        <w:tc>
          <w:tcPr>
            <w:tcW w:w="2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1247"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2.3</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922"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75.3</w:t>
            </w:r>
          </w:p>
        </w:tc>
        <w:tc>
          <w:tcPr>
            <w:tcW w:w="58" w:type="dxa"/>
            <w:tcBorders/>
            <w:shd w:fill="CCEEFF" w:val="clear"/>
            <w:vAlign w:val="center"/>
          </w:tcPr>
          <w:p>
            <w:pPr>
              <w:pStyle w:val="TableContents"/>
              <w:bidi w:val="0"/>
              <w:spacing w:before="0" w:after="283"/>
              <w:jc w:val="left"/>
              <w:rPr>
                <w:sz w:val="4"/>
                <w:szCs w:val="4"/>
              </w:rPr>
            </w:pPr>
            <w:r>
              <w:rPr>
                <w:sz w:val="4"/>
                <w:szCs w:val="4"/>
              </w:rPr>
            </w:r>
          </w:p>
        </w:tc>
      </w:tr>
      <w:tr>
        <w:trPr/>
        <w:tc>
          <w:tcPr>
            <w:tcW w:w="3950"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Depreciation and amortization</w:t>
            </w:r>
          </w:p>
        </w:tc>
        <w:tc>
          <w:tcPr>
            <w:tcW w:w="60" w:type="dxa"/>
            <w:tcBorders/>
            <w:vAlign w:val="center"/>
          </w:tcPr>
          <w:p>
            <w:pPr>
              <w:pStyle w:val="TableContents"/>
              <w:bidi w:val="0"/>
              <w:spacing w:before="0" w:after="0"/>
              <w:jc w:val="left"/>
              <w:rPr/>
            </w:pPr>
            <w:r>
              <w:rPr/>
              <w:t> </w:t>
            </w:r>
          </w:p>
        </w:tc>
        <w:tc>
          <w:tcPr>
            <w:tcW w:w="756"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23.8</w:t>
            </w:r>
          </w:p>
        </w:tc>
        <w:tc>
          <w:tcPr>
            <w:tcW w:w="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610"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1.7</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626"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8.1</w:t>
            </w:r>
          </w:p>
        </w:tc>
        <w:tc>
          <w:tcPr>
            <w:tcW w:w="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1247"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0.1</w:t>
            </w:r>
          </w:p>
        </w:tc>
        <w:tc>
          <w:tcPr>
            <w:tcW w:w="2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922"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33.7</w:t>
            </w:r>
          </w:p>
        </w:tc>
        <w:tc>
          <w:tcPr>
            <w:tcW w:w="58" w:type="dxa"/>
            <w:tcBorders/>
            <w:vAlign w:val="center"/>
          </w:tcPr>
          <w:p>
            <w:pPr>
              <w:pStyle w:val="TableContents"/>
              <w:bidi w:val="0"/>
              <w:spacing w:before="0" w:after="283"/>
              <w:jc w:val="left"/>
              <w:rPr>
                <w:sz w:val="4"/>
                <w:szCs w:val="4"/>
              </w:rPr>
            </w:pPr>
            <w:r>
              <w:rPr>
                <w:sz w:val="4"/>
                <w:szCs w:val="4"/>
              </w:rPr>
            </w:r>
          </w:p>
        </w:tc>
      </w:tr>
      <w:tr>
        <w:trPr/>
        <w:tc>
          <w:tcPr>
            <w:tcW w:w="3950"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Total operating expenses</w:t>
            </w:r>
          </w:p>
        </w:tc>
        <w:tc>
          <w:tcPr>
            <w:tcW w:w="60" w:type="dxa"/>
            <w:tcBorders/>
            <w:shd w:fill="CCEEFF" w:val="clear"/>
            <w:vAlign w:val="center"/>
          </w:tcPr>
          <w:p>
            <w:pPr>
              <w:pStyle w:val="TableContents"/>
              <w:bidi w:val="0"/>
              <w:spacing w:before="0" w:after="0"/>
              <w:jc w:val="left"/>
              <w:rPr/>
            </w:pPr>
            <w:r>
              <w:rPr/>
              <w:t> </w:t>
            </w:r>
          </w:p>
        </w:tc>
        <w:tc>
          <w:tcPr>
            <w:tcW w:w="756"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213.3</w:t>
            </w:r>
          </w:p>
        </w:tc>
        <w:tc>
          <w:tcPr>
            <w:tcW w:w="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610"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237.0</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626"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347.6</w:t>
            </w:r>
          </w:p>
        </w:tc>
        <w:tc>
          <w:tcPr>
            <w:tcW w:w="2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1247"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18.6</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922"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816.5</w:t>
            </w:r>
          </w:p>
        </w:tc>
        <w:tc>
          <w:tcPr>
            <w:tcW w:w="58" w:type="dxa"/>
            <w:tcBorders/>
            <w:shd w:fill="CCEEFF" w:val="clear"/>
            <w:vAlign w:val="center"/>
          </w:tcPr>
          <w:p>
            <w:pPr>
              <w:pStyle w:val="TableContents"/>
              <w:bidi w:val="0"/>
              <w:spacing w:before="0" w:after="283"/>
              <w:jc w:val="left"/>
              <w:rPr>
                <w:sz w:val="4"/>
                <w:szCs w:val="4"/>
              </w:rPr>
            </w:pPr>
            <w:r>
              <w:rPr>
                <w:sz w:val="4"/>
                <w:szCs w:val="4"/>
              </w:rPr>
            </w:r>
          </w:p>
        </w:tc>
      </w:tr>
      <w:tr>
        <w:trPr/>
        <w:tc>
          <w:tcPr>
            <w:tcW w:w="3950" w:type="dxa"/>
            <w:tcBorders/>
            <w:vAlign w:val="center"/>
          </w:tcPr>
          <w:p>
            <w:pPr>
              <w:pStyle w:val="TableContents"/>
              <w:widowControl/>
              <w:bidi w:val="0"/>
              <w:spacing w:before="0" w:after="0"/>
              <w:ind w:left="0" w:right="0" w:hanging="0"/>
              <w:jc w:val="left"/>
              <w:rPr>
                <w:rFonts w:ascii="times new roman;times" w:hAnsi="times new roman;times"/>
                <w:sz w:val="20"/>
              </w:rPr>
            </w:pPr>
            <w:r>
              <w:rPr>
                <w:rFonts w:ascii="times new roman;times" w:hAnsi="times new roman;times"/>
                <w:sz w:val="20"/>
              </w:rPr>
              <w:t>Operating income</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(loss)</w:t>
            </w:r>
          </w:p>
        </w:tc>
        <w:tc>
          <w:tcPr>
            <w:tcW w:w="6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601"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69.1</w:t>
            </w:r>
          </w:p>
        </w:tc>
        <w:tc>
          <w:tcPr>
            <w:tcW w:w="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485"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26.8</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128"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498"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47.2</w:t>
            </w:r>
          </w:p>
        </w:tc>
        <w:tc>
          <w:tcPr>
            <w:tcW w:w="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972"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(20.5</w:t>
            </w:r>
          </w:p>
        </w:tc>
        <w:tc>
          <w:tcPr>
            <w:tcW w:w="211"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0"/>
              <w:jc w:val="left"/>
              <w:rPr/>
            </w:pPr>
            <w:r>
              <w:rPr/>
              <w:t> </w:t>
            </w:r>
          </w:p>
        </w:tc>
        <w:tc>
          <w:tcPr>
            <w:tcW w:w="189"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733"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122.6</w:t>
            </w:r>
          </w:p>
        </w:tc>
        <w:tc>
          <w:tcPr>
            <w:tcW w:w="58" w:type="dxa"/>
            <w:tcBorders/>
            <w:vAlign w:val="center"/>
          </w:tcPr>
          <w:p>
            <w:pPr>
              <w:pStyle w:val="TableContents"/>
              <w:bidi w:val="0"/>
              <w:spacing w:before="0" w:after="283"/>
              <w:jc w:val="left"/>
              <w:rPr>
                <w:sz w:val="4"/>
                <w:szCs w:val="4"/>
              </w:rPr>
            </w:pPr>
            <w:r>
              <w:rPr>
                <w:sz w:val="4"/>
                <w:szCs w:val="4"/>
              </w:rPr>
            </w:r>
          </w:p>
        </w:tc>
      </w:tr>
    </w:tbl>
    <w:p>
      <w:pPr>
        <w:pStyle w:val="TextBody"/>
        <w:widowControl/>
        <w:bidi w:val="0"/>
        <w:spacing w:lineRule="auto" w:line="264"/>
        <w:jc w:val="left"/>
        <w:rPr>
          <w:caps w:val="false"/>
          <w:smallCaps w:val="false"/>
          <w:color w:val="000000"/>
          <w:spacing w:val="0"/>
        </w:rPr>
      </w:pPr>
      <w:r>
        <w:rPr>
          <w:caps w:val="false"/>
          <w:smallCaps w:val="false"/>
          <w:color w:val="000000"/>
          <w:spacing w:val="0"/>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widowControl/>
        <w:bidi w:val="0"/>
        <w:spacing w:lineRule="auto" w:line="264" w:before="0" w:after="0"/>
        <w:ind w:left="0" w:right="0" w:hanging="0"/>
        <w:jc w:val="both"/>
        <w:rPr>
          <w:caps w:val="false"/>
          <w:smallCaps w:val="false"/>
          <w:color w:val="000000"/>
          <w:spacing w:val="0"/>
        </w:rPr>
      </w:pPr>
      <w:r>
        <w:rPr>
          <w:caps w:val="false"/>
          <w:smallCaps w:val="false"/>
          <w:color w:val="000000"/>
          <w:spacing w:val="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18</w:t>
            </w:r>
          </w:p>
        </w:tc>
      </w:tr>
    </w:tbl>
    <w:p>
      <w:pPr>
        <w:pStyle w:val="TextBody"/>
        <w:widowControl/>
        <w:bidi w:val="0"/>
        <w:spacing w:lineRule="auto" w:line="264" w:before="0" w:after="0"/>
        <w:jc w:val="both"/>
        <w:rPr>
          <w:caps w:val="false"/>
          <w:smallCaps w:val="false"/>
          <w:color w:val="000000"/>
          <w:spacing w:val="0"/>
        </w:rPr>
      </w:pPr>
      <w:r>
        <w:rPr>
          <w:caps w:val="false"/>
          <w:smallCaps w:val="false"/>
          <w:color w:val="000000"/>
          <w:spacing w:val="0"/>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widowControl/>
        <w:bidi w:val="0"/>
        <w:spacing w:lineRule="auto" w:line="264" w:before="0" w:after="0"/>
        <w:jc w:val="both"/>
        <w:rPr/>
      </w:pPr>
      <w:r>
        <w:rPr/>
      </w:r>
    </w:p>
    <w:p>
      <w:pPr>
        <w:pStyle w:val="TextBody"/>
        <w:widowControl/>
        <w:bidi w:val="0"/>
        <w:spacing w:lineRule="auto" w:line="264" w:before="0" w:after="0"/>
        <w:jc w:val="both"/>
        <w:rPr/>
      </w:pPr>
      <w:r>
        <w:rPr/>
      </w:r>
    </w:p>
    <w:p>
      <w:pPr>
        <w:pStyle w:val="TextBody"/>
        <w:widowControl/>
        <w:bidi w:val="0"/>
        <w:spacing w:lineRule="auto" w:line="264" w:before="0" w:after="0"/>
        <w:ind w:left="0" w:right="0" w:hanging="0"/>
        <w:jc w:val="both"/>
        <w:rPr>
          <w:sz w:val="20"/>
        </w:rPr>
      </w:pPr>
      <w:r>
        <w:rPr>
          <w:sz w:val="20"/>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widowControl/>
        <w:bidi w:val="0"/>
        <w:spacing w:lineRule="auto" w:line="264"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756" w:type="dxa"/>
        <w:jc w:val="left"/>
        <w:tblInd w:w="0" w:type="dxa"/>
        <w:tblLayout w:type="fixed"/>
        <w:tblCellMar>
          <w:top w:w="0" w:type="dxa"/>
          <w:left w:w="0" w:type="dxa"/>
          <w:bottom w:w="0" w:type="dxa"/>
          <w:right w:w="0" w:type="dxa"/>
        </w:tblCellMar>
      </w:tblPr>
      <w:tblGrid>
        <w:gridCol w:w="3950"/>
        <w:gridCol w:w="60"/>
        <w:gridCol w:w="155"/>
        <w:gridCol w:w="601"/>
        <w:gridCol w:w="29"/>
        <w:gridCol w:w="60"/>
        <w:gridCol w:w="125"/>
        <w:gridCol w:w="485"/>
        <w:gridCol w:w="23"/>
        <w:gridCol w:w="60"/>
        <w:gridCol w:w="128"/>
        <w:gridCol w:w="498"/>
        <w:gridCol w:w="24"/>
        <w:gridCol w:w="60"/>
        <w:gridCol w:w="275"/>
        <w:gridCol w:w="972"/>
        <w:gridCol w:w="211"/>
        <w:gridCol w:w="60"/>
        <w:gridCol w:w="153"/>
        <w:gridCol w:w="779"/>
        <w:gridCol w:w="48"/>
      </w:tblGrid>
      <w:tr>
        <w:trPr/>
        <w:tc>
          <w:tcPr>
            <w:tcW w:w="3950" w:type="dxa"/>
            <w:tcBorders/>
            <w:vAlign w:val="center"/>
          </w:tcPr>
          <w:p>
            <w:pPr>
              <w:pStyle w:val="TableContents"/>
              <w:bidi w:val="0"/>
              <w:spacing w:before="0" w:after="283"/>
              <w:jc w:val="left"/>
              <w:rPr>
                <w:sz w:val="4"/>
                <w:szCs w:val="4"/>
              </w:rPr>
            </w:pPr>
            <w:r>
              <w:rPr>
                <w:sz w:val="4"/>
                <w:szCs w:val="4"/>
              </w:rPr>
            </w:r>
          </w:p>
        </w:tc>
        <w:tc>
          <w:tcPr>
            <w:tcW w:w="4758" w:type="dxa"/>
            <w:gridSpan w:val="19"/>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For the Six Months Ended June 30, 2024</w:t>
            </w:r>
          </w:p>
        </w:tc>
        <w:tc>
          <w:tcPr>
            <w:tcW w:w="48" w:type="dxa"/>
            <w:tcBorders/>
          </w:tcPr>
          <w:p>
            <w:pPr>
              <w:pStyle w:val="TableContents"/>
              <w:bidi w:val="0"/>
              <w:spacing w:before="0" w:after="283"/>
              <w:jc w:val="left"/>
              <w:rPr>
                <w:sz w:val="4"/>
                <w:szCs w:val="4"/>
              </w:rPr>
            </w:pPr>
            <w:r>
              <w:rPr>
                <w:sz w:val="4"/>
                <w:szCs w:val="4"/>
              </w:rPr>
            </w:r>
          </w:p>
        </w:tc>
      </w:tr>
      <w:tr>
        <w:trPr/>
        <w:tc>
          <w:tcPr>
            <w:tcW w:w="3950" w:type="dxa"/>
            <w:tcBorders/>
            <w:vAlign w:val="center"/>
          </w:tcPr>
          <w:p>
            <w:pPr>
              <w:pStyle w:val="TableContents"/>
              <w:bidi w:val="0"/>
              <w:spacing w:before="0" w:after="0"/>
              <w:jc w:val="left"/>
              <w:rPr>
                <w:rFonts w:ascii="times new roman;times" w:hAnsi="times new roman;times"/>
                <w:sz w:val="16"/>
              </w:rPr>
            </w:pPr>
            <w:r>
              <w:rPr>
                <w:rFonts w:ascii="times new roman;times" w:hAnsi="times new roman;times"/>
                <w:sz w:val="16"/>
              </w:rPr>
              <w:t>(in millions)</w:t>
            </w:r>
          </w:p>
        </w:tc>
        <w:tc>
          <w:tcPr>
            <w:tcW w:w="60" w:type="dxa"/>
            <w:tcBorders/>
            <w:vAlign w:val="center"/>
          </w:tcPr>
          <w:p>
            <w:pPr>
              <w:pStyle w:val="TableContents"/>
              <w:bidi w:val="0"/>
              <w:spacing w:before="0" w:after="0"/>
              <w:jc w:val="left"/>
              <w:rPr/>
            </w:pPr>
            <w:r>
              <w:rPr/>
              <w:t> </w:t>
            </w:r>
          </w:p>
        </w:tc>
        <w:tc>
          <w:tcPr>
            <w:tcW w:w="785" w:type="dxa"/>
            <w:gridSpan w:val="3"/>
            <w:tcBorders/>
            <w:vAlign w:val="center"/>
          </w:tcPr>
          <w:p>
            <w:pPr>
              <w:pStyle w:val="TableContents"/>
              <w:bidi w:val="0"/>
              <w:spacing w:lineRule="auto" w:line="288" w:before="0" w:after="0"/>
              <w:jc w:val="center"/>
              <w:rPr>
                <w:rFonts w:ascii="times new roman;times" w:hAnsi="times new roman;times"/>
                <w:b/>
                <w:sz w:val="16"/>
              </w:rPr>
            </w:pPr>
            <w:r>
              <w:rPr>
                <w:rFonts w:ascii="times new roman;times" w:hAnsi="times new roman;times"/>
                <w:b/>
                <w:sz w:val="16"/>
              </w:rPr>
              <w:t>EFT</w:t>
            </w:r>
          </w:p>
          <w:p>
            <w:pPr>
              <w:pStyle w:val="TableContents"/>
              <w:bidi w:val="0"/>
              <w:spacing w:lineRule="auto" w:line="288" w:before="0" w:after="0"/>
              <w:jc w:val="center"/>
              <w:rPr>
                <w:rFonts w:ascii="times new roman;times" w:hAnsi="times new roman;times"/>
                <w:b/>
                <w:sz w:val="16"/>
              </w:rPr>
            </w:pPr>
            <w:r>
              <w:rPr>
                <w:rFonts w:ascii="times new roman;times" w:hAnsi="times new roman;times"/>
                <w:b/>
                <w:sz w:val="16"/>
              </w:rPr>
              <w:t>Processing</w:t>
            </w:r>
          </w:p>
        </w:tc>
        <w:tc>
          <w:tcPr>
            <w:tcW w:w="60" w:type="dxa"/>
            <w:tcBorders/>
            <w:vAlign w:val="center"/>
          </w:tcPr>
          <w:p>
            <w:pPr>
              <w:pStyle w:val="TableContents"/>
              <w:bidi w:val="0"/>
              <w:spacing w:before="0" w:after="0"/>
              <w:jc w:val="left"/>
              <w:rPr/>
            </w:pPr>
            <w:r>
              <w:rPr/>
              <w:t> </w:t>
            </w:r>
          </w:p>
        </w:tc>
        <w:tc>
          <w:tcPr>
            <w:tcW w:w="633" w:type="dxa"/>
            <w:gridSpan w:val="3"/>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epay</w:t>
            </w:r>
          </w:p>
        </w:tc>
        <w:tc>
          <w:tcPr>
            <w:tcW w:w="60" w:type="dxa"/>
            <w:tcBorders/>
            <w:vAlign w:val="center"/>
          </w:tcPr>
          <w:p>
            <w:pPr>
              <w:pStyle w:val="TableContents"/>
              <w:bidi w:val="0"/>
              <w:spacing w:before="0" w:after="0"/>
              <w:jc w:val="left"/>
              <w:rPr/>
            </w:pPr>
            <w:r>
              <w:rPr/>
              <w:t> </w:t>
            </w:r>
          </w:p>
        </w:tc>
        <w:tc>
          <w:tcPr>
            <w:tcW w:w="650" w:type="dxa"/>
            <w:gridSpan w:val="3"/>
            <w:tcBorders/>
            <w:vAlign w:val="center"/>
          </w:tcPr>
          <w:p>
            <w:pPr>
              <w:pStyle w:val="TableContents"/>
              <w:bidi w:val="0"/>
              <w:spacing w:lineRule="auto" w:line="288" w:before="0" w:after="0"/>
              <w:jc w:val="center"/>
              <w:rPr>
                <w:rFonts w:ascii="times new roman;times" w:hAnsi="times new roman;times"/>
                <w:b/>
                <w:sz w:val="16"/>
              </w:rPr>
            </w:pPr>
            <w:r>
              <w:rPr>
                <w:rFonts w:ascii="times new roman;times" w:hAnsi="times new roman;times"/>
                <w:b/>
                <w:sz w:val="16"/>
              </w:rPr>
              <w:t>Money</w:t>
            </w:r>
          </w:p>
          <w:p>
            <w:pPr>
              <w:pStyle w:val="TableContents"/>
              <w:bidi w:val="0"/>
              <w:spacing w:lineRule="auto" w:line="288" w:before="0" w:after="0"/>
              <w:jc w:val="center"/>
              <w:rPr>
                <w:rFonts w:ascii="times new roman;times" w:hAnsi="times new roman;times"/>
                <w:b/>
                <w:sz w:val="16"/>
              </w:rPr>
            </w:pPr>
            <w:r>
              <w:rPr>
                <w:rFonts w:ascii="times new roman;times" w:hAnsi="times new roman;times"/>
                <w:b/>
                <w:sz w:val="16"/>
              </w:rPr>
              <w:t>Transfer</w:t>
            </w:r>
          </w:p>
        </w:tc>
        <w:tc>
          <w:tcPr>
            <w:tcW w:w="60" w:type="dxa"/>
            <w:tcBorders/>
            <w:vAlign w:val="center"/>
          </w:tcPr>
          <w:p>
            <w:pPr>
              <w:pStyle w:val="TableContents"/>
              <w:bidi w:val="0"/>
              <w:spacing w:before="0" w:after="0"/>
              <w:jc w:val="left"/>
              <w:rPr/>
            </w:pPr>
            <w:r>
              <w:rPr/>
              <w:t> </w:t>
            </w:r>
          </w:p>
        </w:tc>
        <w:tc>
          <w:tcPr>
            <w:tcW w:w="1458" w:type="dxa"/>
            <w:gridSpan w:val="3"/>
            <w:tcBorders/>
            <w:vAlign w:val="center"/>
          </w:tcPr>
          <w:p>
            <w:pPr>
              <w:pStyle w:val="TableContents"/>
              <w:bidi w:val="0"/>
              <w:spacing w:lineRule="auto" w:line="288" w:before="0" w:after="0"/>
              <w:jc w:val="center"/>
              <w:rPr>
                <w:rFonts w:ascii="times new roman;times" w:hAnsi="times new roman;times"/>
                <w:b/>
                <w:sz w:val="16"/>
              </w:rPr>
            </w:pPr>
            <w:r>
              <w:rPr>
                <w:rFonts w:ascii="times new roman;times" w:hAnsi="times new roman;times"/>
                <w:b/>
                <w:sz w:val="16"/>
              </w:rPr>
              <w:t>Corporate Services,</w:t>
            </w:r>
          </w:p>
          <w:p>
            <w:pPr>
              <w:pStyle w:val="TableContents"/>
              <w:bidi w:val="0"/>
              <w:spacing w:lineRule="auto" w:line="288" w:before="0" w:after="0"/>
              <w:jc w:val="center"/>
              <w:rPr>
                <w:rFonts w:ascii="times new roman;times" w:hAnsi="times new roman;times"/>
                <w:b/>
                <w:sz w:val="16"/>
              </w:rPr>
            </w:pPr>
            <w:r>
              <w:rPr>
                <w:rFonts w:ascii="times new roman;times" w:hAnsi="times new roman;times"/>
                <w:b/>
                <w:sz w:val="16"/>
              </w:rPr>
              <w:t>Eliminations</w:t>
            </w:r>
          </w:p>
          <w:p>
            <w:pPr>
              <w:pStyle w:val="TableContents"/>
              <w:bidi w:val="0"/>
              <w:spacing w:lineRule="auto" w:line="288" w:before="0" w:after="0"/>
              <w:jc w:val="center"/>
              <w:rPr>
                <w:rFonts w:ascii="times new roman;times" w:hAnsi="times new roman;times"/>
                <w:b/>
                <w:sz w:val="16"/>
              </w:rPr>
            </w:pPr>
            <w:r>
              <w:rPr>
                <w:rFonts w:ascii="times new roman;times" w:hAnsi="times new roman;times"/>
                <w:b/>
                <w:sz w:val="16"/>
              </w:rPr>
              <w:t>and Other</w:t>
            </w:r>
          </w:p>
        </w:tc>
        <w:tc>
          <w:tcPr>
            <w:tcW w:w="60" w:type="dxa"/>
            <w:tcBorders/>
            <w:vAlign w:val="center"/>
          </w:tcPr>
          <w:p>
            <w:pPr>
              <w:pStyle w:val="TableContents"/>
              <w:bidi w:val="0"/>
              <w:spacing w:before="0" w:after="0"/>
              <w:jc w:val="left"/>
              <w:rPr/>
            </w:pPr>
            <w:r>
              <w:rPr/>
              <w:t> </w:t>
            </w:r>
          </w:p>
        </w:tc>
        <w:tc>
          <w:tcPr>
            <w:tcW w:w="980" w:type="dxa"/>
            <w:gridSpan w:val="3"/>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Consolidated</w:t>
            </w:r>
          </w:p>
        </w:tc>
      </w:tr>
      <w:tr>
        <w:trPr/>
        <w:tc>
          <w:tcPr>
            <w:tcW w:w="3950"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Total revenues</w:t>
            </w:r>
          </w:p>
        </w:tc>
        <w:tc>
          <w:tcPr>
            <w:tcW w:w="6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601" w:type="dxa"/>
            <w:tcBorders/>
            <w:shd w:fill="CCEEFF" w:val="clear"/>
            <w:vAlign w:val="center"/>
          </w:tcPr>
          <w:p>
            <w:pPr>
              <w:pStyle w:val="TableContents"/>
              <w:bidi w:val="0"/>
              <w:spacing w:before="0" w:after="0"/>
              <w:jc w:val="right"/>
              <w:rPr>
                <w:sz w:val="20"/>
              </w:rPr>
            </w:pPr>
            <w:r>
              <w:rPr>
                <w:sz w:val="20"/>
              </w:rPr>
              <w:t>522.6</w:t>
            </w:r>
          </w:p>
        </w:tc>
        <w:tc>
          <w:tcPr>
            <w:tcW w:w="29" w:type="dxa"/>
            <w:tcBorders>
              <w:top w:val="dashed" w:sz="2" w:space="0" w:color="BBBBBB"/>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125" w:type="dxa"/>
            <w:tcBorders>
              <w:top w:val="dashed" w:sz="2" w:space="0" w:color="BBBBBB"/>
            </w:tcBorders>
            <w:shd w:fill="CCEEFF" w:val="clear"/>
            <w:tcMar>
              <w:top w:w="28" w:type="dxa"/>
            </w:tcM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485" w:type="dxa"/>
            <w:tcBorders/>
            <w:shd w:fill="CCEEFF" w:val="clear"/>
            <w:vAlign w:val="center"/>
          </w:tcPr>
          <w:p>
            <w:pPr>
              <w:pStyle w:val="TableContents"/>
              <w:bidi w:val="0"/>
              <w:spacing w:before="0" w:after="0"/>
              <w:jc w:val="right"/>
              <w:rPr>
                <w:sz w:val="20"/>
              </w:rPr>
            </w:pPr>
            <w:r>
              <w:rPr>
                <w:sz w:val="20"/>
              </w:rPr>
              <w:t>518.0</w:t>
            </w:r>
          </w:p>
        </w:tc>
        <w:tc>
          <w:tcPr>
            <w:tcW w:w="23" w:type="dxa"/>
            <w:tcBorders>
              <w:top w:val="dashed" w:sz="2" w:space="0" w:color="BBBBBB"/>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128"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498" w:type="dxa"/>
            <w:tcBorders/>
            <w:shd w:fill="CCEEFF" w:val="clear"/>
            <w:vAlign w:val="center"/>
          </w:tcPr>
          <w:p>
            <w:pPr>
              <w:pStyle w:val="TableContents"/>
              <w:bidi w:val="0"/>
              <w:spacing w:before="0" w:after="0"/>
              <w:jc w:val="right"/>
              <w:rPr>
                <w:sz w:val="20"/>
              </w:rPr>
            </w:pPr>
            <w:r>
              <w:rPr>
                <w:sz w:val="20"/>
              </w:rPr>
              <w:t>806.4</w:t>
            </w:r>
          </w:p>
        </w:tc>
        <w:tc>
          <w:tcPr>
            <w:tcW w:w="2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275"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972" w:type="dxa"/>
            <w:tcBorders/>
            <w:shd w:fill="CCEEFF" w:val="clear"/>
            <w:vAlign w:val="center"/>
          </w:tcPr>
          <w:p>
            <w:pPr>
              <w:pStyle w:val="TableContents"/>
              <w:bidi w:val="0"/>
              <w:spacing w:before="0" w:after="0"/>
              <w:jc w:val="right"/>
              <w:rPr>
                <w:sz w:val="20"/>
              </w:rPr>
            </w:pPr>
            <w:r>
              <w:rPr>
                <w:sz w:val="20"/>
              </w:rPr>
              <w:t>(3.8</w:t>
            </w:r>
          </w:p>
        </w:tc>
        <w:tc>
          <w:tcPr>
            <w:tcW w:w="211"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0"/>
              <w:jc w:val="left"/>
              <w:rPr/>
            </w:pPr>
            <w:r>
              <w:rPr/>
              <w:t> </w:t>
            </w:r>
          </w:p>
        </w:tc>
        <w:tc>
          <w:tcPr>
            <w:tcW w:w="153"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779" w:type="dxa"/>
            <w:tcBorders/>
            <w:shd w:fill="CCEEFF" w:val="clear"/>
            <w:vAlign w:val="center"/>
          </w:tcPr>
          <w:p>
            <w:pPr>
              <w:pStyle w:val="TableContents"/>
              <w:bidi w:val="0"/>
              <w:spacing w:before="0" w:after="0"/>
              <w:jc w:val="right"/>
              <w:rPr>
                <w:sz w:val="20"/>
              </w:rPr>
            </w:pPr>
            <w:r>
              <w:rPr>
                <w:sz w:val="20"/>
              </w:rPr>
              <w:t>1,843.2</w:t>
            </w:r>
          </w:p>
        </w:tc>
        <w:tc>
          <w:tcPr>
            <w:tcW w:w="48" w:type="dxa"/>
            <w:tcBorders/>
            <w:shd w:fill="CCEEFF" w:val="clear"/>
            <w:vAlign w:val="center"/>
          </w:tcPr>
          <w:p>
            <w:pPr>
              <w:pStyle w:val="TableContents"/>
              <w:bidi w:val="0"/>
              <w:spacing w:before="0" w:after="283"/>
              <w:jc w:val="left"/>
              <w:rPr>
                <w:sz w:val="4"/>
                <w:szCs w:val="4"/>
              </w:rPr>
            </w:pPr>
            <w:r>
              <w:rPr>
                <w:sz w:val="4"/>
                <w:szCs w:val="4"/>
              </w:rPr>
            </w:r>
          </w:p>
        </w:tc>
      </w:tr>
      <w:tr>
        <w:trPr/>
        <w:tc>
          <w:tcPr>
            <w:tcW w:w="3950"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Operating expenses:</w:t>
            </w:r>
          </w:p>
        </w:tc>
        <w:tc>
          <w:tcPr>
            <w:tcW w:w="60" w:type="dxa"/>
            <w:tcBorders/>
            <w:vAlign w:val="center"/>
          </w:tcPr>
          <w:p>
            <w:pPr>
              <w:pStyle w:val="TableContents"/>
              <w:bidi w:val="0"/>
              <w:spacing w:before="0" w:after="0"/>
              <w:jc w:val="left"/>
              <w:rPr/>
            </w:pPr>
            <w:r>
              <w:rPr/>
              <w:t> </w:t>
            </w:r>
          </w:p>
        </w:tc>
        <w:tc>
          <w:tcPr>
            <w:tcW w:w="785" w:type="dxa"/>
            <w:gridSpan w:val="3"/>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33" w:type="dxa"/>
            <w:gridSpan w:val="3"/>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50" w:type="dxa"/>
            <w:gridSpan w:val="3"/>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458" w:type="dxa"/>
            <w:gridSpan w:val="3"/>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80" w:type="dxa"/>
            <w:gridSpan w:val="3"/>
            <w:tcBorders/>
            <w:vAlign w:val="center"/>
          </w:tcPr>
          <w:p>
            <w:pPr>
              <w:pStyle w:val="TableContents"/>
              <w:bidi w:val="0"/>
              <w:spacing w:before="0" w:after="0"/>
              <w:jc w:val="left"/>
              <w:rPr/>
            </w:pPr>
            <w:r>
              <w:rPr/>
              <w:t> </w:t>
            </w:r>
          </w:p>
        </w:tc>
      </w:tr>
      <w:tr>
        <w:trPr/>
        <w:tc>
          <w:tcPr>
            <w:tcW w:w="3950"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Direct operating costs, exclusive of depreciation</w:t>
            </w:r>
          </w:p>
        </w:tc>
        <w:tc>
          <w:tcPr>
            <w:tcW w:w="60" w:type="dxa"/>
            <w:tcBorders/>
            <w:shd w:fill="CCEEFF" w:val="clear"/>
            <w:vAlign w:val="center"/>
          </w:tcPr>
          <w:p>
            <w:pPr>
              <w:pStyle w:val="TableContents"/>
              <w:bidi w:val="0"/>
              <w:spacing w:before="0" w:after="0"/>
              <w:jc w:val="left"/>
              <w:rPr/>
            </w:pPr>
            <w:r>
              <w:rPr/>
              <w:t> </w:t>
            </w:r>
          </w:p>
        </w:tc>
        <w:tc>
          <w:tcPr>
            <w:tcW w:w="756"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283.6</w:t>
            </w:r>
          </w:p>
        </w:tc>
        <w:tc>
          <w:tcPr>
            <w:tcW w:w="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610" w:type="dxa"/>
            <w:gridSpan w:val="2"/>
            <w:tcBorders/>
            <w:shd w:fill="CCEEFF" w:val="clear"/>
            <w:vAlign w:val="center"/>
          </w:tcPr>
          <w:p>
            <w:pPr>
              <w:pStyle w:val="TableContents"/>
              <w:bidi w:val="0"/>
              <w:spacing w:before="0" w:after="0"/>
              <w:jc w:val="right"/>
              <w:rPr>
                <w:sz w:val="20"/>
              </w:rPr>
            </w:pPr>
            <w:r>
              <w:rPr>
                <w:sz w:val="20"/>
              </w:rPr>
              <w:t>393.6</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626" w:type="dxa"/>
            <w:gridSpan w:val="2"/>
            <w:tcBorders/>
            <w:shd w:fill="CCEEFF" w:val="clear"/>
            <w:vAlign w:val="center"/>
          </w:tcPr>
          <w:p>
            <w:pPr>
              <w:pStyle w:val="TableContents"/>
              <w:bidi w:val="0"/>
              <w:spacing w:before="0" w:after="0"/>
              <w:jc w:val="right"/>
              <w:rPr>
                <w:sz w:val="20"/>
              </w:rPr>
            </w:pPr>
            <w:r>
              <w:rPr>
                <w:sz w:val="20"/>
              </w:rPr>
              <w:t>441.1</w:t>
            </w:r>
          </w:p>
        </w:tc>
        <w:tc>
          <w:tcPr>
            <w:tcW w:w="2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1247" w:type="dxa"/>
            <w:gridSpan w:val="2"/>
            <w:tcBorders/>
            <w:shd w:fill="CCEEFF" w:val="clear"/>
            <w:vAlign w:val="center"/>
          </w:tcPr>
          <w:p>
            <w:pPr>
              <w:pStyle w:val="TableContents"/>
              <w:bidi w:val="0"/>
              <w:spacing w:before="0" w:after="0"/>
              <w:jc w:val="right"/>
              <w:rPr>
                <w:sz w:val="20"/>
              </w:rPr>
            </w:pPr>
            <w:r>
              <w:rPr>
                <w:sz w:val="20"/>
              </w:rPr>
              <w:t>(3.8</w:t>
            </w:r>
          </w:p>
        </w:tc>
        <w:tc>
          <w:tcPr>
            <w:tcW w:w="211"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0"/>
              <w:jc w:val="left"/>
              <w:rPr/>
            </w:pPr>
            <w:r>
              <w:rPr/>
              <w:t> </w:t>
            </w:r>
          </w:p>
        </w:tc>
        <w:tc>
          <w:tcPr>
            <w:tcW w:w="932" w:type="dxa"/>
            <w:gridSpan w:val="2"/>
            <w:tcBorders/>
            <w:shd w:fill="CCEEFF" w:val="clear"/>
            <w:vAlign w:val="center"/>
          </w:tcPr>
          <w:p>
            <w:pPr>
              <w:pStyle w:val="TableContents"/>
              <w:bidi w:val="0"/>
              <w:spacing w:before="0" w:after="0"/>
              <w:jc w:val="right"/>
              <w:rPr>
                <w:sz w:val="20"/>
              </w:rPr>
            </w:pPr>
            <w:r>
              <w:rPr>
                <w:sz w:val="20"/>
              </w:rPr>
              <w:t>1,114.5</w:t>
            </w:r>
          </w:p>
        </w:tc>
        <w:tc>
          <w:tcPr>
            <w:tcW w:w="48" w:type="dxa"/>
            <w:tcBorders/>
            <w:shd w:fill="CCEEFF" w:val="clear"/>
            <w:vAlign w:val="center"/>
          </w:tcPr>
          <w:p>
            <w:pPr>
              <w:pStyle w:val="TableContents"/>
              <w:bidi w:val="0"/>
              <w:spacing w:before="0" w:after="283"/>
              <w:jc w:val="left"/>
              <w:rPr>
                <w:sz w:val="4"/>
                <w:szCs w:val="4"/>
              </w:rPr>
            </w:pPr>
            <w:r>
              <w:rPr>
                <w:sz w:val="4"/>
                <w:szCs w:val="4"/>
              </w:rPr>
            </w:r>
          </w:p>
        </w:tc>
      </w:tr>
      <w:tr>
        <w:trPr/>
        <w:tc>
          <w:tcPr>
            <w:tcW w:w="3950"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Salaries and benefits</w:t>
            </w:r>
          </w:p>
        </w:tc>
        <w:tc>
          <w:tcPr>
            <w:tcW w:w="60" w:type="dxa"/>
            <w:tcBorders/>
            <w:vAlign w:val="center"/>
          </w:tcPr>
          <w:p>
            <w:pPr>
              <w:pStyle w:val="TableContents"/>
              <w:bidi w:val="0"/>
              <w:spacing w:before="0" w:after="0"/>
              <w:jc w:val="left"/>
              <w:rPr/>
            </w:pPr>
            <w:r>
              <w:rPr/>
              <w:t> </w:t>
            </w:r>
          </w:p>
        </w:tc>
        <w:tc>
          <w:tcPr>
            <w:tcW w:w="756" w:type="dxa"/>
            <w:gridSpan w:val="2"/>
            <w:tcBorders/>
            <w:vAlign w:val="center"/>
          </w:tcPr>
          <w:p>
            <w:pPr>
              <w:pStyle w:val="TableContents"/>
              <w:bidi w:val="0"/>
              <w:spacing w:before="0" w:after="0"/>
              <w:jc w:val="right"/>
              <w:rPr>
                <w:sz w:val="20"/>
              </w:rPr>
            </w:pPr>
            <w:r>
              <w:rPr>
                <w:sz w:val="20"/>
              </w:rPr>
              <w:t>66.2</w:t>
            </w:r>
          </w:p>
        </w:tc>
        <w:tc>
          <w:tcPr>
            <w:tcW w:w="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610" w:type="dxa"/>
            <w:gridSpan w:val="2"/>
            <w:tcBorders/>
            <w:vAlign w:val="center"/>
          </w:tcPr>
          <w:p>
            <w:pPr>
              <w:pStyle w:val="TableContents"/>
              <w:bidi w:val="0"/>
              <w:spacing w:before="0" w:after="0"/>
              <w:jc w:val="right"/>
              <w:rPr>
                <w:sz w:val="20"/>
              </w:rPr>
            </w:pPr>
            <w:r>
              <w:rPr>
                <w:sz w:val="20"/>
              </w:rPr>
              <w:t>49.2</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626" w:type="dxa"/>
            <w:gridSpan w:val="2"/>
            <w:tcBorders/>
            <w:vAlign w:val="center"/>
          </w:tcPr>
          <w:p>
            <w:pPr>
              <w:pStyle w:val="TableContents"/>
              <w:bidi w:val="0"/>
              <w:spacing w:before="0" w:after="0"/>
              <w:jc w:val="right"/>
              <w:rPr>
                <w:sz w:val="20"/>
              </w:rPr>
            </w:pPr>
            <w:r>
              <w:rPr>
                <w:sz w:val="20"/>
              </w:rPr>
              <w:t>163.4</w:t>
            </w:r>
          </w:p>
        </w:tc>
        <w:tc>
          <w:tcPr>
            <w:tcW w:w="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1247" w:type="dxa"/>
            <w:gridSpan w:val="2"/>
            <w:tcBorders/>
            <w:vAlign w:val="center"/>
          </w:tcPr>
          <w:p>
            <w:pPr>
              <w:pStyle w:val="TableContents"/>
              <w:bidi w:val="0"/>
              <w:spacing w:before="0" w:after="0"/>
              <w:jc w:val="right"/>
              <w:rPr>
                <w:sz w:val="20"/>
              </w:rPr>
            </w:pPr>
            <w:r>
              <w:rPr>
                <w:sz w:val="20"/>
              </w:rPr>
              <w:t>33.9</w:t>
            </w:r>
          </w:p>
        </w:tc>
        <w:tc>
          <w:tcPr>
            <w:tcW w:w="2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932" w:type="dxa"/>
            <w:gridSpan w:val="2"/>
            <w:tcBorders/>
            <w:vAlign w:val="center"/>
          </w:tcPr>
          <w:p>
            <w:pPr>
              <w:pStyle w:val="TableContents"/>
              <w:bidi w:val="0"/>
              <w:spacing w:before="0" w:after="0"/>
              <w:jc w:val="right"/>
              <w:rPr>
                <w:sz w:val="20"/>
              </w:rPr>
            </w:pPr>
            <w:r>
              <w:rPr>
                <w:sz w:val="20"/>
              </w:rPr>
              <w:t>312.7</w:t>
            </w:r>
          </w:p>
        </w:tc>
        <w:tc>
          <w:tcPr>
            <w:tcW w:w="48" w:type="dxa"/>
            <w:tcBorders/>
            <w:vAlign w:val="center"/>
          </w:tcPr>
          <w:p>
            <w:pPr>
              <w:pStyle w:val="TableContents"/>
              <w:bidi w:val="0"/>
              <w:spacing w:before="0" w:after="283"/>
              <w:jc w:val="left"/>
              <w:rPr>
                <w:sz w:val="4"/>
                <w:szCs w:val="4"/>
              </w:rPr>
            </w:pPr>
            <w:r>
              <w:rPr>
                <w:sz w:val="4"/>
                <w:szCs w:val="4"/>
              </w:rPr>
            </w:r>
          </w:p>
        </w:tc>
      </w:tr>
      <w:tr>
        <w:trPr/>
        <w:tc>
          <w:tcPr>
            <w:tcW w:w="3950"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Selling, general and administrative</w:t>
            </w:r>
          </w:p>
        </w:tc>
        <w:tc>
          <w:tcPr>
            <w:tcW w:w="60" w:type="dxa"/>
            <w:tcBorders/>
            <w:shd w:fill="CCEEFF" w:val="clear"/>
            <w:vAlign w:val="center"/>
          </w:tcPr>
          <w:p>
            <w:pPr>
              <w:pStyle w:val="TableContents"/>
              <w:bidi w:val="0"/>
              <w:spacing w:before="0" w:after="0"/>
              <w:jc w:val="left"/>
              <w:rPr/>
            </w:pPr>
            <w:r>
              <w:rPr/>
              <w:t> </w:t>
            </w:r>
          </w:p>
        </w:tc>
        <w:tc>
          <w:tcPr>
            <w:tcW w:w="756" w:type="dxa"/>
            <w:gridSpan w:val="2"/>
            <w:tcBorders/>
            <w:shd w:fill="CCEEFF" w:val="clear"/>
            <w:vAlign w:val="center"/>
          </w:tcPr>
          <w:p>
            <w:pPr>
              <w:pStyle w:val="TableContents"/>
              <w:bidi w:val="0"/>
              <w:spacing w:before="0" w:after="0"/>
              <w:jc w:val="right"/>
              <w:rPr>
                <w:sz w:val="20"/>
              </w:rPr>
            </w:pPr>
            <w:r>
              <w:rPr>
                <w:sz w:val="20"/>
              </w:rPr>
              <w:t>22.7</w:t>
            </w:r>
          </w:p>
        </w:tc>
        <w:tc>
          <w:tcPr>
            <w:tcW w:w="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610" w:type="dxa"/>
            <w:gridSpan w:val="2"/>
            <w:tcBorders/>
            <w:shd w:fill="CCEEFF" w:val="clear"/>
            <w:vAlign w:val="center"/>
          </w:tcPr>
          <w:p>
            <w:pPr>
              <w:pStyle w:val="TableContents"/>
              <w:bidi w:val="0"/>
              <w:spacing w:before="0" w:after="0"/>
              <w:jc w:val="right"/>
              <w:rPr>
                <w:sz w:val="20"/>
              </w:rPr>
            </w:pPr>
            <w:r>
              <w:rPr>
                <w:sz w:val="20"/>
              </w:rPr>
              <w:t>18.9</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626"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103.4</w:t>
            </w:r>
          </w:p>
        </w:tc>
        <w:tc>
          <w:tcPr>
            <w:tcW w:w="2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1247" w:type="dxa"/>
            <w:gridSpan w:val="2"/>
            <w:tcBorders/>
            <w:shd w:fill="CCEEFF" w:val="clear"/>
            <w:vAlign w:val="center"/>
          </w:tcPr>
          <w:p>
            <w:pPr>
              <w:pStyle w:val="TableContents"/>
              <w:bidi w:val="0"/>
              <w:spacing w:before="0" w:after="0"/>
              <w:jc w:val="right"/>
              <w:rPr>
                <w:sz w:val="20"/>
              </w:rPr>
            </w:pPr>
            <w:r>
              <w:rPr>
                <w:sz w:val="20"/>
              </w:rPr>
              <w:t>6.3</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932" w:type="dxa"/>
            <w:gridSpan w:val="2"/>
            <w:tcBorders/>
            <w:shd w:fill="CCEEFF" w:val="clear"/>
            <w:vAlign w:val="center"/>
          </w:tcPr>
          <w:p>
            <w:pPr>
              <w:pStyle w:val="TableContents"/>
              <w:bidi w:val="0"/>
              <w:spacing w:before="0" w:after="0"/>
              <w:jc w:val="right"/>
              <w:rPr>
                <w:sz w:val="20"/>
              </w:rPr>
            </w:pPr>
            <w:r>
              <w:rPr>
                <w:sz w:val="20"/>
              </w:rPr>
              <w:t>151.3</w:t>
            </w:r>
          </w:p>
        </w:tc>
        <w:tc>
          <w:tcPr>
            <w:tcW w:w="48" w:type="dxa"/>
            <w:tcBorders/>
            <w:shd w:fill="CCEEFF" w:val="clear"/>
            <w:vAlign w:val="center"/>
          </w:tcPr>
          <w:p>
            <w:pPr>
              <w:pStyle w:val="TableContents"/>
              <w:bidi w:val="0"/>
              <w:spacing w:before="0" w:after="283"/>
              <w:jc w:val="left"/>
              <w:rPr>
                <w:sz w:val="4"/>
                <w:szCs w:val="4"/>
              </w:rPr>
            </w:pPr>
            <w:r>
              <w:rPr>
                <w:sz w:val="4"/>
                <w:szCs w:val="4"/>
              </w:rPr>
            </w:r>
          </w:p>
        </w:tc>
      </w:tr>
      <w:tr>
        <w:trPr/>
        <w:tc>
          <w:tcPr>
            <w:tcW w:w="3950"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Depreciation and amortization</w:t>
            </w:r>
          </w:p>
        </w:tc>
        <w:tc>
          <w:tcPr>
            <w:tcW w:w="60" w:type="dxa"/>
            <w:tcBorders/>
            <w:vAlign w:val="center"/>
          </w:tcPr>
          <w:p>
            <w:pPr>
              <w:pStyle w:val="TableContents"/>
              <w:bidi w:val="0"/>
              <w:spacing w:before="0" w:after="0"/>
              <w:jc w:val="left"/>
              <w:rPr/>
            </w:pPr>
            <w:r>
              <w:rPr/>
              <w:t> </w:t>
            </w:r>
          </w:p>
        </w:tc>
        <w:tc>
          <w:tcPr>
            <w:tcW w:w="756" w:type="dxa"/>
            <w:gridSpan w:val="2"/>
            <w:tcBorders/>
            <w:vAlign w:val="center"/>
          </w:tcPr>
          <w:p>
            <w:pPr>
              <w:pStyle w:val="TableContents"/>
              <w:bidi w:val="0"/>
              <w:spacing w:before="0" w:after="0"/>
              <w:jc w:val="right"/>
              <w:rPr>
                <w:sz w:val="20"/>
              </w:rPr>
            </w:pPr>
            <w:r>
              <w:rPr>
                <w:sz w:val="20"/>
              </w:rPr>
              <w:t>48.7</w:t>
            </w:r>
          </w:p>
        </w:tc>
        <w:tc>
          <w:tcPr>
            <w:tcW w:w="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610" w:type="dxa"/>
            <w:gridSpan w:val="2"/>
            <w:tcBorders/>
            <w:vAlign w:val="center"/>
          </w:tcPr>
          <w:p>
            <w:pPr>
              <w:pStyle w:val="TableContents"/>
              <w:bidi w:val="0"/>
              <w:spacing w:before="0" w:after="0"/>
              <w:jc w:val="right"/>
              <w:rPr>
                <w:sz w:val="20"/>
              </w:rPr>
            </w:pPr>
            <w:r>
              <w:rPr>
                <w:sz w:val="20"/>
              </w:rPr>
              <w:t>3.5</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626"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14.0</w:t>
            </w:r>
          </w:p>
        </w:tc>
        <w:tc>
          <w:tcPr>
            <w:tcW w:w="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1247"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0.2</w:t>
            </w:r>
          </w:p>
        </w:tc>
        <w:tc>
          <w:tcPr>
            <w:tcW w:w="2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932"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66.4</w:t>
            </w:r>
          </w:p>
        </w:tc>
        <w:tc>
          <w:tcPr>
            <w:tcW w:w="48" w:type="dxa"/>
            <w:tcBorders/>
            <w:vAlign w:val="center"/>
          </w:tcPr>
          <w:p>
            <w:pPr>
              <w:pStyle w:val="TableContents"/>
              <w:bidi w:val="0"/>
              <w:spacing w:before="0" w:after="283"/>
              <w:jc w:val="left"/>
              <w:rPr>
                <w:sz w:val="4"/>
                <w:szCs w:val="4"/>
              </w:rPr>
            </w:pPr>
            <w:r>
              <w:rPr>
                <w:sz w:val="4"/>
                <w:szCs w:val="4"/>
              </w:rPr>
            </w:r>
          </w:p>
        </w:tc>
      </w:tr>
      <w:tr>
        <w:trPr/>
        <w:tc>
          <w:tcPr>
            <w:tcW w:w="3950"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Total operating expenses</w:t>
            </w:r>
          </w:p>
        </w:tc>
        <w:tc>
          <w:tcPr>
            <w:tcW w:w="60" w:type="dxa"/>
            <w:tcBorders/>
            <w:shd w:fill="CCEEFF" w:val="clear"/>
            <w:vAlign w:val="center"/>
          </w:tcPr>
          <w:p>
            <w:pPr>
              <w:pStyle w:val="TableContents"/>
              <w:bidi w:val="0"/>
              <w:spacing w:before="0" w:after="0"/>
              <w:jc w:val="left"/>
              <w:rPr/>
            </w:pPr>
            <w:r>
              <w:rPr/>
              <w:t> </w:t>
            </w:r>
          </w:p>
        </w:tc>
        <w:tc>
          <w:tcPr>
            <w:tcW w:w="756" w:type="dxa"/>
            <w:gridSpan w:val="2"/>
            <w:tcBorders/>
            <w:shd w:fill="CCEEFF" w:val="clear"/>
            <w:vAlign w:val="center"/>
          </w:tcPr>
          <w:p>
            <w:pPr>
              <w:pStyle w:val="TableContents"/>
              <w:bidi w:val="0"/>
              <w:spacing w:before="0" w:after="0"/>
              <w:jc w:val="right"/>
              <w:rPr>
                <w:sz w:val="20"/>
              </w:rPr>
            </w:pPr>
            <w:r>
              <w:rPr>
                <w:sz w:val="20"/>
              </w:rPr>
              <w:t>421.2</w:t>
            </w:r>
          </w:p>
        </w:tc>
        <w:tc>
          <w:tcPr>
            <w:tcW w:w="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610"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465.2</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626"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721.9</w:t>
            </w:r>
          </w:p>
        </w:tc>
        <w:tc>
          <w:tcPr>
            <w:tcW w:w="2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1247"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36.6</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932"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1,644.9</w:t>
            </w:r>
          </w:p>
        </w:tc>
        <w:tc>
          <w:tcPr>
            <w:tcW w:w="48" w:type="dxa"/>
            <w:tcBorders/>
            <w:shd w:fill="CCEEFF" w:val="clear"/>
            <w:vAlign w:val="center"/>
          </w:tcPr>
          <w:p>
            <w:pPr>
              <w:pStyle w:val="TableContents"/>
              <w:bidi w:val="0"/>
              <w:spacing w:before="0" w:after="283"/>
              <w:jc w:val="left"/>
              <w:rPr>
                <w:sz w:val="4"/>
                <w:szCs w:val="4"/>
              </w:rPr>
            </w:pPr>
            <w:r>
              <w:rPr>
                <w:sz w:val="4"/>
                <w:szCs w:val="4"/>
              </w:rPr>
            </w:r>
          </w:p>
        </w:tc>
      </w:tr>
      <w:tr>
        <w:trPr/>
        <w:tc>
          <w:tcPr>
            <w:tcW w:w="3950" w:type="dxa"/>
            <w:tcBorders/>
            <w:vAlign w:val="center"/>
          </w:tcPr>
          <w:p>
            <w:pPr>
              <w:pStyle w:val="TableContents"/>
              <w:widowControl/>
              <w:bidi w:val="0"/>
              <w:spacing w:before="0" w:after="0"/>
              <w:ind w:left="0" w:right="0" w:hanging="0"/>
              <w:jc w:val="left"/>
              <w:rPr>
                <w:rFonts w:ascii="times new roman;times" w:hAnsi="times new roman;times"/>
                <w:sz w:val="20"/>
              </w:rPr>
            </w:pPr>
            <w:r>
              <w:rPr>
                <w:rFonts w:ascii="times new roman;times" w:hAnsi="times new roman;times"/>
                <w:sz w:val="20"/>
              </w:rPr>
              <w:t>Operating income </w:t>
            </w:r>
            <w:r>
              <w:rPr>
                <w:rFonts w:ascii="times new roman;times" w:hAnsi="times new roman;times"/>
                <w:b w:val="false"/>
                <w:i w:val="false"/>
                <w:caps w:val="false"/>
                <w:smallCaps w:val="false"/>
                <w:color w:val="000000"/>
                <w:spacing w:val="0"/>
                <w:sz w:val="20"/>
              </w:rPr>
              <w:t>(loss) </w:t>
            </w:r>
          </w:p>
        </w:tc>
        <w:tc>
          <w:tcPr>
            <w:tcW w:w="6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601" w:type="dxa"/>
            <w:tcBorders/>
            <w:vAlign w:val="center"/>
          </w:tcPr>
          <w:p>
            <w:pPr>
              <w:pStyle w:val="TableContents"/>
              <w:bidi w:val="0"/>
              <w:spacing w:before="0" w:after="0"/>
              <w:jc w:val="right"/>
              <w:rPr>
                <w:sz w:val="20"/>
              </w:rPr>
            </w:pPr>
            <w:r>
              <w:rPr>
                <w:sz w:val="20"/>
              </w:rPr>
              <w:t>101.4</w:t>
            </w:r>
          </w:p>
        </w:tc>
        <w:tc>
          <w:tcPr>
            <w:tcW w:w="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485" w:type="dxa"/>
            <w:tcBorders/>
            <w:vAlign w:val="center"/>
          </w:tcPr>
          <w:p>
            <w:pPr>
              <w:pStyle w:val="TableContents"/>
              <w:bidi w:val="0"/>
              <w:spacing w:before="0" w:after="0"/>
              <w:jc w:val="right"/>
              <w:rPr>
                <w:sz w:val="20"/>
              </w:rPr>
            </w:pPr>
            <w:r>
              <w:rPr>
                <w:sz w:val="20"/>
              </w:rPr>
              <w:t>52.8</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128"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498" w:type="dxa"/>
            <w:tcBorders/>
            <w:vAlign w:val="center"/>
          </w:tcPr>
          <w:p>
            <w:pPr>
              <w:pStyle w:val="TableContents"/>
              <w:bidi w:val="0"/>
              <w:spacing w:before="0" w:after="0"/>
              <w:jc w:val="right"/>
              <w:rPr>
                <w:sz w:val="20"/>
              </w:rPr>
            </w:pPr>
            <w:r>
              <w:rPr>
                <w:sz w:val="20"/>
              </w:rPr>
              <w:t>84.5</w:t>
            </w:r>
          </w:p>
        </w:tc>
        <w:tc>
          <w:tcPr>
            <w:tcW w:w="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972"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(40.4</w:t>
            </w:r>
          </w:p>
        </w:tc>
        <w:tc>
          <w:tcPr>
            <w:tcW w:w="211"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0"/>
              <w:jc w:val="left"/>
              <w:rPr/>
            </w:pPr>
            <w:r>
              <w:rPr/>
              <w:t> </w:t>
            </w:r>
          </w:p>
        </w:tc>
        <w:tc>
          <w:tcPr>
            <w:tcW w:w="153"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779" w:type="dxa"/>
            <w:tcBorders/>
            <w:vAlign w:val="center"/>
          </w:tcPr>
          <w:p>
            <w:pPr>
              <w:pStyle w:val="TableContents"/>
              <w:bidi w:val="0"/>
              <w:spacing w:before="0" w:after="0"/>
              <w:jc w:val="right"/>
              <w:rPr>
                <w:sz w:val="20"/>
              </w:rPr>
            </w:pPr>
            <w:r>
              <w:rPr>
                <w:sz w:val="20"/>
              </w:rPr>
              <w:t>198.3</w:t>
            </w:r>
          </w:p>
        </w:tc>
        <w:tc>
          <w:tcPr>
            <w:tcW w:w="48" w:type="dxa"/>
            <w:tcBorders/>
            <w:vAlign w:val="center"/>
          </w:tcPr>
          <w:p>
            <w:pPr>
              <w:pStyle w:val="TableContents"/>
              <w:bidi w:val="0"/>
              <w:spacing w:before="0" w:after="283"/>
              <w:jc w:val="left"/>
              <w:rPr>
                <w:sz w:val="4"/>
                <w:szCs w:val="4"/>
              </w:rPr>
            </w:pPr>
            <w:r>
              <w:rPr>
                <w:sz w:val="4"/>
                <w:szCs w:val="4"/>
              </w:rPr>
            </w:r>
          </w:p>
        </w:tc>
      </w:tr>
    </w:tbl>
    <w:p>
      <w:pPr>
        <w:pStyle w:val="TextBody"/>
        <w:widowControl/>
        <w:bidi w:val="0"/>
        <w:spacing w:lineRule="atLeast" w:line="240"/>
        <w:jc w:val="left"/>
        <w:rPr>
          <w:rFonts w:ascii="Times New Roman" w:hAnsi="Times New Roman" w:eastAsia="Times New Roman" w:cs="Times New Roman"/>
          <w:b w:val="false"/>
          <w:b w:val="false"/>
          <w:bCs w:val="false"/>
          <w:i w:val="false"/>
          <w:i w:val="false"/>
          <w:iCs w:val="false"/>
          <w:caps w:val="false"/>
          <w:smallCaps w:val="false"/>
          <w:color w:val="000000"/>
          <w:spacing w:val="0"/>
          <w:sz w:val="20"/>
          <w:szCs w:val="20"/>
        </w:rPr>
      </w:pPr>
      <w:r>
        <w:rPr>
          <w:rFonts w:eastAsia="Times New Roman" w:cs="Times New Roman" w:ascii="Times New Roman" w:hAnsi="Times New Roman"/>
          <w:b w:val="false"/>
          <w:bCs w:val="false"/>
          <w:i w:val="false"/>
          <w:iCs w:val="false"/>
          <w:caps w:val="false"/>
          <w:smallCaps w:val="false"/>
          <w:color w:val="000000"/>
          <w:spacing w:val="0"/>
          <w:sz w:val="20"/>
          <w:szCs w:val="20"/>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widowControl/>
        <w:bidi w:val="0"/>
        <w:spacing w:lineRule="atLeast" w:line="240"/>
        <w:ind w:left="0" w:right="0" w:hanging="0"/>
        <w:jc w:val="left"/>
        <w:rPr>
          <w:caps w:val="false"/>
          <w:smallCaps w:val="false"/>
          <w:color w:val="000000"/>
          <w:spacing w:val="0"/>
        </w:rPr>
      </w:pPr>
      <w:r>
        <w:rPr>
          <w:caps w:val="false"/>
          <w:smallCaps w:val="false"/>
          <w:color w:val="000000"/>
          <w:spacing w:val="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widowControl/>
        <w:bidi w:val="0"/>
        <w:spacing w:lineRule="auto" w:line="264"/>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756" w:type="dxa"/>
        <w:jc w:val="left"/>
        <w:tblInd w:w="0" w:type="dxa"/>
        <w:tblLayout w:type="fixed"/>
        <w:tblCellMar>
          <w:top w:w="0" w:type="dxa"/>
          <w:left w:w="0" w:type="dxa"/>
          <w:bottom w:w="0" w:type="dxa"/>
          <w:right w:w="0" w:type="dxa"/>
        </w:tblCellMar>
      </w:tblPr>
      <w:tblGrid>
        <w:gridCol w:w="3950"/>
        <w:gridCol w:w="60"/>
        <w:gridCol w:w="155"/>
        <w:gridCol w:w="601"/>
        <w:gridCol w:w="29"/>
        <w:gridCol w:w="60"/>
        <w:gridCol w:w="125"/>
        <w:gridCol w:w="485"/>
        <w:gridCol w:w="23"/>
        <w:gridCol w:w="60"/>
        <w:gridCol w:w="128"/>
        <w:gridCol w:w="498"/>
        <w:gridCol w:w="24"/>
        <w:gridCol w:w="60"/>
        <w:gridCol w:w="275"/>
        <w:gridCol w:w="972"/>
        <w:gridCol w:w="211"/>
        <w:gridCol w:w="60"/>
        <w:gridCol w:w="153"/>
        <w:gridCol w:w="779"/>
        <w:gridCol w:w="48"/>
      </w:tblGrid>
      <w:tr>
        <w:trPr/>
        <w:tc>
          <w:tcPr>
            <w:tcW w:w="395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4746" w:type="dxa"/>
            <w:gridSpan w:val="19"/>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For the Six Months Ended June 30, 2023</w:t>
            </w:r>
          </w:p>
        </w:tc>
      </w:tr>
      <w:tr>
        <w:trPr/>
        <w:tc>
          <w:tcPr>
            <w:tcW w:w="3950" w:type="dxa"/>
            <w:tcBorders/>
            <w:vAlign w:val="center"/>
          </w:tcPr>
          <w:p>
            <w:pPr>
              <w:pStyle w:val="TableContents"/>
              <w:bidi w:val="0"/>
              <w:spacing w:before="0" w:after="0"/>
              <w:jc w:val="left"/>
              <w:rPr>
                <w:rFonts w:ascii="times new roman;times" w:hAnsi="times new roman;times"/>
                <w:sz w:val="16"/>
              </w:rPr>
            </w:pPr>
            <w:r>
              <w:rPr>
                <w:rFonts w:ascii="times new roman;times" w:hAnsi="times new roman;times"/>
                <w:sz w:val="16"/>
              </w:rPr>
              <w:t>(in millions)</w:t>
            </w:r>
          </w:p>
        </w:tc>
        <w:tc>
          <w:tcPr>
            <w:tcW w:w="60" w:type="dxa"/>
            <w:tcBorders/>
            <w:vAlign w:val="center"/>
          </w:tcPr>
          <w:p>
            <w:pPr>
              <w:pStyle w:val="TableContents"/>
              <w:bidi w:val="0"/>
              <w:spacing w:before="0" w:after="0"/>
              <w:jc w:val="left"/>
              <w:rPr/>
            </w:pPr>
            <w:r>
              <w:rPr/>
              <w:t> </w:t>
            </w:r>
          </w:p>
        </w:tc>
        <w:tc>
          <w:tcPr>
            <w:tcW w:w="785" w:type="dxa"/>
            <w:gridSpan w:val="3"/>
            <w:tcBorders/>
            <w:vAlign w:val="center"/>
          </w:tcPr>
          <w:p>
            <w:pPr>
              <w:pStyle w:val="TableContents"/>
              <w:bidi w:val="0"/>
              <w:spacing w:lineRule="auto" w:line="288" w:before="0" w:after="0"/>
              <w:jc w:val="center"/>
              <w:rPr>
                <w:rFonts w:ascii="times new roman;times" w:hAnsi="times new roman;times"/>
                <w:b/>
                <w:sz w:val="16"/>
              </w:rPr>
            </w:pPr>
            <w:r>
              <w:rPr>
                <w:rFonts w:ascii="times new roman;times" w:hAnsi="times new roman;times"/>
                <w:b/>
                <w:sz w:val="16"/>
              </w:rPr>
              <w:t>EFT</w:t>
            </w:r>
          </w:p>
          <w:p>
            <w:pPr>
              <w:pStyle w:val="TableContents"/>
              <w:bidi w:val="0"/>
              <w:spacing w:lineRule="auto" w:line="288" w:before="0" w:after="0"/>
              <w:jc w:val="center"/>
              <w:rPr>
                <w:rFonts w:ascii="times new roman;times" w:hAnsi="times new roman;times"/>
                <w:b/>
                <w:sz w:val="16"/>
              </w:rPr>
            </w:pPr>
            <w:r>
              <w:rPr>
                <w:rFonts w:ascii="times new roman;times" w:hAnsi="times new roman;times"/>
                <w:b/>
                <w:sz w:val="16"/>
              </w:rPr>
              <w:t>Processing</w:t>
            </w:r>
          </w:p>
        </w:tc>
        <w:tc>
          <w:tcPr>
            <w:tcW w:w="60" w:type="dxa"/>
            <w:tcBorders/>
            <w:vAlign w:val="center"/>
          </w:tcPr>
          <w:p>
            <w:pPr>
              <w:pStyle w:val="TableContents"/>
              <w:bidi w:val="0"/>
              <w:spacing w:before="0" w:after="0"/>
              <w:jc w:val="left"/>
              <w:rPr/>
            </w:pPr>
            <w:r>
              <w:rPr/>
              <w:t> </w:t>
            </w:r>
          </w:p>
        </w:tc>
        <w:tc>
          <w:tcPr>
            <w:tcW w:w="633" w:type="dxa"/>
            <w:gridSpan w:val="3"/>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epay</w:t>
            </w:r>
          </w:p>
        </w:tc>
        <w:tc>
          <w:tcPr>
            <w:tcW w:w="60" w:type="dxa"/>
            <w:tcBorders/>
            <w:vAlign w:val="center"/>
          </w:tcPr>
          <w:p>
            <w:pPr>
              <w:pStyle w:val="TableContents"/>
              <w:bidi w:val="0"/>
              <w:spacing w:before="0" w:after="0"/>
              <w:jc w:val="left"/>
              <w:rPr/>
            </w:pPr>
            <w:r>
              <w:rPr/>
              <w:t> </w:t>
            </w:r>
          </w:p>
        </w:tc>
        <w:tc>
          <w:tcPr>
            <w:tcW w:w="650" w:type="dxa"/>
            <w:gridSpan w:val="3"/>
            <w:tcBorders/>
            <w:vAlign w:val="center"/>
          </w:tcPr>
          <w:p>
            <w:pPr>
              <w:pStyle w:val="TableContents"/>
              <w:bidi w:val="0"/>
              <w:spacing w:lineRule="auto" w:line="288" w:before="0" w:after="0"/>
              <w:jc w:val="center"/>
              <w:rPr>
                <w:rFonts w:ascii="times new roman;times" w:hAnsi="times new roman;times"/>
                <w:b/>
                <w:sz w:val="16"/>
              </w:rPr>
            </w:pPr>
            <w:r>
              <w:rPr>
                <w:rFonts w:ascii="times new roman;times" w:hAnsi="times new roman;times"/>
                <w:b/>
                <w:sz w:val="16"/>
              </w:rPr>
              <w:t>Money</w:t>
            </w:r>
          </w:p>
          <w:p>
            <w:pPr>
              <w:pStyle w:val="TableContents"/>
              <w:bidi w:val="0"/>
              <w:spacing w:lineRule="auto" w:line="288" w:before="0" w:after="0"/>
              <w:jc w:val="center"/>
              <w:rPr>
                <w:rFonts w:ascii="times new roman;times" w:hAnsi="times new roman;times"/>
                <w:b/>
                <w:sz w:val="16"/>
              </w:rPr>
            </w:pPr>
            <w:r>
              <w:rPr>
                <w:rFonts w:ascii="times new roman;times" w:hAnsi="times new roman;times"/>
                <w:b/>
                <w:sz w:val="16"/>
              </w:rPr>
              <w:t>Transfer</w:t>
            </w:r>
          </w:p>
        </w:tc>
        <w:tc>
          <w:tcPr>
            <w:tcW w:w="60" w:type="dxa"/>
            <w:tcBorders/>
            <w:vAlign w:val="center"/>
          </w:tcPr>
          <w:p>
            <w:pPr>
              <w:pStyle w:val="TableContents"/>
              <w:bidi w:val="0"/>
              <w:spacing w:before="0" w:after="0"/>
              <w:jc w:val="left"/>
              <w:rPr/>
            </w:pPr>
            <w:r>
              <w:rPr/>
              <w:t> </w:t>
            </w:r>
          </w:p>
        </w:tc>
        <w:tc>
          <w:tcPr>
            <w:tcW w:w="1458" w:type="dxa"/>
            <w:gridSpan w:val="3"/>
            <w:tcBorders/>
            <w:vAlign w:val="center"/>
          </w:tcPr>
          <w:p>
            <w:pPr>
              <w:pStyle w:val="TableContents"/>
              <w:bidi w:val="0"/>
              <w:spacing w:lineRule="auto" w:line="288" w:before="0" w:after="0"/>
              <w:jc w:val="center"/>
              <w:rPr>
                <w:rFonts w:ascii="times new roman;times" w:hAnsi="times new roman;times"/>
                <w:b/>
                <w:sz w:val="16"/>
              </w:rPr>
            </w:pPr>
            <w:r>
              <w:rPr>
                <w:rFonts w:ascii="times new roman;times" w:hAnsi="times new roman;times"/>
                <w:b/>
                <w:sz w:val="16"/>
              </w:rPr>
              <w:t>Corporate Services,</w:t>
            </w:r>
          </w:p>
          <w:p>
            <w:pPr>
              <w:pStyle w:val="TableContents"/>
              <w:bidi w:val="0"/>
              <w:spacing w:lineRule="auto" w:line="288" w:before="0" w:after="0"/>
              <w:jc w:val="center"/>
              <w:rPr>
                <w:rFonts w:ascii="times new roman;times" w:hAnsi="times new roman;times"/>
                <w:b/>
                <w:sz w:val="16"/>
              </w:rPr>
            </w:pPr>
            <w:r>
              <w:rPr>
                <w:rFonts w:ascii="times new roman;times" w:hAnsi="times new roman;times"/>
                <w:b/>
                <w:sz w:val="16"/>
              </w:rPr>
              <w:t>Eliminations</w:t>
            </w:r>
          </w:p>
          <w:p>
            <w:pPr>
              <w:pStyle w:val="TableContents"/>
              <w:bidi w:val="0"/>
              <w:spacing w:lineRule="auto" w:line="288" w:before="0" w:after="0"/>
              <w:jc w:val="center"/>
              <w:rPr>
                <w:rFonts w:ascii="times new roman;times" w:hAnsi="times new roman;times"/>
                <w:b/>
                <w:sz w:val="16"/>
              </w:rPr>
            </w:pPr>
            <w:r>
              <w:rPr>
                <w:rFonts w:ascii="times new roman;times" w:hAnsi="times new roman;times"/>
                <w:b/>
                <w:sz w:val="16"/>
              </w:rPr>
              <w:t>and Other</w:t>
            </w:r>
          </w:p>
        </w:tc>
        <w:tc>
          <w:tcPr>
            <w:tcW w:w="60" w:type="dxa"/>
            <w:tcBorders/>
            <w:vAlign w:val="center"/>
          </w:tcPr>
          <w:p>
            <w:pPr>
              <w:pStyle w:val="TableContents"/>
              <w:bidi w:val="0"/>
              <w:spacing w:before="0" w:after="0"/>
              <w:jc w:val="left"/>
              <w:rPr/>
            </w:pPr>
            <w:r>
              <w:rPr/>
              <w:t> </w:t>
            </w:r>
          </w:p>
        </w:tc>
        <w:tc>
          <w:tcPr>
            <w:tcW w:w="980" w:type="dxa"/>
            <w:gridSpan w:val="3"/>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Consolidated</w:t>
            </w:r>
          </w:p>
        </w:tc>
      </w:tr>
      <w:tr>
        <w:trPr/>
        <w:tc>
          <w:tcPr>
            <w:tcW w:w="3950"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Total revenues</w:t>
            </w:r>
          </w:p>
        </w:tc>
        <w:tc>
          <w:tcPr>
            <w:tcW w:w="6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601"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474.6</w:t>
            </w:r>
          </w:p>
        </w:tc>
        <w:tc>
          <w:tcPr>
            <w:tcW w:w="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485"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501.2</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128"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498"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754.2</w:t>
            </w:r>
          </w:p>
        </w:tc>
        <w:tc>
          <w:tcPr>
            <w:tcW w:w="2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275"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972"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(3.7</w:t>
            </w:r>
          </w:p>
        </w:tc>
        <w:tc>
          <w:tcPr>
            <w:tcW w:w="211"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0"/>
              <w:jc w:val="left"/>
              <w:rPr/>
            </w:pPr>
            <w:r>
              <w:rPr/>
              <w:t> </w:t>
            </w:r>
          </w:p>
        </w:tc>
        <w:tc>
          <w:tcPr>
            <w:tcW w:w="153"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779"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1,726.3</w:t>
            </w:r>
          </w:p>
        </w:tc>
        <w:tc>
          <w:tcPr>
            <w:tcW w:w="48" w:type="dxa"/>
            <w:tcBorders/>
            <w:shd w:fill="CCEEFF" w:val="clear"/>
            <w:vAlign w:val="center"/>
          </w:tcPr>
          <w:p>
            <w:pPr>
              <w:pStyle w:val="TableContents"/>
              <w:bidi w:val="0"/>
              <w:spacing w:before="0" w:after="283"/>
              <w:jc w:val="left"/>
              <w:rPr>
                <w:sz w:val="4"/>
                <w:szCs w:val="4"/>
              </w:rPr>
            </w:pPr>
            <w:r>
              <w:rPr>
                <w:sz w:val="4"/>
                <w:szCs w:val="4"/>
              </w:rPr>
            </w:r>
          </w:p>
        </w:tc>
      </w:tr>
      <w:tr>
        <w:trPr/>
        <w:tc>
          <w:tcPr>
            <w:tcW w:w="3950"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Operating expenses:</w:t>
            </w:r>
          </w:p>
        </w:tc>
        <w:tc>
          <w:tcPr>
            <w:tcW w:w="60" w:type="dxa"/>
            <w:tcBorders/>
            <w:vAlign w:val="center"/>
          </w:tcPr>
          <w:p>
            <w:pPr>
              <w:pStyle w:val="TableContents"/>
              <w:bidi w:val="0"/>
              <w:spacing w:before="0" w:after="0"/>
              <w:jc w:val="left"/>
              <w:rPr/>
            </w:pPr>
            <w:r>
              <w:rPr/>
              <w:t> </w:t>
            </w:r>
          </w:p>
        </w:tc>
        <w:tc>
          <w:tcPr>
            <w:tcW w:w="785" w:type="dxa"/>
            <w:gridSpan w:val="3"/>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33" w:type="dxa"/>
            <w:gridSpan w:val="3"/>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50" w:type="dxa"/>
            <w:gridSpan w:val="3"/>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458" w:type="dxa"/>
            <w:gridSpan w:val="3"/>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80" w:type="dxa"/>
            <w:gridSpan w:val="3"/>
            <w:tcBorders/>
            <w:vAlign w:val="center"/>
          </w:tcPr>
          <w:p>
            <w:pPr>
              <w:pStyle w:val="TableContents"/>
              <w:bidi w:val="0"/>
              <w:spacing w:before="0" w:after="0"/>
              <w:jc w:val="left"/>
              <w:rPr/>
            </w:pPr>
            <w:r>
              <w:rPr/>
              <w:t> </w:t>
            </w:r>
          </w:p>
        </w:tc>
      </w:tr>
      <w:tr>
        <w:trPr/>
        <w:tc>
          <w:tcPr>
            <w:tcW w:w="3950"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Direct operating costs, exclusive of depreciation</w:t>
            </w:r>
          </w:p>
        </w:tc>
        <w:tc>
          <w:tcPr>
            <w:tcW w:w="60" w:type="dxa"/>
            <w:tcBorders/>
            <w:shd w:fill="CCEEFF" w:val="clear"/>
            <w:vAlign w:val="center"/>
          </w:tcPr>
          <w:p>
            <w:pPr>
              <w:pStyle w:val="TableContents"/>
              <w:bidi w:val="0"/>
              <w:spacing w:before="0" w:after="0"/>
              <w:jc w:val="left"/>
              <w:rPr/>
            </w:pPr>
            <w:r>
              <w:rPr/>
              <w:t> </w:t>
            </w:r>
          </w:p>
        </w:tc>
        <w:tc>
          <w:tcPr>
            <w:tcW w:w="756"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261.1</w:t>
            </w:r>
          </w:p>
        </w:tc>
        <w:tc>
          <w:tcPr>
            <w:tcW w:w="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610"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382.3</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626"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410.0</w:t>
            </w:r>
          </w:p>
        </w:tc>
        <w:tc>
          <w:tcPr>
            <w:tcW w:w="2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1247"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(3.7</w:t>
            </w:r>
          </w:p>
        </w:tc>
        <w:tc>
          <w:tcPr>
            <w:tcW w:w="211"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0"/>
              <w:jc w:val="left"/>
              <w:rPr/>
            </w:pPr>
            <w:r>
              <w:rPr/>
              <w:t> </w:t>
            </w:r>
          </w:p>
        </w:tc>
        <w:tc>
          <w:tcPr>
            <w:tcW w:w="932"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1,049.7</w:t>
            </w:r>
          </w:p>
        </w:tc>
        <w:tc>
          <w:tcPr>
            <w:tcW w:w="48" w:type="dxa"/>
            <w:tcBorders/>
            <w:shd w:fill="CCEEFF" w:val="clear"/>
            <w:vAlign w:val="center"/>
          </w:tcPr>
          <w:p>
            <w:pPr>
              <w:pStyle w:val="TableContents"/>
              <w:bidi w:val="0"/>
              <w:spacing w:before="0" w:after="283"/>
              <w:jc w:val="left"/>
              <w:rPr>
                <w:sz w:val="4"/>
                <w:szCs w:val="4"/>
              </w:rPr>
            </w:pPr>
            <w:r>
              <w:rPr>
                <w:sz w:val="4"/>
                <w:szCs w:val="4"/>
              </w:rPr>
            </w:r>
          </w:p>
        </w:tc>
      </w:tr>
      <w:tr>
        <w:trPr/>
        <w:tc>
          <w:tcPr>
            <w:tcW w:w="3950"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Salaries and benefits</w:t>
            </w:r>
          </w:p>
        </w:tc>
        <w:tc>
          <w:tcPr>
            <w:tcW w:w="60" w:type="dxa"/>
            <w:tcBorders/>
            <w:vAlign w:val="center"/>
          </w:tcPr>
          <w:p>
            <w:pPr>
              <w:pStyle w:val="TableContents"/>
              <w:bidi w:val="0"/>
              <w:spacing w:before="0" w:after="0"/>
              <w:jc w:val="left"/>
              <w:rPr/>
            </w:pPr>
            <w:r>
              <w:rPr/>
              <w:t> </w:t>
            </w:r>
          </w:p>
        </w:tc>
        <w:tc>
          <w:tcPr>
            <w:tcW w:w="756"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58.3</w:t>
            </w:r>
          </w:p>
        </w:tc>
        <w:tc>
          <w:tcPr>
            <w:tcW w:w="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610"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43.4</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626"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152.8</w:t>
            </w:r>
          </w:p>
        </w:tc>
        <w:tc>
          <w:tcPr>
            <w:tcW w:w="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1247"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36.8</w:t>
            </w:r>
          </w:p>
        </w:tc>
        <w:tc>
          <w:tcPr>
            <w:tcW w:w="2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932"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291.3</w:t>
            </w:r>
          </w:p>
        </w:tc>
        <w:tc>
          <w:tcPr>
            <w:tcW w:w="48" w:type="dxa"/>
            <w:tcBorders/>
            <w:vAlign w:val="center"/>
          </w:tcPr>
          <w:p>
            <w:pPr>
              <w:pStyle w:val="TableContents"/>
              <w:bidi w:val="0"/>
              <w:spacing w:before="0" w:after="283"/>
              <w:jc w:val="left"/>
              <w:rPr>
                <w:sz w:val="4"/>
                <w:szCs w:val="4"/>
              </w:rPr>
            </w:pPr>
            <w:r>
              <w:rPr>
                <w:sz w:val="4"/>
                <w:szCs w:val="4"/>
              </w:rPr>
            </w:r>
          </w:p>
        </w:tc>
      </w:tr>
      <w:tr>
        <w:trPr/>
        <w:tc>
          <w:tcPr>
            <w:tcW w:w="3950"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Selling, general and administrative</w:t>
            </w:r>
          </w:p>
        </w:tc>
        <w:tc>
          <w:tcPr>
            <w:tcW w:w="60" w:type="dxa"/>
            <w:tcBorders/>
            <w:shd w:fill="CCEEFF" w:val="clear"/>
            <w:vAlign w:val="center"/>
          </w:tcPr>
          <w:p>
            <w:pPr>
              <w:pStyle w:val="TableContents"/>
              <w:bidi w:val="0"/>
              <w:spacing w:before="0" w:after="0"/>
              <w:jc w:val="left"/>
              <w:rPr/>
            </w:pPr>
            <w:r>
              <w:rPr/>
              <w:t> </w:t>
            </w:r>
          </w:p>
        </w:tc>
        <w:tc>
          <w:tcPr>
            <w:tcW w:w="756"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32.7</w:t>
            </w:r>
          </w:p>
        </w:tc>
        <w:tc>
          <w:tcPr>
            <w:tcW w:w="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610"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17.9</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626"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95.0</w:t>
            </w:r>
          </w:p>
        </w:tc>
        <w:tc>
          <w:tcPr>
            <w:tcW w:w="2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1247"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4.9</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932"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150.5</w:t>
            </w:r>
          </w:p>
        </w:tc>
        <w:tc>
          <w:tcPr>
            <w:tcW w:w="48" w:type="dxa"/>
            <w:tcBorders/>
            <w:shd w:fill="CCEEFF" w:val="clear"/>
            <w:vAlign w:val="center"/>
          </w:tcPr>
          <w:p>
            <w:pPr>
              <w:pStyle w:val="TableContents"/>
              <w:bidi w:val="0"/>
              <w:spacing w:before="0" w:after="283"/>
              <w:jc w:val="left"/>
              <w:rPr>
                <w:sz w:val="4"/>
                <w:szCs w:val="4"/>
              </w:rPr>
            </w:pPr>
            <w:r>
              <w:rPr>
                <w:sz w:val="4"/>
                <w:szCs w:val="4"/>
              </w:rPr>
            </w:r>
          </w:p>
        </w:tc>
      </w:tr>
      <w:tr>
        <w:trPr/>
        <w:tc>
          <w:tcPr>
            <w:tcW w:w="3950"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Depreciation and amortization</w:t>
            </w:r>
          </w:p>
        </w:tc>
        <w:tc>
          <w:tcPr>
            <w:tcW w:w="60" w:type="dxa"/>
            <w:tcBorders/>
            <w:vAlign w:val="center"/>
          </w:tcPr>
          <w:p>
            <w:pPr>
              <w:pStyle w:val="TableContents"/>
              <w:bidi w:val="0"/>
              <w:spacing w:before="0" w:after="0"/>
              <w:jc w:val="left"/>
              <w:rPr/>
            </w:pPr>
            <w:r>
              <w:rPr/>
              <w:t> </w:t>
            </w:r>
          </w:p>
        </w:tc>
        <w:tc>
          <w:tcPr>
            <w:tcW w:w="756"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46.5</w:t>
            </w:r>
          </w:p>
        </w:tc>
        <w:tc>
          <w:tcPr>
            <w:tcW w:w="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610"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3.3</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626"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16.6</w:t>
            </w:r>
          </w:p>
        </w:tc>
        <w:tc>
          <w:tcPr>
            <w:tcW w:w="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1247"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0.2</w:t>
            </w:r>
          </w:p>
        </w:tc>
        <w:tc>
          <w:tcPr>
            <w:tcW w:w="2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932"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66.6</w:t>
            </w:r>
          </w:p>
        </w:tc>
        <w:tc>
          <w:tcPr>
            <w:tcW w:w="48" w:type="dxa"/>
            <w:tcBorders/>
            <w:vAlign w:val="center"/>
          </w:tcPr>
          <w:p>
            <w:pPr>
              <w:pStyle w:val="TableContents"/>
              <w:bidi w:val="0"/>
              <w:spacing w:before="0" w:after="283"/>
              <w:jc w:val="left"/>
              <w:rPr>
                <w:sz w:val="4"/>
                <w:szCs w:val="4"/>
              </w:rPr>
            </w:pPr>
            <w:r>
              <w:rPr>
                <w:sz w:val="4"/>
                <w:szCs w:val="4"/>
              </w:rPr>
            </w:r>
          </w:p>
        </w:tc>
      </w:tr>
      <w:tr>
        <w:trPr/>
        <w:tc>
          <w:tcPr>
            <w:tcW w:w="3950"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Total operating expenses</w:t>
            </w:r>
          </w:p>
        </w:tc>
        <w:tc>
          <w:tcPr>
            <w:tcW w:w="60" w:type="dxa"/>
            <w:tcBorders/>
            <w:shd w:fill="CCEEFF" w:val="clear"/>
            <w:vAlign w:val="center"/>
          </w:tcPr>
          <w:p>
            <w:pPr>
              <w:pStyle w:val="TableContents"/>
              <w:bidi w:val="0"/>
              <w:spacing w:before="0" w:after="0"/>
              <w:jc w:val="left"/>
              <w:rPr/>
            </w:pPr>
            <w:r>
              <w:rPr/>
              <w:t> </w:t>
            </w:r>
          </w:p>
        </w:tc>
        <w:tc>
          <w:tcPr>
            <w:tcW w:w="756"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398.6</w:t>
            </w:r>
          </w:p>
        </w:tc>
        <w:tc>
          <w:tcPr>
            <w:tcW w:w="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610"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446.9</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626"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674.4</w:t>
            </w:r>
          </w:p>
        </w:tc>
        <w:tc>
          <w:tcPr>
            <w:tcW w:w="2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1247"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38.2</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932"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1,558.1</w:t>
            </w:r>
          </w:p>
        </w:tc>
        <w:tc>
          <w:tcPr>
            <w:tcW w:w="48"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3950" w:type="dxa"/>
            <w:tcBorders/>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Operating income </w:t>
            </w:r>
            <w:r>
              <w:rPr>
                <w:rFonts w:ascii="times new roman;times" w:hAnsi="times new roman;times"/>
                <w:b w:val="false"/>
                <w:i w:val="false"/>
                <w:caps w:val="false"/>
                <w:smallCaps w:val="false"/>
                <w:color w:val="000000"/>
                <w:spacing w:val="0"/>
                <w:sz w:val="20"/>
              </w:rPr>
              <w:t>(loss) </w:t>
            </w:r>
          </w:p>
        </w:tc>
        <w:tc>
          <w:tcPr>
            <w:tcW w:w="60" w:type="dxa"/>
            <w:tcBorders/>
            <w:vAlign w:val="center"/>
          </w:tcPr>
          <w:p>
            <w:pPr>
              <w:pStyle w:val="TableContents"/>
              <w:widowControl/>
              <w:bidi w:val="0"/>
              <w:spacing w:before="0" w:after="0"/>
              <w:ind w:left="0" w:right="0" w:hanging="0"/>
              <w:jc w:val="left"/>
              <w:rPr>
                <w:caps w:val="false"/>
                <w:smallCaps w:val="false"/>
                <w:color w:val="000000"/>
                <w:spacing w:val="0"/>
              </w:rPr>
            </w:pPr>
            <w:r>
              <w:rPr>
                <w:caps w:val="false"/>
                <w:smallCaps w:val="false"/>
                <w:color w:val="000000"/>
                <w:spacing w:val="0"/>
              </w:rPr>
              <w:t> </w:t>
            </w:r>
          </w:p>
        </w:tc>
        <w:tc>
          <w:tcPr>
            <w:tcW w:w="155" w:type="dxa"/>
            <w:tcBorders/>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601" w:type="dxa"/>
            <w:tcBorders/>
            <w:vAlign w:val="center"/>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76.0</w:t>
            </w:r>
          </w:p>
        </w:tc>
        <w:tc>
          <w:tcPr>
            <w:tcW w:w="29" w:type="dxa"/>
            <w:tcBorders/>
            <w:vAlign w:val="center"/>
          </w:tcPr>
          <w:p>
            <w:pPr>
              <w:pStyle w:val="TableContents"/>
              <w:bidi w:val="0"/>
              <w:spacing w:before="0" w:after="283"/>
              <w:ind w:left="0" w:right="0" w:hanging="0"/>
              <w:jc w:val="left"/>
              <w:rPr>
                <w:sz w:val="4"/>
                <w:szCs w:val="4"/>
              </w:rPr>
            </w:pPr>
            <w:r>
              <w:rPr>
                <w:sz w:val="4"/>
                <w:szCs w:val="4"/>
              </w:rPr>
            </w:r>
          </w:p>
        </w:tc>
        <w:tc>
          <w:tcPr>
            <w:tcW w:w="60" w:type="dxa"/>
            <w:tcBorders/>
            <w:vAlign w:val="center"/>
          </w:tcPr>
          <w:p>
            <w:pPr>
              <w:pStyle w:val="TableContents"/>
              <w:widowControl/>
              <w:bidi w:val="0"/>
              <w:spacing w:before="0" w:after="0"/>
              <w:ind w:left="0" w:right="0" w:hanging="0"/>
              <w:jc w:val="left"/>
              <w:rPr>
                <w:caps w:val="false"/>
                <w:smallCaps w:val="false"/>
                <w:color w:val="000000"/>
                <w:spacing w:val="0"/>
              </w:rPr>
            </w:pPr>
            <w:r>
              <w:rPr>
                <w:caps w:val="false"/>
                <w:smallCaps w:val="false"/>
                <w:color w:val="000000"/>
                <w:spacing w:val="0"/>
              </w:rPr>
              <w:t> </w:t>
            </w:r>
          </w:p>
        </w:tc>
        <w:tc>
          <w:tcPr>
            <w:tcW w:w="125" w:type="dxa"/>
            <w:tcBorders/>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485" w:type="dxa"/>
            <w:tcBorders/>
            <w:vAlign w:val="center"/>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54.3</w:t>
            </w:r>
          </w:p>
        </w:tc>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60" w:type="dxa"/>
            <w:tcBorders/>
            <w:vAlign w:val="center"/>
          </w:tcPr>
          <w:p>
            <w:pPr>
              <w:pStyle w:val="TableContents"/>
              <w:widowControl/>
              <w:bidi w:val="0"/>
              <w:spacing w:before="0" w:after="0"/>
              <w:ind w:left="0" w:right="0" w:hanging="0"/>
              <w:jc w:val="left"/>
              <w:rPr>
                <w:caps w:val="false"/>
                <w:smallCaps w:val="false"/>
                <w:color w:val="000000"/>
                <w:spacing w:val="0"/>
              </w:rPr>
            </w:pPr>
            <w:r>
              <w:rPr>
                <w:caps w:val="false"/>
                <w:smallCaps w:val="false"/>
                <w:color w:val="000000"/>
                <w:spacing w:val="0"/>
              </w:rPr>
              <w:t> </w:t>
            </w:r>
          </w:p>
        </w:tc>
        <w:tc>
          <w:tcPr>
            <w:tcW w:w="128" w:type="dxa"/>
            <w:tcBorders/>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498" w:type="dxa"/>
            <w:tcBorders/>
            <w:vAlign w:val="center"/>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79.8</w:t>
            </w:r>
          </w:p>
        </w:tc>
        <w:tc>
          <w:tcPr>
            <w:tcW w:w="24" w:type="dxa"/>
            <w:tcBorders/>
            <w:vAlign w:val="center"/>
          </w:tcPr>
          <w:p>
            <w:pPr>
              <w:pStyle w:val="TableContents"/>
              <w:bidi w:val="0"/>
              <w:spacing w:before="0" w:after="283"/>
              <w:ind w:left="0" w:right="0" w:hanging="0"/>
              <w:jc w:val="left"/>
              <w:rPr>
                <w:sz w:val="4"/>
                <w:szCs w:val="4"/>
              </w:rPr>
            </w:pPr>
            <w:r>
              <w:rPr>
                <w:sz w:val="4"/>
                <w:szCs w:val="4"/>
              </w:rPr>
            </w:r>
          </w:p>
        </w:tc>
        <w:tc>
          <w:tcPr>
            <w:tcW w:w="60" w:type="dxa"/>
            <w:tcBorders/>
            <w:vAlign w:val="center"/>
          </w:tcPr>
          <w:p>
            <w:pPr>
              <w:pStyle w:val="TableContents"/>
              <w:widowControl/>
              <w:bidi w:val="0"/>
              <w:spacing w:before="0" w:after="0"/>
              <w:ind w:left="0" w:right="0" w:hanging="0"/>
              <w:jc w:val="left"/>
              <w:rPr>
                <w:caps w:val="false"/>
                <w:smallCaps w:val="false"/>
                <w:color w:val="000000"/>
                <w:spacing w:val="0"/>
              </w:rPr>
            </w:pPr>
            <w:r>
              <w:rPr>
                <w:caps w:val="false"/>
                <w:smallCaps w:val="false"/>
                <w:color w:val="000000"/>
                <w:spacing w:val="0"/>
              </w:rPr>
              <w:t> </w:t>
            </w:r>
          </w:p>
        </w:tc>
        <w:tc>
          <w:tcPr>
            <w:tcW w:w="275" w:type="dxa"/>
            <w:tcBorders/>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972" w:type="dxa"/>
            <w:tcBorders/>
            <w:vAlign w:val="center"/>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(41.9</w:t>
            </w:r>
          </w:p>
        </w:tc>
        <w:tc>
          <w:tcPr>
            <w:tcW w:w="211"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60" w:type="dxa"/>
            <w:tcBorders/>
            <w:vAlign w:val="center"/>
          </w:tcPr>
          <w:p>
            <w:pPr>
              <w:pStyle w:val="TableContents"/>
              <w:widowControl/>
              <w:bidi w:val="0"/>
              <w:spacing w:before="0" w:after="0"/>
              <w:ind w:left="0" w:right="0" w:hanging="0"/>
              <w:jc w:val="left"/>
              <w:rPr>
                <w:caps w:val="false"/>
                <w:smallCaps w:val="false"/>
                <w:color w:val="000000"/>
                <w:spacing w:val="0"/>
              </w:rPr>
            </w:pPr>
            <w:r>
              <w:rPr>
                <w:caps w:val="false"/>
                <w:smallCaps w:val="false"/>
                <w:color w:val="000000"/>
                <w:spacing w:val="0"/>
              </w:rPr>
              <w:t> </w:t>
            </w:r>
          </w:p>
        </w:tc>
        <w:tc>
          <w:tcPr>
            <w:tcW w:w="153" w:type="dxa"/>
            <w:tcBorders/>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779" w:type="dxa"/>
            <w:tcBorders/>
            <w:vAlign w:val="center"/>
          </w:tcPr>
          <w:p>
            <w:pPr>
              <w:pStyle w:val="TableContents"/>
              <w:widowControl/>
              <w:bidi w:val="0"/>
              <w:spacing w:before="0" w:after="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168.2</w:t>
            </w:r>
          </w:p>
        </w:tc>
        <w:tc>
          <w:tcPr>
            <w:tcW w:w="48" w:type="dxa"/>
            <w:tcBorders/>
            <w:vAlign w:val="center"/>
          </w:tcPr>
          <w:p>
            <w:pPr>
              <w:pStyle w:val="TableContents"/>
              <w:bidi w:val="0"/>
              <w:spacing w:before="0" w:after="283"/>
              <w:jc w:val="left"/>
              <w:rPr>
                <w:sz w:val="4"/>
                <w:szCs w:val="4"/>
              </w:rPr>
            </w:pPr>
            <w:r>
              <w:rPr>
                <w:sz w:val="4"/>
                <w:szCs w:val="4"/>
              </w:rPr>
            </w:r>
          </w:p>
        </w:tc>
      </w:tr>
    </w:tbl>
    <w:p>
      <w:pPr>
        <w:pStyle w:val="TextBody"/>
        <w:widowControl/>
        <w:bidi w:val="0"/>
        <w:spacing w:lineRule="atLeast" w:line="240"/>
        <w:jc w:val="both"/>
        <w:rPr>
          <w:caps w:val="false"/>
          <w:smallCaps w:val="false"/>
          <w:color w:val="000000"/>
          <w:spacing w:val="0"/>
        </w:rPr>
      </w:pPr>
      <w:r>
        <w:rPr>
          <w:caps w:val="false"/>
          <w:smallCaps w:val="false"/>
          <w:color w:val="000000"/>
          <w:spacing w:val="0"/>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widowControl/>
        <w:bidi w:val="0"/>
        <w:spacing w:lineRule="atLeast" w:line="240"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bidi w:val="0"/>
        <w:spacing w:lineRule="atLeast" w:line="240" w:before="0" w:after="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following table presents the Company's total assets by reportable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072" w:type="dxa"/>
        <w:jc w:val="left"/>
        <w:tblInd w:w="0" w:type="dxa"/>
        <w:tblLayout w:type="fixed"/>
        <w:tblCellMar>
          <w:top w:w="0" w:type="dxa"/>
          <w:left w:w="0" w:type="dxa"/>
          <w:bottom w:w="0" w:type="dxa"/>
          <w:right w:w="0" w:type="dxa"/>
        </w:tblCellMar>
      </w:tblPr>
      <w:tblGrid>
        <w:gridCol w:w="3545"/>
        <w:gridCol w:w="166"/>
        <w:gridCol w:w="843"/>
        <w:gridCol w:w="30"/>
        <w:gridCol w:w="60"/>
        <w:gridCol w:w="223"/>
        <w:gridCol w:w="1137"/>
        <w:gridCol w:w="68"/>
      </w:tblGrid>
      <w:tr>
        <w:trPr/>
        <w:tc>
          <w:tcPr>
            <w:tcW w:w="35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3545" w:type="dxa"/>
            <w:tcBorders/>
            <w:vAlign w:val="center"/>
          </w:tcPr>
          <w:p>
            <w:pPr>
              <w:pStyle w:val="TableContents"/>
              <w:bidi w:val="0"/>
              <w:spacing w:before="0" w:after="0"/>
              <w:jc w:val="left"/>
              <w:rPr/>
            </w:pPr>
            <w:r>
              <w:rPr/>
              <w:t> </w:t>
            </w:r>
          </w:p>
        </w:tc>
        <w:tc>
          <w:tcPr>
            <w:tcW w:w="2527" w:type="dxa"/>
            <w:gridSpan w:val="7"/>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Total Assets as of</w:t>
            </w:r>
          </w:p>
        </w:tc>
      </w:tr>
      <w:tr>
        <w:trPr/>
        <w:tc>
          <w:tcPr>
            <w:tcW w:w="3545" w:type="dxa"/>
            <w:tcBorders/>
            <w:vAlign w:val="center"/>
          </w:tcPr>
          <w:p>
            <w:pPr>
              <w:pStyle w:val="TableContents"/>
              <w:widowControl/>
              <w:bidi w:val="0"/>
              <w:spacing w:before="0" w:after="0"/>
              <w:ind w:left="0" w:right="0" w:hanging="0"/>
              <w:jc w:val="both"/>
              <w:rPr>
                <w:rFonts w:ascii="times new roman;times" w:hAnsi="times new roman;times"/>
                <w:sz w:val="16"/>
              </w:rPr>
            </w:pPr>
            <w:r>
              <w:rPr>
                <w:rFonts w:ascii="times new roman;times" w:hAnsi="times new roman;times"/>
                <w:sz w:val="16"/>
              </w:rPr>
              <w:t xml:space="preserve">(in </w:t>
            </w:r>
            <w:r>
              <w:rPr>
                <w:rFonts w:ascii="times new roman;times" w:hAnsi="times new roman;times"/>
                <w:b w:val="false"/>
                <w:i w:val="false"/>
                <w:caps w:val="false"/>
                <w:smallCaps w:val="false"/>
                <w:color w:val="000000"/>
                <w:spacing w:val="0"/>
                <w:sz w:val="16"/>
              </w:rPr>
              <w:t>millions</w:t>
            </w:r>
            <w:r>
              <w:rPr>
                <w:rFonts w:ascii="times new roman;times" w:hAnsi="times new roman;times"/>
                <w:sz w:val="16"/>
              </w:rPr>
              <w:t>)</w:t>
            </w:r>
          </w:p>
        </w:tc>
        <w:tc>
          <w:tcPr>
            <w:tcW w:w="1039" w:type="dxa"/>
            <w:gridSpan w:val="3"/>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June 30, 2024</w:t>
            </w:r>
          </w:p>
        </w:tc>
        <w:tc>
          <w:tcPr>
            <w:tcW w:w="60" w:type="dxa"/>
            <w:tcBorders/>
            <w:vAlign w:val="center"/>
          </w:tcPr>
          <w:p>
            <w:pPr>
              <w:pStyle w:val="TableContents"/>
              <w:bidi w:val="0"/>
              <w:spacing w:before="0" w:after="0"/>
              <w:jc w:val="left"/>
              <w:rPr/>
            </w:pPr>
            <w:r>
              <w:rPr/>
              <w:t> </w:t>
            </w:r>
          </w:p>
        </w:tc>
        <w:tc>
          <w:tcPr>
            <w:tcW w:w="1428" w:type="dxa"/>
            <w:gridSpan w:val="3"/>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December 31, 2023</w:t>
            </w:r>
          </w:p>
        </w:tc>
      </w:tr>
      <w:tr>
        <w:trPr/>
        <w:tc>
          <w:tcPr>
            <w:tcW w:w="3545"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EFT Processing</w:t>
            </w:r>
          </w:p>
        </w:tc>
        <w:tc>
          <w:tcPr>
            <w:tcW w:w="166"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843"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2,951.2</w:t>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1137"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2,442.0</w:t>
            </w:r>
          </w:p>
        </w:tc>
        <w:tc>
          <w:tcPr>
            <w:tcW w:w="68" w:type="dxa"/>
            <w:tcBorders/>
            <w:shd w:fill="CCEEFF" w:val="clear"/>
            <w:vAlign w:val="center"/>
          </w:tcPr>
          <w:p>
            <w:pPr>
              <w:pStyle w:val="TableContents"/>
              <w:bidi w:val="0"/>
              <w:spacing w:before="0" w:after="283"/>
              <w:jc w:val="left"/>
              <w:rPr>
                <w:sz w:val="4"/>
                <w:szCs w:val="4"/>
              </w:rPr>
            </w:pPr>
            <w:r>
              <w:rPr>
                <w:sz w:val="4"/>
                <w:szCs w:val="4"/>
              </w:rPr>
            </w:r>
          </w:p>
        </w:tc>
      </w:tr>
      <w:tr>
        <w:trPr/>
        <w:tc>
          <w:tcPr>
            <w:tcW w:w="3545"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epay</w:t>
            </w:r>
          </w:p>
        </w:tc>
        <w:tc>
          <w:tcPr>
            <w:tcW w:w="1009"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925.0</w:t>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1360"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1,204.9</w:t>
            </w:r>
          </w:p>
        </w:tc>
        <w:tc>
          <w:tcPr>
            <w:tcW w:w="68" w:type="dxa"/>
            <w:tcBorders/>
            <w:vAlign w:val="center"/>
          </w:tcPr>
          <w:p>
            <w:pPr>
              <w:pStyle w:val="TableContents"/>
              <w:bidi w:val="0"/>
              <w:spacing w:before="0" w:after="283"/>
              <w:jc w:val="left"/>
              <w:rPr>
                <w:sz w:val="4"/>
                <w:szCs w:val="4"/>
              </w:rPr>
            </w:pPr>
            <w:r>
              <w:rPr>
                <w:sz w:val="4"/>
                <w:szCs w:val="4"/>
              </w:rPr>
            </w:r>
          </w:p>
        </w:tc>
      </w:tr>
      <w:tr>
        <w:trPr/>
        <w:tc>
          <w:tcPr>
            <w:tcW w:w="3545"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Money Transfer</w:t>
            </w:r>
          </w:p>
        </w:tc>
        <w:tc>
          <w:tcPr>
            <w:tcW w:w="1009"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1,847.7</w:t>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1360"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1,921.1</w:t>
            </w:r>
          </w:p>
        </w:tc>
        <w:tc>
          <w:tcPr>
            <w:tcW w:w="68" w:type="dxa"/>
            <w:tcBorders/>
            <w:shd w:fill="CCEEFF" w:val="clear"/>
            <w:vAlign w:val="center"/>
          </w:tcPr>
          <w:p>
            <w:pPr>
              <w:pStyle w:val="TableContents"/>
              <w:bidi w:val="0"/>
              <w:spacing w:before="0" w:after="283"/>
              <w:jc w:val="left"/>
              <w:rPr>
                <w:sz w:val="4"/>
                <w:szCs w:val="4"/>
              </w:rPr>
            </w:pPr>
            <w:r>
              <w:rPr>
                <w:sz w:val="4"/>
                <w:szCs w:val="4"/>
              </w:rPr>
            </w:r>
          </w:p>
        </w:tc>
      </w:tr>
      <w:tr>
        <w:trPr/>
        <w:tc>
          <w:tcPr>
            <w:tcW w:w="3545"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Corporate Services, Eliminations and Other</w:t>
            </w:r>
          </w:p>
        </w:tc>
        <w:tc>
          <w:tcPr>
            <w:tcW w:w="1009"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336.9</w:t>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1360"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326.4</w:t>
            </w:r>
          </w:p>
        </w:tc>
        <w:tc>
          <w:tcPr>
            <w:tcW w:w="68" w:type="dxa"/>
            <w:tcBorders/>
            <w:vAlign w:val="center"/>
          </w:tcPr>
          <w:p>
            <w:pPr>
              <w:pStyle w:val="TableContents"/>
              <w:bidi w:val="0"/>
              <w:spacing w:before="0" w:after="283"/>
              <w:jc w:val="left"/>
              <w:rPr>
                <w:sz w:val="4"/>
                <w:szCs w:val="4"/>
              </w:rPr>
            </w:pPr>
            <w:r>
              <w:rPr>
                <w:sz w:val="4"/>
                <w:szCs w:val="4"/>
              </w:rPr>
            </w:r>
          </w:p>
        </w:tc>
      </w:tr>
      <w:tr>
        <w:trPr/>
        <w:tc>
          <w:tcPr>
            <w:tcW w:w="3545"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Total  </w:t>
            </w:r>
          </w:p>
        </w:tc>
        <w:tc>
          <w:tcPr>
            <w:tcW w:w="166"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843"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6,060.8</w:t>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1137"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5,894.4</w:t>
            </w:r>
          </w:p>
        </w:tc>
        <w:tc>
          <w:tcPr>
            <w:tcW w:w="68" w:type="dxa"/>
            <w:tcBorders/>
            <w:shd w:fill="CCEEFF" w:val="clear"/>
            <w:vAlign w:val="center"/>
          </w:tcPr>
          <w:p>
            <w:pPr>
              <w:pStyle w:val="TableContents"/>
              <w:bidi w:val="0"/>
              <w:spacing w:before="0" w:after="0"/>
              <w:jc w:val="left"/>
              <w:rPr>
                <w:sz w:val="20"/>
              </w:rPr>
            </w:pPr>
            <w:r>
              <w:rPr>
                <w:sz w:val="20"/>
              </w:rPr>
            </w:r>
          </w:p>
        </w:tc>
      </w:tr>
    </w:tbl>
    <w:p>
      <w:pPr>
        <w:pStyle w:val="TextBody"/>
        <w:widowControl/>
        <w:bidi w:val="0"/>
        <w:spacing w:lineRule="atLeast" w:line="240"/>
        <w:jc w:val="left"/>
        <w:rPr>
          <w:caps w:val="false"/>
          <w:smallCaps w:val="false"/>
          <w:color w:val="000000"/>
          <w:spacing w:val="0"/>
          <w:sz w:val="20"/>
          <w:szCs w:val="20"/>
        </w:rPr>
      </w:pPr>
      <w:r>
        <w:rPr>
          <w:caps w:val="false"/>
          <w:smallCaps w:val="false"/>
          <w:color w:val="000000"/>
          <w:spacing w:val="0"/>
          <w:sz w:val="20"/>
          <w:szCs w:val="20"/>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widowControl/>
        <w:bidi w:val="0"/>
        <w:spacing w:lineRule="auto" w:line="264" w:before="0" w:after="0"/>
        <w:ind w:left="0" w:right="0" w:hanging="0"/>
        <w:jc w:val="both"/>
        <w:rPr>
          <w:caps w:val="false"/>
          <w:smallCaps w:val="false"/>
          <w:color w:val="000000"/>
          <w:spacing w:val="0"/>
        </w:rPr>
      </w:pPr>
      <w:r>
        <w:rPr>
          <w:caps w:val="false"/>
          <w:smallCaps w:val="false"/>
          <w:color w:val="000000"/>
          <w:spacing w:val="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19</w:t>
            </w:r>
          </w:p>
        </w:tc>
      </w:tr>
    </w:tbl>
    <w:p>
      <w:pPr>
        <w:pStyle w:val="TextBody"/>
        <w:widowControl/>
        <w:bidi w:val="0"/>
        <w:spacing w:lineRule="atLeast" w:line="240"/>
        <w:jc w:val="both"/>
        <w:rPr>
          <w:caps w:val="false"/>
          <w:smallCaps w:val="false"/>
          <w:color w:val="000000"/>
          <w:spacing w:val="0"/>
        </w:rPr>
      </w:pPr>
      <w:r>
        <w:rPr>
          <w:caps w:val="false"/>
          <w:smallCaps w:val="false"/>
          <w:color w:val="000000"/>
          <w:spacing w:val="0"/>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widowControl/>
        <w:bidi w:val="0"/>
        <w:spacing w:lineRule="atLeast" w:line="240"/>
        <w:jc w:val="both"/>
        <w:rPr/>
      </w:pPr>
      <w:r>
        <w:rPr/>
      </w:r>
    </w:p>
    <w:p>
      <w:pPr>
        <w:pStyle w:val="TextBody"/>
        <w:widowControl/>
        <w:bidi w:val="0"/>
        <w:spacing w:lineRule="atLeast" w:line="240" w:before="0" w:after="0"/>
        <w:jc w:val="left"/>
        <w:rPr>
          <w:sz w:val="20"/>
        </w:rPr>
      </w:pPr>
      <w:r>
        <w:rPr>
          <w:sz w:val="20"/>
        </w:rPr>
      </w:r>
    </w:p>
    <w:p>
      <w:pPr>
        <w:pStyle w:val="TextBody"/>
        <w:widowControl/>
        <w:bidi w:val="0"/>
        <w:spacing w:lineRule="atLeast" w:line="240" w:before="0" w:after="0"/>
        <w:jc w:val="both"/>
        <w:rPr>
          <w:caps w:val="false"/>
          <w:smallCaps w:val="false"/>
          <w:color w:val="000000"/>
          <w:spacing w:val="0"/>
        </w:rPr>
      </w:pPr>
      <w:r>
        <w:rPr>
          <w:caps w:val="false"/>
          <w:smallCaps w:val="false"/>
          <w:color w:val="000000"/>
          <w:spacing w:val="0"/>
        </w:rPr>
        <w:t> </w:t>
      </w:r>
    </w:p>
    <w:p>
      <w:pPr>
        <w:pStyle w:val="TextBody"/>
        <w:widowControl/>
        <w:bidi w:val="0"/>
        <w:spacing w:lineRule="auto" w:line="288"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following table presents the Company's revenues disaggregated by segment and region. Sales and usage-based taxes are excluded from revenues. The Company believes disaggregation by segment and region best depicts how the nature, amount, timing, and uncertainty of revenue and cash flows are affected by economic factors. The disaggregation of revenues by segment and region is based on management's assessment of segment performance together with allocation of financial resources, both capital and operating support costs, on a segment and regional level. Both segments and regions benefit from synergies achieved through concentration of operations and are influenced by macro-economic, regulatory and political factors in the respective segment and region.</w:t>
      </w:r>
    </w:p>
    <w:p>
      <w:pPr>
        <w:pStyle w:val="TextBody"/>
        <w:widowControl/>
        <w:bidi w:val="0"/>
        <w:spacing w:lineRule="auto" w:line="288"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8795" w:type="dxa"/>
        <w:jc w:val="left"/>
        <w:tblInd w:w="0" w:type="dxa"/>
        <w:tblLayout w:type="fixed"/>
        <w:tblCellMar>
          <w:top w:w="0" w:type="dxa"/>
          <w:left w:w="0" w:type="dxa"/>
          <w:bottom w:w="0" w:type="dxa"/>
          <w:right w:w="0" w:type="dxa"/>
        </w:tblCellMar>
      </w:tblPr>
      <w:tblGrid>
        <w:gridCol w:w="1220"/>
        <w:gridCol w:w="60"/>
        <w:gridCol w:w="172"/>
        <w:gridCol w:w="669"/>
        <w:gridCol w:w="31"/>
        <w:gridCol w:w="82"/>
        <w:gridCol w:w="172"/>
        <w:gridCol w:w="669"/>
        <w:gridCol w:w="31"/>
        <w:gridCol w:w="82"/>
        <w:gridCol w:w="172"/>
        <w:gridCol w:w="669"/>
        <w:gridCol w:w="31"/>
        <w:gridCol w:w="82"/>
        <w:gridCol w:w="172"/>
        <w:gridCol w:w="669"/>
        <w:gridCol w:w="131"/>
        <w:gridCol w:w="23"/>
        <w:gridCol w:w="138"/>
        <w:gridCol w:w="871"/>
        <w:gridCol w:w="25"/>
        <w:gridCol w:w="25"/>
        <w:gridCol w:w="138"/>
        <w:gridCol w:w="538"/>
        <w:gridCol w:w="25"/>
        <w:gridCol w:w="25"/>
        <w:gridCol w:w="138"/>
        <w:gridCol w:w="721"/>
        <w:gridCol w:w="25"/>
        <w:gridCol w:w="25"/>
        <w:gridCol w:w="138"/>
        <w:gridCol w:w="704"/>
        <w:gridCol w:w="122"/>
      </w:tblGrid>
      <w:tr>
        <w:trPr/>
        <w:tc>
          <w:tcPr>
            <w:tcW w:w="12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3834" w:type="dxa"/>
            <w:gridSpan w:val="15"/>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Revenues for the Three Months Ended June 30,</w:t>
            </w:r>
            <w:r>
              <w:rPr>
                <w:rFonts w:ascii="times new roman;times" w:hAnsi="times new roman;times"/>
                <w:b/>
                <w:sz w:val="16"/>
              </w:rPr>
              <w:t xml:space="preserve"> 2024</w:t>
            </w:r>
          </w:p>
        </w:tc>
        <w:tc>
          <w:tcPr>
            <w:tcW w:w="23" w:type="dxa"/>
            <w:tcBorders/>
            <w:vAlign w:val="center"/>
          </w:tcPr>
          <w:p>
            <w:pPr>
              <w:pStyle w:val="TableContents"/>
              <w:bidi w:val="0"/>
              <w:spacing w:before="0" w:after="283"/>
              <w:jc w:val="left"/>
              <w:rPr>
                <w:sz w:val="4"/>
                <w:szCs w:val="4"/>
              </w:rPr>
            </w:pPr>
            <w:r>
              <w:rPr>
                <w:sz w:val="4"/>
                <w:szCs w:val="4"/>
              </w:rPr>
            </w:r>
          </w:p>
        </w:tc>
        <w:tc>
          <w:tcPr>
            <w:tcW w:w="3658" w:type="dxa"/>
            <w:gridSpan w:val="15"/>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Revenues for the Six Months Ended June 30,</w:t>
            </w:r>
            <w:r>
              <w:rPr>
                <w:rFonts w:ascii="times new roman;times" w:hAnsi="times new roman;times"/>
                <w:b/>
                <w:sz w:val="16"/>
              </w:rPr>
              <w:t xml:space="preserve"> 2024</w:t>
            </w:r>
          </w:p>
        </w:tc>
      </w:tr>
      <w:tr>
        <w:trPr/>
        <w:tc>
          <w:tcPr>
            <w:tcW w:w="1220" w:type="dxa"/>
            <w:tcBorders/>
            <w:vAlign w:val="center"/>
          </w:tcPr>
          <w:p>
            <w:pPr>
              <w:pStyle w:val="TableContents"/>
              <w:widowControl/>
              <w:bidi w:val="0"/>
              <w:spacing w:before="0" w:after="0"/>
              <w:ind w:left="0" w:right="0" w:hanging="0"/>
              <w:jc w:val="both"/>
              <w:rPr>
                <w:rFonts w:ascii="times new roman;times" w:hAnsi="times new roman;times"/>
                <w:sz w:val="16"/>
              </w:rPr>
            </w:pPr>
            <w:r>
              <w:rPr>
                <w:rFonts w:ascii="times new roman;times" w:hAnsi="times new roman;times"/>
                <w:sz w:val="16"/>
              </w:rPr>
              <w:t>(in </w:t>
            </w:r>
            <w:r>
              <w:rPr>
                <w:rFonts w:ascii="times new roman;times" w:hAnsi="times new roman;times"/>
                <w:b w:val="false"/>
                <w:i w:val="false"/>
                <w:caps w:val="false"/>
                <w:smallCaps w:val="false"/>
                <w:color w:val="000000"/>
                <w:spacing w:val="0"/>
                <w:sz w:val="16"/>
              </w:rPr>
              <w:t>millions</w:t>
            </w:r>
            <w:r>
              <w:rPr>
                <w:rFonts w:ascii="times new roman;times" w:hAnsi="times new roman;times"/>
                <w:sz w:val="16"/>
              </w:rPr>
              <w:t>)</w:t>
            </w:r>
          </w:p>
        </w:tc>
        <w:tc>
          <w:tcPr>
            <w:tcW w:w="60" w:type="dxa"/>
            <w:tcBorders/>
            <w:vAlign w:val="center"/>
          </w:tcPr>
          <w:p>
            <w:pPr>
              <w:pStyle w:val="TableContents"/>
              <w:bidi w:val="0"/>
              <w:spacing w:before="0" w:after="0"/>
              <w:jc w:val="left"/>
              <w:rPr/>
            </w:pPr>
            <w:r>
              <w:rPr/>
              <w:t> </w:t>
            </w:r>
          </w:p>
        </w:tc>
        <w:tc>
          <w:tcPr>
            <w:tcW w:w="872" w:type="dxa"/>
            <w:gridSpan w:val="3"/>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EFT</w:t>
            </w:r>
          </w:p>
          <w:p>
            <w:pPr>
              <w:pStyle w:val="TableContents"/>
              <w:bidi w:val="0"/>
              <w:spacing w:before="0" w:after="0"/>
              <w:jc w:val="center"/>
              <w:rPr>
                <w:rFonts w:ascii="times new roman;times" w:hAnsi="times new roman;times"/>
                <w:b/>
                <w:sz w:val="16"/>
              </w:rPr>
            </w:pPr>
            <w:r>
              <w:rPr>
                <w:rFonts w:ascii="times new roman;times" w:hAnsi="times new roman;times"/>
                <w:b/>
                <w:sz w:val="16"/>
              </w:rPr>
              <w:t>Processing</w:t>
            </w:r>
          </w:p>
        </w:tc>
        <w:tc>
          <w:tcPr>
            <w:tcW w:w="82" w:type="dxa"/>
            <w:tcBorders>
              <w:bottom w:val="dashed" w:sz="2" w:space="0" w:color="BBBBBB"/>
            </w:tcBorders>
            <w:tcMar>
              <w:bottom w:w="28" w:type="dxa"/>
            </w:tcMar>
            <w:vAlign w:val="center"/>
          </w:tcPr>
          <w:p>
            <w:pPr>
              <w:pStyle w:val="TableContents"/>
              <w:bidi w:val="0"/>
              <w:spacing w:before="0" w:after="0"/>
              <w:jc w:val="left"/>
              <w:rPr/>
            </w:pPr>
            <w:r>
              <w:rPr/>
              <w:t> </w:t>
            </w:r>
          </w:p>
        </w:tc>
        <w:tc>
          <w:tcPr>
            <w:tcW w:w="872" w:type="dxa"/>
            <w:gridSpan w:val="3"/>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epay</w:t>
            </w:r>
          </w:p>
        </w:tc>
        <w:tc>
          <w:tcPr>
            <w:tcW w:w="82" w:type="dxa"/>
            <w:tcBorders>
              <w:bottom w:val="dashed" w:sz="2" w:space="0" w:color="BBBBBB"/>
            </w:tcBorders>
            <w:tcMar>
              <w:bottom w:w="28" w:type="dxa"/>
            </w:tcMar>
            <w:vAlign w:val="center"/>
          </w:tcPr>
          <w:p>
            <w:pPr>
              <w:pStyle w:val="TableContents"/>
              <w:bidi w:val="0"/>
              <w:spacing w:before="0" w:after="0"/>
              <w:jc w:val="left"/>
              <w:rPr/>
            </w:pPr>
            <w:r>
              <w:rPr/>
              <w:t> </w:t>
            </w:r>
          </w:p>
        </w:tc>
        <w:tc>
          <w:tcPr>
            <w:tcW w:w="872" w:type="dxa"/>
            <w:gridSpan w:val="3"/>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Money</w:t>
            </w:r>
          </w:p>
          <w:p>
            <w:pPr>
              <w:pStyle w:val="TableContents"/>
              <w:bidi w:val="0"/>
              <w:spacing w:before="0" w:after="0"/>
              <w:jc w:val="center"/>
              <w:rPr>
                <w:rFonts w:ascii="times new roman;times" w:hAnsi="times new roman;times"/>
                <w:b/>
                <w:sz w:val="16"/>
              </w:rPr>
            </w:pPr>
            <w:r>
              <w:rPr>
                <w:rFonts w:ascii="times new roman;times" w:hAnsi="times new roman;times"/>
                <w:b/>
                <w:sz w:val="16"/>
              </w:rPr>
              <w:t>Transfer</w:t>
            </w:r>
          </w:p>
        </w:tc>
        <w:tc>
          <w:tcPr>
            <w:tcW w:w="82" w:type="dxa"/>
            <w:tcBorders>
              <w:bottom w:val="dashed" w:sz="2" w:space="0" w:color="BBBBBB"/>
            </w:tcBorders>
            <w:tcMar>
              <w:bottom w:w="28" w:type="dxa"/>
            </w:tcMar>
            <w:vAlign w:val="center"/>
          </w:tcPr>
          <w:p>
            <w:pPr>
              <w:pStyle w:val="TableContents"/>
              <w:bidi w:val="0"/>
              <w:spacing w:before="0" w:after="0"/>
              <w:jc w:val="left"/>
              <w:rPr/>
            </w:pPr>
            <w:r>
              <w:rPr/>
              <w:t> </w:t>
            </w:r>
          </w:p>
        </w:tc>
        <w:tc>
          <w:tcPr>
            <w:tcW w:w="972" w:type="dxa"/>
            <w:gridSpan w:val="3"/>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Total</w:t>
            </w:r>
          </w:p>
        </w:tc>
        <w:tc>
          <w:tcPr>
            <w:tcW w:w="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EFT</w:t>
            </w:r>
          </w:p>
          <w:p>
            <w:pPr>
              <w:pStyle w:val="TableContents"/>
              <w:bidi w:val="0"/>
              <w:spacing w:before="0" w:after="0"/>
              <w:jc w:val="center"/>
              <w:rPr>
                <w:rFonts w:ascii="times new roman;times" w:hAnsi="times new roman;times"/>
                <w:b/>
                <w:sz w:val="16"/>
              </w:rPr>
            </w:pPr>
            <w:r>
              <w:rPr>
                <w:rFonts w:ascii="times new roman;times" w:hAnsi="times new roman;times"/>
                <w:b/>
                <w:sz w:val="16"/>
              </w:rPr>
              <w:t>Processing</w:t>
            </w:r>
          </w:p>
        </w:tc>
        <w:tc>
          <w:tcPr>
            <w:tcW w:w="25"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widowControl/>
              <w:bidi w:val="0"/>
              <w:spacing w:before="0" w:after="0"/>
              <w:ind w:left="0" w:right="0" w:hanging="0"/>
              <w:jc w:val="center"/>
              <w:rPr>
                <w:rFonts w:ascii="times new roman;times" w:hAnsi="times new roman;times"/>
                <w:b/>
                <w:i w:val="false"/>
                <w:caps w:val="false"/>
                <w:smallCaps w:val="false"/>
                <w:color w:val="000000"/>
                <w:spacing w:val="0"/>
                <w:sz w:val="15"/>
              </w:rPr>
            </w:pPr>
            <w:r>
              <w:rPr>
                <w:rFonts w:ascii="times new roman;times" w:hAnsi="times new roman;times"/>
                <w:b/>
                <w:i w:val="false"/>
                <w:caps w:val="false"/>
                <w:smallCaps w:val="false"/>
                <w:color w:val="000000"/>
                <w:spacing w:val="0"/>
                <w:sz w:val="15"/>
              </w:rPr>
              <w:t>epay</w:t>
            </w:r>
          </w:p>
        </w:tc>
        <w:tc>
          <w:tcPr>
            <w:tcW w:w="25"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Money</w:t>
            </w:r>
          </w:p>
          <w:p>
            <w:pPr>
              <w:pStyle w:val="TableContents"/>
              <w:bidi w:val="0"/>
              <w:spacing w:before="0" w:after="0"/>
              <w:jc w:val="center"/>
              <w:rPr>
                <w:rFonts w:ascii="times new roman;times" w:hAnsi="times new roman;times"/>
                <w:b/>
                <w:sz w:val="16"/>
              </w:rPr>
            </w:pPr>
            <w:r>
              <w:rPr>
                <w:rFonts w:ascii="times new roman;times" w:hAnsi="times new roman;times"/>
                <w:b/>
                <w:sz w:val="16"/>
              </w:rPr>
              <w:t>Transfer</w:t>
            </w:r>
          </w:p>
        </w:tc>
        <w:tc>
          <w:tcPr>
            <w:tcW w:w="25"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widowControl/>
              <w:bidi w:val="0"/>
              <w:spacing w:before="0" w:after="0"/>
              <w:ind w:left="0" w:right="0" w:hanging="0"/>
              <w:jc w:val="center"/>
              <w:rPr>
                <w:rFonts w:ascii="times new roman;times" w:hAnsi="times new roman;times"/>
                <w:b/>
                <w:i w:val="false"/>
                <w:caps w:val="false"/>
                <w:smallCaps w:val="false"/>
                <w:color w:val="000000"/>
                <w:spacing w:val="0"/>
                <w:sz w:val="15"/>
              </w:rPr>
            </w:pPr>
            <w:r>
              <w:rPr>
                <w:rFonts w:ascii="times new roman;times" w:hAnsi="times new roman;times"/>
                <w:b/>
                <w:i w:val="false"/>
                <w:caps w:val="false"/>
                <w:smallCaps w:val="false"/>
                <w:color w:val="000000"/>
                <w:spacing w:val="0"/>
                <w:sz w:val="15"/>
              </w:rPr>
              <w:t>Total</w:t>
            </w:r>
          </w:p>
        </w:tc>
        <w:tc>
          <w:tcPr>
            <w:tcW w:w="122" w:type="dxa"/>
            <w:tcBorders/>
            <w:vAlign w:val="center"/>
          </w:tcPr>
          <w:p>
            <w:pPr>
              <w:pStyle w:val="TableContents"/>
              <w:bidi w:val="0"/>
              <w:spacing w:before="0" w:after="283"/>
              <w:jc w:val="left"/>
              <w:rPr>
                <w:sz w:val="4"/>
                <w:szCs w:val="4"/>
              </w:rPr>
            </w:pPr>
            <w:r>
              <w:rPr>
                <w:sz w:val="4"/>
                <w:szCs w:val="4"/>
              </w:rPr>
            </w:r>
          </w:p>
        </w:tc>
      </w:tr>
      <w:tr>
        <w:trPr/>
        <w:tc>
          <w:tcPr>
            <w:tcW w:w="1220"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Europe</w:t>
            </w:r>
          </w:p>
        </w:tc>
        <w:tc>
          <w:tcPr>
            <w:tcW w:w="60"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669"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230.2</w:t>
            </w:r>
          </w:p>
        </w:tc>
        <w:tc>
          <w:tcPr>
            <w:tcW w:w="31" w:type="dxa"/>
            <w:tcBorders/>
            <w:shd w:fill="CCEEFF" w:val="clear"/>
            <w:vAlign w:val="center"/>
          </w:tcPr>
          <w:p>
            <w:pPr>
              <w:pStyle w:val="TableContents"/>
              <w:bidi w:val="0"/>
              <w:spacing w:before="0" w:after="283"/>
              <w:jc w:val="left"/>
              <w:rPr>
                <w:sz w:val="4"/>
                <w:szCs w:val="4"/>
              </w:rPr>
            </w:pPr>
            <w:r>
              <w:rPr>
                <w:sz w:val="4"/>
                <w:szCs w:val="4"/>
              </w:rPr>
            </w:r>
          </w:p>
        </w:tc>
        <w:tc>
          <w:tcPr>
            <w:tcW w:w="8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669"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161.5</w:t>
            </w:r>
          </w:p>
        </w:tc>
        <w:tc>
          <w:tcPr>
            <w:tcW w:w="31" w:type="dxa"/>
            <w:tcBorders/>
            <w:shd w:fill="CCEEFF" w:val="clear"/>
            <w:vAlign w:val="center"/>
          </w:tcPr>
          <w:p>
            <w:pPr>
              <w:pStyle w:val="TableContents"/>
              <w:bidi w:val="0"/>
              <w:spacing w:before="0" w:after="283"/>
              <w:jc w:val="left"/>
              <w:rPr>
                <w:sz w:val="4"/>
                <w:szCs w:val="4"/>
              </w:rPr>
            </w:pPr>
            <w:r>
              <w:rPr>
                <w:sz w:val="4"/>
                <w:szCs w:val="4"/>
              </w:rPr>
            </w:r>
          </w:p>
        </w:tc>
        <w:tc>
          <w:tcPr>
            <w:tcW w:w="8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669"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173.4</w:t>
            </w:r>
          </w:p>
        </w:tc>
        <w:tc>
          <w:tcPr>
            <w:tcW w:w="31" w:type="dxa"/>
            <w:tcBorders/>
            <w:shd w:fill="CCEEFF" w:val="clear"/>
            <w:vAlign w:val="center"/>
          </w:tcPr>
          <w:p>
            <w:pPr>
              <w:pStyle w:val="TableContents"/>
              <w:bidi w:val="0"/>
              <w:spacing w:before="0" w:after="283"/>
              <w:jc w:val="left"/>
              <w:rPr>
                <w:sz w:val="4"/>
                <w:szCs w:val="4"/>
              </w:rPr>
            </w:pPr>
            <w:r>
              <w:rPr>
                <w:sz w:val="4"/>
                <w:szCs w:val="4"/>
              </w:rPr>
            </w:r>
          </w:p>
        </w:tc>
        <w:tc>
          <w:tcPr>
            <w:tcW w:w="8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669"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565.1</w:t>
            </w:r>
          </w:p>
        </w:tc>
        <w:tc>
          <w:tcPr>
            <w:tcW w:w="131" w:type="dxa"/>
            <w:tcBorders/>
            <w:shd w:fill="CCEEFF" w:val="clear"/>
            <w:vAlign w:val="center"/>
          </w:tcPr>
          <w:p>
            <w:pPr>
              <w:pStyle w:val="TableContents"/>
              <w:bidi w:val="0"/>
              <w:spacing w:before="0" w:after="283"/>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138" w:type="dxa"/>
            <w:tcBorders/>
            <w:shd w:fill="CCEEFF" w:val="clear"/>
            <w:vAlign w:val="center"/>
          </w:tcPr>
          <w:p>
            <w:pPr>
              <w:pStyle w:val="TableContents"/>
              <w:bidi w:val="0"/>
              <w:spacing w:before="0" w:after="0"/>
              <w:jc w:val="left"/>
              <w:rPr>
                <w:sz w:val="20"/>
              </w:rPr>
            </w:pPr>
            <w:r>
              <w:rPr>
                <w:sz w:val="20"/>
              </w:rPr>
              <w:t>$</w:t>
            </w:r>
          </w:p>
        </w:tc>
        <w:tc>
          <w:tcPr>
            <w:tcW w:w="871" w:type="dxa"/>
            <w:tcBorders/>
            <w:shd w:fill="CCEEFF" w:val="clear"/>
            <w:vAlign w:val="center"/>
          </w:tcPr>
          <w:p>
            <w:pPr>
              <w:pStyle w:val="TableContents"/>
              <w:widowControl/>
              <w:bidi w:val="0"/>
              <w:spacing w:before="0" w:after="0"/>
              <w:ind w:left="0" w:right="0" w:hanging="0"/>
              <w:jc w:val="right"/>
              <w:rPr>
                <w:rFonts w:ascii="times new roman;times" w:hAnsi="times new roman;times"/>
                <w:b w:val="false"/>
                <w:color w:val="000000"/>
                <w:spacing w:val="0"/>
                <w:sz w:val="20"/>
              </w:rPr>
            </w:pPr>
            <w:r>
              <w:rPr>
                <w:rFonts w:ascii="times new roman;times" w:hAnsi="times new roman;times"/>
                <w:b w:val="false"/>
                <w:color w:val="000000"/>
                <w:spacing w:val="0"/>
                <w:sz w:val="20"/>
              </w:rPr>
              <w:t>377.3</w:t>
            </w:r>
          </w:p>
        </w:tc>
        <w:tc>
          <w:tcPr>
            <w:tcW w:w="25" w:type="dxa"/>
            <w:tcBorders/>
            <w:shd w:fill="CCEEFF" w:val="clear"/>
            <w:vAlign w:val="center"/>
          </w:tcPr>
          <w:p>
            <w:pPr>
              <w:pStyle w:val="TableContents"/>
              <w:bidi w:val="0"/>
              <w:spacing w:before="0" w:after="283"/>
              <w:jc w:val="left"/>
              <w:rPr>
                <w:sz w:val="4"/>
                <w:szCs w:val="4"/>
              </w:rPr>
            </w:pPr>
            <w:r>
              <w:rPr>
                <w:sz w:val="4"/>
                <w:szCs w:val="4"/>
              </w:rPr>
            </w:r>
          </w:p>
        </w:tc>
        <w:tc>
          <w:tcPr>
            <w:tcW w:w="25" w:type="dxa"/>
            <w:tcBorders/>
            <w:shd w:fill="CCEEFF" w:val="clear"/>
            <w:vAlign w:val="center"/>
          </w:tcPr>
          <w:p>
            <w:pPr>
              <w:pStyle w:val="TableContents"/>
              <w:bidi w:val="0"/>
              <w:spacing w:before="0" w:after="283"/>
              <w:jc w:val="left"/>
              <w:rPr>
                <w:sz w:val="4"/>
                <w:szCs w:val="4"/>
              </w:rPr>
            </w:pPr>
            <w:r>
              <w:rPr>
                <w:sz w:val="4"/>
                <w:szCs w:val="4"/>
              </w:rPr>
            </w:r>
          </w:p>
        </w:tc>
        <w:tc>
          <w:tcPr>
            <w:tcW w:w="138" w:type="dxa"/>
            <w:tcBorders/>
            <w:shd w:fill="CCEEFF" w:val="clear"/>
            <w:vAlign w:val="center"/>
          </w:tcPr>
          <w:p>
            <w:pPr>
              <w:pStyle w:val="TableContents"/>
              <w:bidi w:val="0"/>
              <w:spacing w:before="0" w:after="0"/>
              <w:jc w:val="left"/>
              <w:rPr>
                <w:sz w:val="20"/>
              </w:rPr>
            </w:pPr>
            <w:r>
              <w:rPr>
                <w:sz w:val="20"/>
              </w:rPr>
              <w:t>$</w:t>
            </w:r>
          </w:p>
        </w:tc>
        <w:tc>
          <w:tcPr>
            <w:tcW w:w="538" w:type="dxa"/>
            <w:tcBorders/>
            <w:shd w:fill="CCEEFF" w:val="clear"/>
            <w:vAlign w:val="center"/>
          </w:tcPr>
          <w:p>
            <w:pPr>
              <w:pStyle w:val="TableContents"/>
              <w:widowControl/>
              <w:bidi w:val="0"/>
              <w:spacing w:before="0" w:after="0"/>
              <w:ind w:left="0" w:right="0" w:hanging="0"/>
              <w:jc w:val="right"/>
              <w:rPr>
                <w:rFonts w:ascii="times new roman;times" w:hAnsi="times new roman;times"/>
                <w:b w:val="false"/>
                <w:color w:val="000000"/>
                <w:spacing w:val="0"/>
                <w:sz w:val="20"/>
              </w:rPr>
            </w:pPr>
            <w:r>
              <w:rPr>
                <w:rFonts w:ascii="times new roman;times" w:hAnsi="times new roman;times"/>
                <w:b w:val="false"/>
                <w:color w:val="000000"/>
                <w:spacing w:val="0"/>
                <w:sz w:val="20"/>
              </w:rPr>
              <w:t>328.1</w:t>
            </w:r>
          </w:p>
        </w:tc>
        <w:tc>
          <w:tcPr>
            <w:tcW w:w="25" w:type="dxa"/>
            <w:tcBorders/>
            <w:shd w:fill="CCEEFF" w:val="clear"/>
            <w:vAlign w:val="center"/>
          </w:tcPr>
          <w:p>
            <w:pPr>
              <w:pStyle w:val="TableContents"/>
              <w:bidi w:val="0"/>
              <w:spacing w:before="0" w:after="283"/>
              <w:jc w:val="left"/>
              <w:rPr>
                <w:sz w:val="4"/>
                <w:szCs w:val="4"/>
              </w:rPr>
            </w:pPr>
            <w:r>
              <w:rPr>
                <w:sz w:val="4"/>
                <w:szCs w:val="4"/>
              </w:rPr>
            </w:r>
          </w:p>
        </w:tc>
        <w:tc>
          <w:tcPr>
            <w:tcW w:w="25" w:type="dxa"/>
            <w:tcBorders/>
            <w:shd w:fill="CCEEFF" w:val="clear"/>
            <w:vAlign w:val="center"/>
          </w:tcPr>
          <w:p>
            <w:pPr>
              <w:pStyle w:val="TableContents"/>
              <w:bidi w:val="0"/>
              <w:spacing w:before="0" w:after="283"/>
              <w:jc w:val="left"/>
              <w:rPr>
                <w:sz w:val="4"/>
                <w:szCs w:val="4"/>
              </w:rPr>
            </w:pPr>
            <w:r>
              <w:rPr>
                <w:sz w:val="4"/>
                <w:szCs w:val="4"/>
              </w:rPr>
            </w:r>
          </w:p>
        </w:tc>
        <w:tc>
          <w:tcPr>
            <w:tcW w:w="138" w:type="dxa"/>
            <w:tcBorders/>
            <w:shd w:fill="CCEEFF" w:val="clear"/>
            <w:vAlign w:val="center"/>
          </w:tcPr>
          <w:p>
            <w:pPr>
              <w:pStyle w:val="TableContents"/>
              <w:bidi w:val="0"/>
              <w:spacing w:before="0" w:after="0"/>
              <w:jc w:val="left"/>
              <w:rPr>
                <w:sz w:val="20"/>
              </w:rPr>
            </w:pPr>
            <w:r>
              <w:rPr>
                <w:sz w:val="20"/>
              </w:rPr>
              <w:t>$</w:t>
            </w:r>
          </w:p>
        </w:tc>
        <w:tc>
          <w:tcPr>
            <w:tcW w:w="721" w:type="dxa"/>
            <w:tcBorders/>
            <w:shd w:fill="CCEEFF" w:val="clear"/>
            <w:vAlign w:val="center"/>
          </w:tcPr>
          <w:p>
            <w:pPr>
              <w:pStyle w:val="TableContents"/>
              <w:widowControl/>
              <w:bidi w:val="0"/>
              <w:spacing w:before="0" w:after="0"/>
              <w:ind w:left="0" w:right="0" w:hanging="0"/>
              <w:jc w:val="right"/>
              <w:rPr>
                <w:rFonts w:ascii="times new roman;times" w:hAnsi="times new roman;times"/>
                <w:b w:val="false"/>
                <w:color w:val="000000"/>
                <w:spacing w:val="0"/>
                <w:sz w:val="20"/>
              </w:rPr>
            </w:pPr>
            <w:r>
              <w:rPr>
                <w:rFonts w:ascii="times new roman;times" w:hAnsi="times new roman;times"/>
                <w:b w:val="false"/>
                <w:color w:val="000000"/>
                <w:spacing w:val="0"/>
                <w:sz w:val="20"/>
              </w:rPr>
              <w:t>334.5</w:t>
            </w:r>
          </w:p>
        </w:tc>
        <w:tc>
          <w:tcPr>
            <w:tcW w:w="25" w:type="dxa"/>
            <w:tcBorders/>
            <w:shd w:fill="CCEEFF" w:val="clear"/>
            <w:vAlign w:val="center"/>
          </w:tcPr>
          <w:p>
            <w:pPr>
              <w:pStyle w:val="TableContents"/>
              <w:bidi w:val="0"/>
              <w:spacing w:before="0" w:after="283"/>
              <w:jc w:val="left"/>
              <w:rPr>
                <w:sz w:val="4"/>
                <w:szCs w:val="4"/>
              </w:rPr>
            </w:pPr>
            <w:r>
              <w:rPr>
                <w:sz w:val="4"/>
                <w:szCs w:val="4"/>
              </w:rPr>
            </w:r>
          </w:p>
        </w:tc>
        <w:tc>
          <w:tcPr>
            <w:tcW w:w="25" w:type="dxa"/>
            <w:tcBorders/>
            <w:shd w:fill="CCEEFF" w:val="clear"/>
            <w:vAlign w:val="center"/>
          </w:tcPr>
          <w:p>
            <w:pPr>
              <w:pStyle w:val="TableContents"/>
              <w:bidi w:val="0"/>
              <w:spacing w:before="0" w:after="283"/>
              <w:jc w:val="left"/>
              <w:rPr>
                <w:sz w:val="4"/>
                <w:szCs w:val="4"/>
              </w:rPr>
            </w:pPr>
            <w:r>
              <w:rPr>
                <w:sz w:val="4"/>
                <w:szCs w:val="4"/>
              </w:rPr>
            </w:r>
          </w:p>
        </w:tc>
        <w:tc>
          <w:tcPr>
            <w:tcW w:w="138" w:type="dxa"/>
            <w:tcBorders/>
            <w:shd w:fill="CCEEFF" w:val="clear"/>
            <w:vAlign w:val="center"/>
          </w:tcPr>
          <w:p>
            <w:pPr>
              <w:pStyle w:val="TableContents"/>
              <w:bidi w:val="0"/>
              <w:spacing w:before="0" w:after="0"/>
              <w:jc w:val="left"/>
              <w:rPr>
                <w:sz w:val="20"/>
              </w:rPr>
            </w:pPr>
            <w:r>
              <w:rPr>
                <w:sz w:val="20"/>
              </w:rPr>
              <w:t>$</w:t>
            </w:r>
          </w:p>
        </w:tc>
        <w:tc>
          <w:tcPr>
            <w:tcW w:w="704" w:type="dxa"/>
            <w:tcBorders/>
            <w:shd w:fill="CCEEFF" w:val="clear"/>
            <w:vAlign w:val="center"/>
          </w:tcPr>
          <w:p>
            <w:pPr>
              <w:pStyle w:val="TableContents"/>
              <w:widowControl/>
              <w:bidi w:val="0"/>
              <w:spacing w:before="0" w:after="0"/>
              <w:ind w:left="0" w:right="0" w:hanging="0"/>
              <w:jc w:val="right"/>
              <w:rPr>
                <w:rFonts w:ascii="times new roman;times" w:hAnsi="times new roman;times"/>
                <w:b w:val="false"/>
                <w:color w:val="000000"/>
                <w:spacing w:val="0"/>
                <w:sz w:val="20"/>
              </w:rPr>
            </w:pPr>
            <w:r>
              <w:rPr>
                <w:rFonts w:ascii="times new roman;times" w:hAnsi="times new roman;times"/>
                <w:b w:val="false"/>
                <w:color w:val="000000"/>
                <w:spacing w:val="0"/>
                <w:sz w:val="20"/>
              </w:rPr>
              <w:t>1,039.9</w:t>
            </w:r>
          </w:p>
        </w:tc>
        <w:tc>
          <w:tcPr>
            <w:tcW w:w="122" w:type="dxa"/>
            <w:tcBorders>
              <w:bottom w:val="dashed" w:sz="2" w:space="0" w:color="BBBBBB"/>
            </w:tcBorders>
            <w:shd w:fill="CCEEFF" w:val="clear"/>
            <w:tcMar>
              <w:bottom w:w="28" w:type="dxa"/>
            </w:tcMar>
            <w:vAlign w:val="center"/>
          </w:tcPr>
          <w:p>
            <w:pPr>
              <w:pStyle w:val="TableContents"/>
              <w:bidi w:val="0"/>
              <w:spacing w:before="0" w:after="283"/>
              <w:jc w:val="left"/>
              <w:rPr>
                <w:sz w:val="4"/>
                <w:szCs w:val="4"/>
              </w:rPr>
            </w:pPr>
            <w:r>
              <w:rPr>
                <w:sz w:val="4"/>
                <w:szCs w:val="4"/>
              </w:rPr>
            </w:r>
          </w:p>
        </w:tc>
      </w:tr>
      <w:tr>
        <w:trPr/>
        <w:tc>
          <w:tcPr>
            <w:tcW w:w="1220"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North America</w:t>
            </w:r>
          </w:p>
        </w:tc>
        <w:tc>
          <w:tcPr>
            <w:tcW w:w="60" w:type="dxa"/>
            <w:tcBorders/>
            <w:vAlign w:val="center"/>
          </w:tcPr>
          <w:p>
            <w:pPr>
              <w:pStyle w:val="TableContents"/>
              <w:bidi w:val="0"/>
              <w:spacing w:before="0" w:after="0"/>
              <w:jc w:val="left"/>
              <w:rPr/>
            </w:pPr>
            <w:r>
              <w:rPr/>
              <w:t> </w:t>
            </w:r>
          </w:p>
        </w:tc>
        <w:tc>
          <w:tcPr>
            <w:tcW w:w="841" w:type="dxa"/>
            <w:gridSpan w:val="2"/>
            <w:tcBorders/>
            <w:vAlign w:val="center"/>
          </w:tcPr>
          <w:p>
            <w:pPr>
              <w:pStyle w:val="TableContents"/>
              <w:widowControl/>
              <w:bidi w:val="0"/>
              <w:spacing w:before="0" w:after="0"/>
              <w:ind w:left="0" w:right="0" w:hanging="0"/>
              <w:jc w:val="right"/>
              <w:rPr>
                <w:rFonts w:ascii="times new roman;times" w:hAnsi="times new roman;times"/>
                <w:b w:val="false"/>
                <w:color w:val="000000"/>
                <w:spacing w:val="0"/>
                <w:sz w:val="20"/>
              </w:rPr>
            </w:pPr>
            <w:r>
              <w:rPr>
                <w:rFonts w:ascii="times new roman;times" w:hAnsi="times new roman;times"/>
                <w:b w:val="false"/>
                <w:color w:val="000000"/>
                <w:spacing w:val="0"/>
                <w:sz w:val="20"/>
              </w:rPr>
              <w:t>18.3</w:t>
            </w:r>
          </w:p>
        </w:tc>
        <w:tc>
          <w:tcPr>
            <w:tcW w:w="31"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0"/>
              <w:jc w:val="left"/>
              <w:rPr/>
            </w:pPr>
            <w:r>
              <w:rPr/>
              <w:t> </w:t>
            </w:r>
          </w:p>
        </w:tc>
        <w:tc>
          <w:tcPr>
            <w:tcW w:w="841"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48.6</w:t>
            </w:r>
          </w:p>
        </w:tc>
        <w:tc>
          <w:tcPr>
            <w:tcW w:w="31"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0"/>
              <w:jc w:val="left"/>
              <w:rPr/>
            </w:pPr>
            <w:r>
              <w:rPr/>
              <w:t> </w:t>
            </w:r>
          </w:p>
        </w:tc>
        <w:tc>
          <w:tcPr>
            <w:tcW w:w="841"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199.1</w:t>
            </w:r>
          </w:p>
        </w:tc>
        <w:tc>
          <w:tcPr>
            <w:tcW w:w="31"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0"/>
              <w:jc w:val="left"/>
              <w:rPr/>
            </w:pPr>
            <w:r>
              <w:rPr/>
              <w:t> </w:t>
            </w:r>
          </w:p>
        </w:tc>
        <w:tc>
          <w:tcPr>
            <w:tcW w:w="841"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266.0</w:t>
            </w:r>
          </w:p>
        </w:tc>
        <w:tc>
          <w:tcPr>
            <w:tcW w:w="13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widowControl/>
              <w:bidi w:val="0"/>
              <w:spacing w:before="0" w:after="0"/>
              <w:ind w:left="0" w:right="0" w:hanging="0"/>
              <w:jc w:val="right"/>
              <w:rPr>
                <w:rFonts w:ascii="times new roman;times" w:hAnsi="times new roman;times"/>
                <w:b w:val="false"/>
                <w:color w:val="000000"/>
                <w:spacing w:val="0"/>
                <w:sz w:val="20"/>
              </w:rPr>
            </w:pPr>
            <w:r>
              <w:rPr>
                <w:rFonts w:ascii="times new roman;times" w:hAnsi="times new roman;times"/>
                <w:b w:val="false"/>
                <w:color w:val="000000"/>
                <w:spacing w:val="0"/>
                <w:sz w:val="20"/>
              </w:rPr>
              <w:t>36.1</w:t>
            </w:r>
          </w:p>
        </w:tc>
        <w:tc>
          <w:tcPr>
            <w:tcW w:w="25"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widowControl/>
              <w:bidi w:val="0"/>
              <w:spacing w:before="0" w:after="0"/>
              <w:ind w:left="0" w:right="0" w:hanging="0"/>
              <w:jc w:val="right"/>
              <w:rPr>
                <w:rFonts w:ascii="times new roman;times" w:hAnsi="times new roman;times"/>
                <w:b w:val="false"/>
                <w:color w:val="000000"/>
                <w:spacing w:val="0"/>
                <w:sz w:val="20"/>
              </w:rPr>
            </w:pPr>
            <w:r>
              <w:rPr>
                <w:rFonts w:ascii="times new roman;times" w:hAnsi="times new roman;times"/>
                <w:b w:val="false"/>
                <w:color w:val="000000"/>
                <w:spacing w:val="0"/>
                <w:sz w:val="20"/>
              </w:rPr>
              <w:t>92.9</w:t>
            </w:r>
          </w:p>
        </w:tc>
        <w:tc>
          <w:tcPr>
            <w:tcW w:w="25"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widowControl/>
              <w:bidi w:val="0"/>
              <w:spacing w:before="0" w:after="0"/>
              <w:ind w:left="0" w:right="0" w:hanging="0"/>
              <w:jc w:val="right"/>
              <w:rPr>
                <w:rFonts w:ascii="times new roman;times" w:hAnsi="times new roman;times"/>
                <w:b w:val="false"/>
                <w:color w:val="000000"/>
                <w:spacing w:val="0"/>
                <w:sz w:val="20"/>
              </w:rPr>
            </w:pPr>
            <w:r>
              <w:rPr>
                <w:rFonts w:ascii="times new roman;times" w:hAnsi="times new roman;times"/>
                <w:b w:val="false"/>
                <w:color w:val="000000"/>
                <w:spacing w:val="0"/>
                <w:sz w:val="20"/>
              </w:rPr>
              <w:t>376.1</w:t>
            </w:r>
          </w:p>
        </w:tc>
        <w:tc>
          <w:tcPr>
            <w:tcW w:w="25"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widowControl/>
              <w:bidi w:val="0"/>
              <w:spacing w:before="0" w:after="0"/>
              <w:ind w:left="0" w:right="0" w:hanging="0"/>
              <w:jc w:val="right"/>
              <w:rPr>
                <w:rFonts w:ascii="times new roman;times" w:hAnsi="times new roman;times"/>
                <w:b w:val="false"/>
                <w:color w:val="000000"/>
                <w:spacing w:val="0"/>
                <w:sz w:val="20"/>
              </w:rPr>
            </w:pPr>
            <w:r>
              <w:rPr>
                <w:rFonts w:ascii="times new roman;times" w:hAnsi="times new roman;times"/>
                <w:b w:val="false"/>
                <w:color w:val="000000"/>
                <w:spacing w:val="0"/>
                <w:sz w:val="20"/>
              </w:rPr>
              <w:t>505.1</w:t>
            </w:r>
          </w:p>
        </w:tc>
        <w:tc>
          <w:tcPr>
            <w:tcW w:w="122" w:type="dxa"/>
            <w:tcBorders/>
            <w:vAlign w:val="center"/>
          </w:tcPr>
          <w:p>
            <w:pPr>
              <w:pStyle w:val="TableContents"/>
              <w:bidi w:val="0"/>
              <w:spacing w:before="0" w:after="283"/>
              <w:jc w:val="left"/>
              <w:rPr>
                <w:sz w:val="4"/>
                <w:szCs w:val="4"/>
              </w:rPr>
            </w:pPr>
            <w:r>
              <w:rPr>
                <w:sz w:val="4"/>
                <w:szCs w:val="4"/>
              </w:rPr>
            </w:r>
          </w:p>
        </w:tc>
      </w:tr>
      <w:tr>
        <w:trPr/>
        <w:tc>
          <w:tcPr>
            <w:tcW w:w="1220"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Asia Pacific</w:t>
            </w:r>
          </w:p>
        </w:tc>
        <w:tc>
          <w:tcPr>
            <w:tcW w:w="60" w:type="dxa"/>
            <w:tcBorders/>
            <w:shd w:fill="CCEEFF" w:val="clear"/>
            <w:vAlign w:val="center"/>
          </w:tcPr>
          <w:p>
            <w:pPr>
              <w:pStyle w:val="TableContents"/>
              <w:bidi w:val="0"/>
              <w:spacing w:before="0" w:after="0"/>
              <w:jc w:val="left"/>
              <w:rPr/>
            </w:pPr>
            <w:r>
              <w:rPr/>
              <w:t> </w:t>
            </w:r>
          </w:p>
        </w:tc>
        <w:tc>
          <w:tcPr>
            <w:tcW w:w="841" w:type="dxa"/>
            <w:gridSpan w:val="2"/>
            <w:tcBorders/>
            <w:shd w:fill="CCEEFF" w:val="clear"/>
            <w:vAlign w:val="center"/>
          </w:tcPr>
          <w:p>
            <w:pPr>
              <w:pStyle w:val="TableContents"/>
              <w:widowControl/>
              <w:bidi w:val="0"/>
              <w:spacing w:before="0" w:after="0"/>
              <w:ind w:left="0" w:right="0" w:hanging="0"/>
              <w:jc w:val="right"/>
              <w:rPr>
                <w:rFonts w:ascii="times new roman;times" w:hAnsi="times new roman;times"/>
                <w:b w:val="false"/>
                <w:color w:val="000000"/>
                <w:spacing w:val="0"/>
                <w:sz w:val="20"/>
              </w:rPr>
            </w:pPr>
            <w:r>
              <w:rPr>
                <w:rFonts w:ascii="times new roman;times" w:hAnsi="times new roman;times"/>
                <w:b w:val="false"/>
                <w:color w:val="000000"/>
                <w:spacing w:val="0"/>
                <w:sz w:val="20"/>
              </w:rPr>
              <w:t>53.0</w:t>
            </w:r>
          </w:p>
        </w:tc>
        <w:tc>
          <w:tcPr>
            <w:tcW w:w="31" w:type="dxa"/>
            <w:tcBorders/>
            <w:shd w:fill="CCEEFF" w:val="clear"/>
            <w:vAlign w:val="center"/>
          </w:tcPr>
          <w:p>
            <w:pPr>
              <w:pStyle w:val="TableContents"/>
              <w:bidi w:val="0"/>
              <w:spacing w:before="0" w:after="283"/>
              <w:jc w:val="left"/>
              <w:rPr>
                <w:sz w:val="4"/>
                <w:szCs w:val="4"/>
              </w:rPr>
            </w:pPr>
            <w:r>
              <w:rPr>
                <w:sz w:val="4"/>
                <w:szCs w:val="4"/>
              </w:rPr>
            </w:r>
          </w:p>
        </w:tc>
        <w:tc>
          <w:tcPr>
            <w:tcW w:w="82" w:type="dxa"/>
            <w:tcBorders/>
            <w:shd w:fill="CCEEFF" w:val="clear"/>
            <w:vAlign w:val="center"/>
          </w:tcPr>
          <w:p>
            <w:pPr>
              <w:pStyle w:val="TableContents"/>
              <w:bidi w:val="0"/>
              <w:spacing w:before="0" w:after="0"/>
              <w:jc w:val="left"/>
              <w:rPr/>
            </w:pPr>
            <w:r>
              <w:rPr/>
              <w:t> </w:t>
            </w:r>
          </w:p>
        </w:tc>
        <w:tc>
          <w:tcPr>
            <w:tcW w:w="841"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37.9</w:t>
            </w:r>
          </w:p>
        </w:tc>
        <w:tc>
          <w:tcPr>
            <w:tcW w:w="31" w:type="dxa"/>
            <w:tcBorders/>
            <w:shd w:fill="CCEEFF" w:val="clear"/>
            <w:vAlign w:val="center"/>
          </w:tcPr>
          <w:p>
            <w:pPr>
              <w:pStyle w:val="TableContents"/>
              <w:bidi w:val="0"/>
              <w:spacing w:before="0" w:after="283"/>
              <w:jc w:val="left"/>
              <w:rPr>
                <w:sz w:val="4"/>
                <w:szCs w:val="4"/>
              </w:rPr>
            </w:pPr>
            <w:r>
              <w:rPr>
                <w:sz w:val="4"/>
                <w:szCs w:val="4"/>
              </w:rPr>
            </w:r>
          </w:p>
        </w:tc>
        <w:tc>
          <w:tcPr>
            <w:tcW w:w="82" w:type="dxa"/>
            <w:tcBorders/>
            <w:shd w:fill="CCEEFF" w:val="clear"/>
            <w:vAlign w:val="center"/>
          </w:tcPr>
          <w:p>
            <w:pPr>
              <w:pStyle w:val="TableContents"/>
              <w:bidi w:val="0"/>
              <w:spacing w:before="0" w:after="0"/>
              <w:jc w:val="left"/>
              <w:rPr/>
            </w:pPr>
            <w:r>
              <w:rPr/>
              <w:t> </w:t>
            </w:r>
          </w:p>
        </w:tc>
        <w:tc>
          <w:tcPr>
            <w:tcW w:w="841"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32.5</w:t>
            </w:r>
          </w:p>
        </w:tc>
        <w:tc>
          <w:tcPr>
            <w:tcW w:w="31" w:type="dxa"/>
            <w:tcBorders/>
            <w:shd w:fill="CCEEFF" w:val="clear"/>
            <w:vAlign w:val="center"/>
          </w:tcPr>
          <w:p>
            <w:pPr>
              <w:pStyle w:val="TableContents"/>
              <w:bidi w:val="0"/>
              <w:spacing w:before="0" w:after="283"/>
              <w:jc w:val="left"/>
              <w:rPr>
                <w:sz w:val="4"/>
                <w:szCs w:val="4"/>
              </w:rPr>
            </w:pPr>
            <w:r>
              <w:rPr>
                <w:sz w:val="4"/>
                <w:szCs w:val="4"/>
              </w:rPr>
            </w:r>
          </w:p>
        </w:tc>
        <w:tc>
          <w:tcPr>
            <w:tcW w:w="82" w:type="dxa"/>
            <w:tcBorders/>
            <w:shd w:fill="CCEEFF" w:val="clear"/>
            <w:vAlign w:val="center"/>
          </w:tcPr>
          <w:p>
            <w:pPr>
              <w:pStyle w:val="TableContents"/>
              <w:bidi w:val="0"/>
              <w:spacing w:before="0" w:after="0"/>
              <w:jc w:val="left"/>
              <w:rPr/>
            </w:pPr>
            <w:r>
              <w:rPr/>
              <w:t> </w:t>
            </w:r>
          </w:p>
        </w:tc>
        <w:tc>
          <w:tcPr>
            <w:tcW w:w="841"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123.4</w:t>
            </w:r>
          </w:p>
        </w:tc>
        <w:tc>
          <w:tcPr>
            <w:tcW w:w="131" w:type="dxa"/>
            <w:tcBorders/>
            <w:shd w:fill="CCEEFF" w:val="clear"/>
            <w:vAlign w:val="center"/>
          </w:tcPr>
          <w:p>
            <w:pPr>
              <w:pStyle w:val="TableContents"/>
              <w:bidi w:val="0"/>
              <w:spacing w:before="0" w:after="283"/>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138"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widowControl/>
              <w:bidi w:val="0"/>
              <w:spacing w:before="0" w:after="0"/>
              <w:ind w:left="0" w:right="0" w:hanging="0"/>
              <w:jc w:val="right"/>
              <w:rPr>
                <w:rFonts w:ascii="times new roman;times" w:hAnsi="times new roman;times"/>
                <w:b w:val="false"/>
                <w:color w:val="000000"/>
                <w:spacing w:val="0"/>
                <w:sz w:val="20"/>
              </w:rPr>
            </w:pPr>
            <w:r>
              <w:rPr>
                <w:rFonts w:ascii="times new roman;times" w:hAnsi="times new roman;times"/>
                <w:b w:val="false"/>
                <w:color w:val="000000"/>
                <w:spacing w:val="0"/>
                <w:sz w:val="20"/>
              </w:rPr>
              <w:t>102.2</w:t>
            </w:r>
          </w:p>
        </w:tc>
        <w:tc>
          <w:tcPr>
            <w:tcW w:w="25" w:type="dxa"/>
            <w:tcBorders/>
            <w:shd w:fill="CCEEFF" w:val="clear"/>
            <w:vAlign w:val="center"/>
          </w:tcPr>
          <w:p>
            <w:pPr>
              <w:pStyle w:val="TableContents"/>
              <w:bidi w:val="0"/>
              <w:spacing w:before="0" w:after="283"/>
              <w:jc w:val="left"/>
              <w:rPr>
                <w:sz w:val="4"/>
                <w:szCs w:val="4"/>
              </w:rPr>
            </w:pPr>
            <w:r>
              <w:rPr>
                <w:sz w:val="4"/>
                <w:szCs w:val="4"/>
              </w:rPr>
            </w:r>
          </w:p>
        </w:tc>
        <w:tc>
          <w:tcPr>
            <w:tcW w:w="25" w:type="dxa"/>
            <w:tcBorders/>
            <w:shd w:fill="CCEEFF" w:val="clear"/>
            <w:vAlign w:val="center"/>
          </w:tcPr>
          <w:p>
            <w:pPr>
              <w:pStyle w:val="TableContents"/>
              <w:bidi w:val="0"/>
              <w:spacing w:before="0" w:after="283"/>
              <w:jc w:val="left"/>
              <w:rPr>
                <w:sz w:val="4"/>
                <w:szCs w:val="4"/>
              </w:rPr>
            </w:pPr>
            <w:r>
              <w:rPr>
                <w:sz w:val="4"/>
                <w:szCs w:val="4"/>
              </w:rPr>
            </w:r>
          </w:p>
        </w:tc>
        <w:tc>
          <w:tcPr>
            <w:tcW w:w="138" w:type="dxa"/>
            <w:tcBorders/>
            <w:shd w:fill="CCEEFF" w:val="clear"/>
            <w:vAlign w:val="center"/>
          </w:tcPr>
          <w:p>
            <w:pPr>
              <w:pStyle w:val="TableContents"/>
              <w:bidi w:val="0"/>
              <w:spacing w:before="0" w:after="283"/>
              <w:jc w:val="left"/>
              <w:rPr>
                <w:sz w:val="4"/>
                <w:szCs w:val="4"/>
              </w:rPr>
            </w:pPr>
            <w:r>
              <w:rPr>
                <w:sz w:val="4"/>
                <w:szCs w:val="4"/>
              </w:rPr>
            </w:r>
          </w:p>
        </w:tc>
        <w:tc>
          <w:tcPr>
            <w:tcW w:w="538" w:type="dxa"/>
            <w:tcBorders/>
            <w:shd w:fill="CCEEFF" w:val="clear"/>
            <w:vAlign w:val="center"/>
          </w:tcPr>
          <w:p>
            <w:pPr>
              <w:pStyle w:val="TableContents"/>
              <w:widowControl/>
              <w:bidi w:val="0"/>
              <w:spacing w:before="0" w:after="0"/>
              <w:ind w:left="0" w:right="0" w:hanging="0"/>
              <w:jc w:val="right"/>
              <w:rPr>
                <w:rFonts w:ascii="times new roman;times" w:hAnsi="times new roman;times"/>
                <w:b w:val="false"/>
                <w:color w:val="000000"/>
                <w:spacing w:val="0"/>
                <w:sz w:val="20"/>
              </w:rPr>
            </w:pPr>
            <w:r>
              <w:rPr>
                <w:rFonts w:ascii="times new roman;times" w:hAnsi="times new roman;times"/>
                <w:b w:val="false"/>
                <w:color w:val="000000"/>
                <w:spacing w:val="0"/>
                <w:sz w:val="20"/>
              </w:rPr>
              <w:t>70.6</w:t>
            </w:r>
          </w:p>
        </w:tc>
        <w:tc>
          <w:tcPr>
            <w:tcW w:w="25" w:type="dxa"/>
            <w:tcBorders/>
            <w:shd w:fill="CCEEFF" w:val="clear"/>
            <w:vAlign w:val="center"/>
          </w:tcPr>
          <w:p>
            <w:pPr>
              <w:pStyle w:val="TableContents"/>
              <w:bidi w:val="0"/>
              <w:spacing w:before="0" w:after="283"/>
              <w:jc w:val="left"/>
              <w:rPr>
                <w:sz w:val="4"/>
                <w:szCs w:val="4"/>
              </w:rPr>
            </w:pPr>
            <w:r>
              <w:rPr>
                <w:sz w:val="4"/>
                <w:szCs w:val="4"/>
              </w:rPr>
            </w:r>
          </w:p>
        </w:tc>
        <w:tc>
          <w:tcPr>
            <w:tcW w:w="25" w:type="dxa"/>
            <w:tcBorders/>
            <w:shd w:fill="CCEEFF" w:val="clear"/>
            <w:vAlign w:val="center"/>
          </w:tcPr>
          <w:p>
            <w:pPr>
              <w:pStyle w:val="TableContents"/>
              <w:bidi w:val="0"/>
              <w:spacing w:before="0" w:after="283"/>
              <w:jc w:val="left"/>
              <w:rPr>
                <w:sz w:val="4"/>
                <w:szCs w:val="4"/>
              </w:rPr>
            </w:pPr>
            <w:r>
              <w:rPr>
                <w:sz w:val="4"/>
                <w:szCs w:val="4"/>
              </w:rPr>
            </w:r>
          </w:p>
        </w:tc>
        <w:tc>
          <w:tcPr>
            <w:tcW w:w="138"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widowControl/>
              <w:bidi w:val="0"/>
              <w:spacing w:before="0" w:after="0"/>
              <w:ind w:left="0" w:right="0" w:hanging="0"/>
              <w:jc w:val="right"/>
              <w:rPr>
                <w:rFonts w:ascii="times new roman;times" w:hAnsi="times new roman;times"/>
                <w:b w:val="false"/>
                <w:color w:val="000000"/>
                <w:spacing w:val="0"/>
                <w:sz w:val="20"/>
              </w:rPr>
            </w:pPr>
            <w:r>
              <w:rPr>
                <w:rFonts w:ascii="times new roman;times" w:hAnsi="times new roman;times"/>
                <w:b w:val="false"/>
                <w:color w:val="000000"/>
                <w:spacing w:val="0"/>
                <w:sz w:val="20"/>
              </w:rPr>
              <w:t>62.6</w:t>
            </w:r>
          </w:p>
        </w:tc>
        <w:tc>
          <w:tcPr>
            <w:tcW w:w="25" w:type="dxa"/>
            <w:tcBorders/>
            <w:shd w:fill="CCEEFF" w:val="clear"/>
            <w:vAlign w:val="center"/>
          </w:tcPr>
          <w:p>
            <w:pPr>
              <w:pStyle w:val="TableContents"/>
              <w:bidi w:val="0"/>
              <w:spacing w:before="0" w:after="283"/>
              <w:jc w:val="left"/>
              <w:rPr>
                <w:sz w:val="4"/>
                <w:szCs w:val="4"/>
              </w:rPr>
            </w:pPr>
            <w:r>
              <w:rPr>
                <w:sz w:val="4"/>
                <w:szCs w:val="4"/>
              </w:rPr>
            </w:r>
          </w:p>
        </w:tc>
        <w:tc>
          <w:tcPr>
            <w:tcW w:w="25" w:type="dxa"/>
            <w:tcBorders/>
            <w:shd w:fill="CCEEFF" w:val="clear"/>
            <w:vAlign w:val="center"/>
          </w:tcPr>
          <w:p>
            <w:pPr>
              <w:pStyle w:val="TableContents"/>
              <w:bidi w:val="0"/>
              <w:spacing w:before="0" w:after="283"/>
              <w:jc w:val="left"/>
              <w:rPr>
                <w:sz w:val="4"/>
                <w:szCs w:val="4"/>
              </w:rPr>
            </w:pPr>
            <w:r>
              <w:rPr>
                <w:sz w:val="4"/>
                <w:szCs w:val="4"/>
              </w:rPr>
            </w:r>
          </w:p>
        </w:tc>
        <w:tc>
          <w:tcPr>
            <w:tcW w:w="138"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widowControl/>
              <w:bidi w:val="0"/>
              <w:spacing w:before="0" w:after="0"/>
              <w:ind w:left="0" w:right="0" w:hanging="0"/>
              <w:jc w:val="right"/>
              <w:rPr>
                <w:rFonts w:ascii="times new roman;times" w:hAnsi="times new roman;times"/>
                <w:b w:val="false"/>
                <w:color w:val="000000"/>
                <w:spacing w:val="0"/>
                <w:sz w:val="20"/>
              </w:rPr>
            </w:pPr>
            <w:r>
              <w:rPr>
                <w:rFonts w:ascii="times new roman;times" w:hAnsi="times new roman;times"/>
                <w:b w:val="false"/>
                <w:color w:val="000000"/>
                <w:spacing w:val="0"/>
                <w:sz w:val="20"/>
              </w:rPr>
              <w:t>235.4</w:t>
            </w:r>
          </w:p>
        </w:tc>
        <w:tc>
          <w:tcPr>
            <w:tcW w:w="122" w:type="dxa"/>
            <w:tcBorders/>
            <w:shd w:fill="CCEEFF" w:val="clear"/>
            <w:vAlign w:val="center"/>
          </w:tcPr>
          <w:p>
            <w:pPr>
              <w:pStyle w:val="TableContents"/>
              <w:bidi w:val="0"/>
              <w:spacing w:before="0" w:after="283"/>
              <w:jc w:val="left"/>
              <w:rPr>
                <w:sz w:val="4"/>
                <w:szCs w:val="4"/>
              </w:rPr>
            </w:pPr>
            <w:r>
              <w:rPr>
                <w:sz w:val="4"/>
                <w:szCs w:val="4"/>
              </w:rPr>
            </w:r>
          </w:p>
        </w:tc>
      </w:tr>
      <w:tr>
        <w:trPr/>
        <w:tc>
          <w:tcPr>
            <w:tcW w:w="1220"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Other</w:t>
            </w:r>
          </w:p>
        </w:tc>
        <w:tc>
          <w:tcPr>
            <w:tcW w:w="60" w:type="dxa"/>
            <w:tcBorders/>
            <w:vAlign w:val="center"/>
          </w:tcPr>
          <w:p>
            <w:pPr>
              <w:pStyle w:val="TableContents"/>
              <w:bidi w:val="0"/>
              <w:spacing w:before="0" w:after="0"/>
              <w:jc w:val="left"/>
              <w:rPr/>
            </w:pPr>
            <w:r>
              <w:rPr/>
              <w:t> </w:t>
            </w:r>
          </w:p>
        </w:tc>
        <w:tc>
          <w:tcPr>
            <w:tcW w:w="841"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3.9</w:t>
            </w:r>
          </w:p>
        </w:tc>
        <w:tc>
          <w:tcPr>
            <w:tcW w:w="31"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0"/>
              <w:jc w:val="left"/>
              <w:rPr/>
            </w:pPr>
            <w:r>
              <w:rPr/>
              <w:t> </w:t>
            </w:r>
          </w:p>
        </w:tc>
        <w:tc>
          <w:tcPr>
            <w:tcW w:w="841"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12.9</w:t>
            </w:r>
          </w:p>
        </w:tc>
        <w:tc>
          <w:tcPr>
            <w:tcW w:w="31"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0"/>
              <w:jc w:val="left"/>
              <w:rPr/>
            </w:pPr>
            <w:r>
              <w:rPr/>
              <w:t> </w:t>
            </w:r>
          </w:p>
        </w:tc>
        <w:tc>
          <w:tcPr>
            <w:tcW w:w="841"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16.8</w:t>
            </w:r>
          </w:p>
        </w:tc>
        <w:tc>
          <w:tcPr>
            <w:tcW w:w="31"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0"/>
              <w:jc w:val="left"/>
              <w:rPr/>
            </w:pPr>
            <w:r>
              <w:rPr/>
              <w:t> </w:t>
            </w:r>
          </w:p>
        </w:tc>
        <w:tc>
          <w:tcPr>
            <w:tcW w:w="841"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33.6</w:t>
            </w:r>
          </w:p>
        </w:tc>
        <w:tc>
          <w:tcPr>
            <w:tcW w:w="13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widowControl/>
              <w:bidi w:val="0"/>
              <w:spacing w:before="0" w:after="0"/>
              <w:ind w:left="0" w:right="0" w:hanging="0"/>
              <w:jc w:val="right"/>
              <w:rPr>
                <w:rFonts w:ascii="times new roman;times" w:hAnsi="times new roman;times"/>
                <w:b w:val="false"/>
                <w:color w:val="000000"/>
                <w:spacing w:val="0"/>
                <w:sz w:val="20"/>
              </w:rPr>
            </w:pPr>
            <w:r>
              <w:rPr>
                <w:rFonts w:ascii="times new roman;times" w:hAnsi="times new roman;times"/>
                <w:b w:val="false"/>
                <w:color w:val="000000"/>
                <w:spacing w:val="0"/>
                <w:sz w:val="20"/>
              </w:rPr>
              <w:t>7.0</w:t>
            </w:r>
          </w:p>
        </w:tc>
        <w:tc>
          <w:tcPr>
            <w:tcW w:w="25"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widowControl/>
              <w:bidi w:val="0"/>
              <w:spacing w:before="0" w:after="0"/>
              <w:ind w:left="0" w:right="0" w:hanging="0"/>
              <w:jc w:val="right"/>
              <w:rPr>
                <w:rFonts w:ascii="times new roman;times" w:hAnsi="times new roman;times"/>
                <w:b w:val="false"/>
                <w:color w:val="000000"/>
                <w:spacing w:val="0"/>
                <w:sz w:val="20"/>
              </w:rPr>
            </w:pPr>
            <w:r>
              <w:rPr>
                <w:rFonts w:ascii="times new roman;times" w:hAnsi="times new roman;times"/>
                <w:b w:val="false"/>
                <w:color w:val="000000"/>
                <w:spacing w:val="0"/>
                <w:sz w:val="20"/>
              </w:rPr>
              <w:t>26.4</w:t>
            </w:r>
          </w:p>
        </w:tc>
        <w:tc>
          <w:tcPr>
            <w:tcW w:w="25"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widowControl/>
              <w:bidi w:val="0"/>
              <w:spacing w:before="0" w:after="0"/>
              <w:ind w:left="0" w:right="0" w:hanging="0"/>
              <w:jc w:val="right"/>
              <w:rPr>
                <w:rFonts w:ascii="times new roman;times" w:hAnsi="times new roman;times"/>
                <w:b w:val="false"/>
                <w:color w:val="000000"/>
                <w:spacing w:val="0"/>
                <w:sz w:val="20"/>
              </w:rPr>
            </w:pPr>
            <w:r>
              <w:rPr>
                <w:rFonts w:ascii="times new roman;times" w:hAnsi="times new roman;times"/>
                <w:b w:val="false"/>
                <w:color w:val="000000"/>
                <w:spacing w:val="0"/>
                <w:sz w:val="20"/>
              </w:rPr>
              <w:t>33.2</w:t>
            </w:r>
          </w:p>
        </w:tc>
        <w:tc>
          <w:tcPr>
            <w:tcW w:w="25"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widowControl/>
              <w:bidi w:val="0"/>
              <w:spacing w:before="0" w:after="0"/>
              <w:ind w:left="0" w:right="0" w:hanging="0"/>
              <w:jc w:val="right"/>
              <w:rPr>
                <w:rFonts w:ascii="times new roman;times" w:hAnsi="times new roman;times"/>
                <w:b w:val="false"/>
                <w:color w:val="000000"/>
                <w:spacing w:val="0"/>
                <w:sz w:val="20"/>
              </w:rPr>
            </w:pPr>
            <w:r>
              <w:rPr>
                <w:rFonts w:ascii="times new roman;times" w:hAnsi="times new roman;times"/>
                <w:b w:val="false"/>
                <w:color w:val="000000"/>
                <w:spacing w:val="0"/>
                <w:sz w:val="20"/>
              </w:rPr>
              <w:t>66.6</w:t>
            </w:r>
          </w:p>
        </w:tc>
        <w:tc>
          <w:tcPr>
            <w:tcW w:w="122" w:type="dxa"/>
            <w:tcBorders/>
            <w:vAlign w:val="center"/>
          </w:tcPr>
          <w:p>
            <w:pPr>
              <w:pStyle w:val="TableContents"/>
              <w:bidi w:val="0"/>
              <w:spacing w:before="0" w:after="283"/>
              <w:jc w:val="left"/>
              <w:rPr>
                <w:sz w:val="4"/>
                <w:szCs w:val="4"/>
              </w:rPr>
            </w:pPr>
            <w:r>
              <w:rPr>
                <w:sz w:val="4"/>
                <w:szCs w:val="4"/>
              </w:rPr>
            </w:r>
          </w:p>
        </w:tc>
      </w:tr>
      <w:tr>
        <w:trPr/>
        <w:tc>
          <w:tcPr>
            <w:tcW w:w="1220"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Eliminations</w:t>
            </w:r>
          </w:p>
        </w:tc>
        <w:tc>
          <w:tcPr>
            <w:tcW w:w="60" w:type="dxa"/>
            <w:tcBorders/>
            <w:shd w:fill="CCEEFF" w:val="clear"/>
            <w:vAlign w:val="center"/>
          </w:tcPr>
          <w:p>
            <w:pPr>
              <w:pStyle w:val="TableContents"/>
              <w:bidi w:val="0"/>
              <w:spacing w:before="0" w:after="0"/>
              <w:jc w:val="left"/>
              <w:rPr/>
            </w:pPr>
            <w:r>
              <w:rPr/>
              <w:t> </w:t>
            </w:r>
          </w:p>
        </w:tc>
        <w:tc>
          <w:tcPr>
            <w:tcW w:w="841" w:type="dxa"/>
            <w:gridSpan w:val="2"/>
            <w:tcBorders/>
            <w:shd w:fill="CCEEFF" w:val="clear"/>
            <w:vAlign w:val="center"/>
          </w:tcPr>
          <w:p>
            <w:pPr>
              <w:pStyle w:val="TableContents"/>
              <w:bidi w:val="0"/>
              <w:spacing w:before="0" w:after="0"/>
              <w:jc w:val="right"/>
              <w:rPr/>
            </w:pPr>
            <w:r>
              <w:rPr/>
              <w:t>—</w:t>
            </w:r>
          </w:p>
        </w:tc>
        <w:tc>
          <w:tcPr>
            <w:tcW w:w="31" w:type="dxa"/>
            <w:tcBorders/>
            <w:shd w:fill="CCEEFF" w:val="clear"/>
            <w:vAlign w:val="center"/>
          </w:tcPr>
          <w:p>
            <w:pPr>
              <w:pStyle w:val="TableContents"/>
              <w:bidi w:val="0"/>
              <w:spacing w:before="0" w:after="283"/>
              <w:jc w:val="left"/>
              <w:rPr>
                <w:sz w:val="4"/>
                <w:szCs w:val="4"/>
              </w:rPr>
            </w:pPr>
            <w:r>
              <w:rPr>
                <w:sz w:val="4"/>
                <w:szCs w:val="4"/>
              </w:rPr>
            </w:r>
          </w:p>
        </w:tc>
        <w:tc>
          <w:tcPr>
            <w:tcW w:w="82" w:type="dxa"/>
            <w:tcBorders/>
            <w:shd w:fill="CCEEFF" w:val="clear"/>
            <w:vAlign w:val="center"/>
          </w:tcPr>
          <w:p>
            <w:pPr>
              <w:pStyle w:val="TableContents"/>
              <w:bidi w:val="0"/>
              <w:spacing w:before="0" w:after="0"/>
              <w:jc w:val="left"/>
              <w:rPr/>
            </w:pPr>
            <w:r>
              <w:rPr/>
              <w:t> </w:t>
            </w:r>
          </w:p>
        </w:tc>
        <w:tc>
          <w:tcPr>
            <w:tcW w:w="841" w:type="dxa"/>
            <w:gridSpan w:val="2"/>
            <w:tcBorders/>
            <w:shd w:fill="CCEEFF" w:val="clear"/>
            <w:vAlign w:val="center"/>
          </w:tcPr>
          <w:p>
            <w:pPr>
              <w:pStyle w:val="TableContents"/>
              <w:bidi w:val="0"/>
              <w:spacing w:before="0" w:after="0"/>
              <w:jc w:val="right"/>
              <w:rPr/>
            </w:pPr>
            <w:r>
              <w:rPr/>
              <w:t>—</w:t>
            </w:r>
          </w:p>
        </w:tc>
        <w:tc>
          <w:tcPr>
            <w:tcW w:w="31" w:type="dxa"/>
            <w:tcBorders/>
            <w:shd w:fill="CCEEFF" w:val="clear"/>
            <w:vAlign w:val="center"/>
          </w:tcPr>
          <w:p>
            <w:pPr>
              <w:pStyle w:val="TableContents"/>
              <w:bidi w:val="0"/>
              <w:spacing w:before="0" w:after="283"/>
              <w:jc w:val="left"/>
              <w:rPr>
                <w:sz w:val="4"/>
                <w:szCs w:val="4"/>
              </w:rPr>
            </w:pPr>
            <w:r>
              <w:rPr>
                <w:sz w:val="4"/>
                <w:szCs w:val="4"/>
              </w:rPr>
            </w:r>
          </w:p>
        </w:tc>
        <w:tc>
          <w:tcPr>
            <w:tcW w:w="82" w:type="dxa"/>
            <w:tcBorders/>
            <w:shd w:fill="CCEEFF" w:val="clear"/>
            <w:vAlign w:val="center"/>
          </w:tcPr>
          <w:p>
            <w:pPr>
              <w:pStyle w:val="TableContents"/>
              <w:bidi w:val="0"/>
              <w:spacing w:before="0" w:after="0"/>
              <w:jc w:val="left"/>
              <w:rPr/>
            </w:pPr>
            <w:r>
              <w:rPr/>
              <w:t> </w:t>
            </w:r>
          </w:p>
        </w:tc>
        <w:tc>
          <w:tcPr>
            <w:tcW w:w="841" w:type="dxa"/>
            <w:gridSpan w:val="2"/>
            <w:tcBorders/>
            <w:shd w:fill="CCEEFF" w:val="clear"/>
            <w:vAlign w:val="center"/>
          </w:tcPr>
          <w:p>
            <w:pPr>
              <w:pStyle w:val="TableContents"/>
              <w:bidi w:val="0"/>
              <w:spacing w:before="0" w:after="0"/>
              <w:jc w:val="right"/>
              <w:rPr/>
            </w:pPr>
            <w:r>
              <w:rPr/>
              <w:t>—</w:t>
            </w:r>
          </w:p>
        </w:tc>
        <w:tc>
          <w:tcPr>
            <w:tcW w:w="31" w:type="dxa"/>
            <w:tcBorders/>
            <w:shd w:fill="CCEEFF" w:val="clear"/>
            <w:vAlign w:val="center"/>
          </w:tcPr>
          <w:p>
            <w:pPr>
              <w:pStyle w:val="TableContents"/>
              <w:bidi w:val="0"/>
              <w:spacing w:before="0" w:after="283"/>
              <w:jc w:val="left"/>
              <w:rPr>
                <w:sz w:val="4"/>
                <w:szCs w:val="4"/>
              </w:rPr>
            </w:pPr>
            <w:r>
              <w:rPr>
                <w:sz w:val="4"/>
                <w:szCs w:val="4"/>
              </w:rPr>
            </w:r>
          </w:p>
        </w:tc>
        <w:tc>
          <w:tcPr>
            <w:tcW w:w="82" w:type="dxa"/>
            <w:tcBorders/>
            <w:shd w:fill="CCEEFF" w:val="clear"/>
            <w:vAlign w:val="center"/>
          </w:tcPr>
          <w:p>
            <w:pPr>
              <w:pStyle w:val="TableContents"/>
              <w:bidi w:val="0"/>
              <w:spacing w:before="0" w:after="0"/>
              <w:jc w:val="left"/>
              <w:rPr/>
            </w:pPr>
            <w:r>
              <w:rPr/>
              <w:t> </w:t>
            </w:r>
          </w:p>
        </w:tc>
        <w:tc>
          <w:tcPr>
            <w:tcW w:w="841"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(1.9</w:t>
            </w:r>
          </w:p>
        </w:tc>
        <w:tc>
          <w:tcPr>
            <w:tcW w:w="131"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138" w:type="dxa"/>
            <w:tcBorders>
              <w:top w:val="dashed" w:sz="2" w:space="0" w:color="BBBBBB"/>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before="0" w:after="0"/>
              <w:jc w:val="right"/>
              <w:rPr/>
            </w:pPr>
            <w:r>
              <w:rPr/>
              <w:t>—</w:t>
            </w:r>
          </w:p>
        </w:tc>
        <w:tc>
          <w:tcPr>
            <w:tcW w:w="25" w:type="dxa"/>
            <w:tcBorders/>
            <w:shd w:fill="CCEEFF" w:val="clear"/>
            <w:vAlign w:val="center"/>
          </w:tcPr>
          <w:p>
            <w:pPr>
              <w:pStyle w:val="TableContents"/>
              <w:bidi w:val="0"/>
              <w:spacing w:before="0" w:after="283"/>
              <w:jc w:val="left"/>
              <w:rPr>
                <w:sz w:val="4"/>
                <w:szCs w:val="4"/>
              </w:rPr>
            </w:pPr>
            <w:r>
              <w:rPr>
                <w:sz w:val="4"/>
                <w:szCs w:val="4"/>
              </w:rPr>
            </w:r>
          </w:p>
        </w:tc>
        <w:tc>
          <w:tcPr>
            <w:tcW w:w="25" w:type="dxa"/>
            <w:tcBorders/>
            <w:shd w:fill="CCEEFF" w:val="clear"/>
            <w:vAlign w:val="center"/>
          </w:tcPr>
          <w:p>
            <w:pPr>
              <w:pStyle w:val="TableContents"/>
              <w:bidi w:val="0"/>
              <w:spacing w:before="0" w:after="283"/>
              <w:jc w:val="left"/>
              <w:rPr>
                <w:sz w:val="4"/>
                <w:szCs w:val="4"/>
              </w:rPr>
            </w:pPr>
            <w:r>
              <w:rPr>
                <w:sz w:val="4"/>
                <w:szCs w:val="4"/>
              </w:rPr>
            </w:r>
          </w:p>
        </w:tc>
        <w:tc>
          <w:tcPr>
            <w:tcW w:w="138" w:type="dxa"/>
            <w:tcBorders/>
            <w:shd w:fill="CCEEFF" w:val="clear"/>
            <w:vAlign w:val="center"/>
          </w:tcPr>
          <w:p>
            <w:pPr>
              <w:pStyle w:val="TableContents"/>
              <w:bidi w:val="0"/>
              <w:spacing w:before="0" w:after="283"/>
              <w:jc w:val="left"/>
              <w:rPr>
                <w:sz w:val="4"/>
                <w:szCs w:val="4"/>
              </w:rPr>
            </w:pPr>
            <w:r>
              <w:rPr>
                <w:sz w:val="4"/>
                <w:szCs w:val="4"/>
              </w:rPr>
            </w:r>
          </w:p>
        </w:tc>
        <w:tc>
          <w:tcPr>
            <w:tcW w:w="538" w:type="dxa"/>
            <w:tcBorders/>
            <w:shd w:fill="CCEEFF" w:val="clear"/>
            <w:vAlign w:val="center"/>
          </w:tcPr>
          <w:p>
            <w:pPr>
              <w:pStyle w:val="TableContents"/>
              <w:bidi w:val="0"/>
              <w:spacing w:before="0" w:after="0"/>
              <w:jc w:val="right"/>
              <w:rPr/>
            </w:pPr>
            <w:r>
              <w:rPr/>
              <w:t>—</w:t>
            </w:r>
          </w:p>
        </w:tc>
        <w:tc>
          <w:tcPr>
            <w:tcW w:w="25" w:type="dxa"/>
            <w:tcBorders/>
            <w:shd w:fill="CCEEFF" w:val="clear"/>
            <w:vAlign w:val="center"/>
          </w:tcPr>
          <w:p>
            <w:pPr>
              <w:pStyle w:val="TableContents"/>
              <w:bidi w:val="0"/>
              <w:spacing w:before="0" w:after="283"/>
              <w:jc w:val="left"/>
              <w:rPr>
                <w:sz w:val="4"/>
                <w:szCs w:val="4"/>
              </w:rPr>
            </w:pPr>
            <w:r>
              <w:rPr>
                <w:sz w:val="4"/>
                <w:szCs w:val="4"/>
              </w:rPr>
            </w:r>
          </w:p>
        </w:tc>
        <w:tc>
          <w:tcPr>
            <w:tcW w:w="25" w:type="dxa"/>
            <w:tcBorders/>
            <w:shd w:fill="CCEEFF" w:val="clear"/>
            <w:vAlign w:val="center"/>
          </w:tcPr>
          <w:p>
            <w:pPr>
              <w:pStyle w:val="TableContents"/>
              <w:bidi w:val="0"/>
              <w:spacing w:before="0" w:after="283"/>
              <w:jc w:val="left"/>
              <w:rPr>
                <w:sz w:val="4"/>
                <w:szCs w:val="4"/>
              </w:rPr>
            </w:pPr>
            <w:r>
              <w:rPr>
                <w:sz w:val="4"/>
                <w:szCs w:val="4"/>
              </w:rPr>
            </w:r>
          </w:p>
        </w:tc>
        <w:tc>
          <w:tcPr>
            <w:tcW w:w="138"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before="0" w:after="0"/>
              <w:jc w:val="right"/>
              <w:rPr/>
            </w:pPr>
            <w:r>
              <w:rPr/>
              <w:t>—</w:t>
            </w:r>
          </w:p>
        </w:tc>
        <w:tc>
          <w:tcPr>
            <w:tcW w:w="25" w:type="dxa"/>
            <w:tcBorders/>
            <w:shd w:fill="CCEEFF" w:val="clear"/>
            <w:vAlign w:val="center"/>
          </w:tcPr>
          <w:p>
            <w:pPr>
              <w:pStyle w:val="TableContents"/>
              <w:bidi w:val="0"/>
              <w:spacing w:before="0" w:after="283"/>
              <w:jc w:val="left"/>
              <w:rPr>
                <w:sz w:val="4"/>
                <w:szCs w:val="4"/>
              </w:rPr>
            </w:pPr>
            <w:r>
              <w:rPr>
                <w:sz w:val="4"/>
                <w:szCs w:val="4"/>
              </w:rPr>
            </w:r>
          </w:p>
        </w:tc>
        <w:tc>
          <w:tcPr>
            <w:tcW w:w="25" w:type="dxa"/>
            <w:tcBorders/>
            <w:shd w:fill="CCEEFF" w:val="clear"/>
            <w:vAlign w:val="center"/>
          </w:tcPr>
          <w:p>
            <w:pPr>
              <w:pStyle w:val="TableContents"/>
              <w:bidi w:val="0"/>
              <w:spacing w:before="0" w:after="283"/>
              <w:jc w:val="left"/>
              <w:rPr>
                <w:sz w:val="4"/>
                <w:szCs w:val="4"/>
              </w:rPr>
            </w:pPr>
            <w:r>
              <w:rPr>
                <w:sz w:val="4"/>
                <w:szCs w:val="4"/>
              </w:rPr>
            </w:r>
          </w:p>
        </w:tc>
        <w:tc>
          <w:tcPr>
            <w:tcW w:w="138"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widowControl/>
              <w:bidi w:val="0"/>
              <w:spacing w:before="0" w:after="0"/>
              <w:ind w:left="0" w:right="0" w:hanging="0"/>
              <w:jc w:val="right"/>
              <w:rPr>
                <w:rFonts w:ascii="times new roman;times" w:hAnsi="times new roman;times"/>
                <w:b w:val="false"/>
                <w:color w:val="000000"/>
                <w:spacing w:val="0"/>
                <w:sz w:val="20"/>
              </w:rPr>
            </w:pPr>
            <w:r>
              <w:rPr>
                <w:rFonts w:ascii="times new roman;times" w:hAnsi="times new roman;times"/>
                <w:b w:val="false"/>
                <w:color w:val="000000"/>
                <w:spacing w:val="0"/>
                <w:sz w:val="20"/>
              </w:rPr>
              <w:t>(3.8</w:t>
            </w:r>
          </w:p>
        </w:tc>
        <w:tc>
          <w:tcPr>
            <w:tcW w:w="122" w:type="dxa"/>
            <w:tcBorders/>
            <w:shd w:fill="CCEEFF" w:val="clear"/>
            <w:vAlign w:val="center"/>
          </w:tcPr>
          <w:p>
            <w:pPr>
              <w:pStyle w:val="TableContents"/>
              <w:bidi w:val="0"/>
              <w:spacing w:before="0" w:after="283"/>
              <w:jc w:val="left"/>
              <w:rPr/>
            </w:pPr>
            <w:r>
              <w:rPr/>
              <w:t>)</w:t>
            </w:r>
          </w:p>
        </w:tc>
      </w:tr>
      <w:tr>
        <w:trPr/>
        <w:tc>
          <w:tcPr>
            <w:tcW w:w="1220"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Total</w:t>
            </w:r>
          </w:p>
        </w:tc>
        <w:tc>
          <w:tcPr>
            <w:tcW w:w="60"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669"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305.4</w:t>
            </w:r>
          </w:p>
        </w:tc>
        <w:tc>
          <w:tcPr>
            <w:tcW w:w="31"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669"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260.9</w:t>
            </w:r>
          </w:p>
        </w:tc>
        <w:tc>
          <w:tcPr>
            <w:tcW w:w="31"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669" w:type="dxa"/>
            <w:tcBorders/>
            <w:vAlign w:val="center"/>
          </w:tcPr>
          <w:p>
            <w:pPr>
              <w:pStyle w:val="TableContents"/>
              <w:widowControl/>
              <w:bidi w:val="0"/>
              <w:spacing w:before="0" w:after="0"/>
              <w:ind w:left="0" w:right="0" w:hanging="0"/>
              <w:jc w:val="right"/>
              <w:rPr>
                <w:rFonts w:ascii="times new roman;times" w:hAnsi="times new roman;times"/>
                <w:b w:val="false"/>
                <w:color w:val="000000"/>
                <w:spacing w:val="0"/>
                <w:sz w:val="20"/>
              </w:rPr>
            </w:pPr>
            <w:r>
              <w:rPr>
                <w:rFonts w:ascii="times new roman;times" w:hAnsi="times new roman;times"/>
                <w:b w:val="false"/>
                <w:color w:val="000000"/>
                <w:spacing w:val="0"/>
                <w:sz w:val="20"/>
              </w:rPr>
              <w:t>421.8</w:t>
            </w:r>
          </w:p>
        </w:tc>
        <w:tc>
          <w:tcPr>
            <w:tcW w:w="31"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0"/>
              <w:jc w:val="left"/>
              <w:rPr/>
            </w:pPr>
            <w:r>
              <w:rPr/>
              <w:t> </w:t>
            </w:r>
          </w:p>
        </w:tc>
        <w:tc>
          <w:tcPr>
            <w:tcW w:w="172" w:type="dxa"/>
            <w:tcBorders>
              <w:top w:val="dashed" w:sz="2" w:space="0" w:color="BBBBBB"/>
            </w:tcBorders>
            <w:tcMar>
              <w:top w:w="28" w:type="dxa"/>
            </w:tcM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669" w:type="dxa"/>
            <w:tcBorders/>
            <w:vAlign w:val="center"/>
          </w:tcPr>
          <w:p>
            <w:pPr>
              <w:pStyle w:val="TableContents"/>
              <w:widowControl/>
              <w:bidi w:val="0"/>
              <w:spacing w:before="0" w:after="0"/>
              <w:ind w:left="0" w:right="0" w:hanging="0"/>
              <w:jc w:val="right"/>
              <w:rPr>
                <w:rFonts w:ascii="times new roman;times" w:hAnsi="times new roman;times"/>
                <w:b w:val="false"/>
                <w:color w:val="000000"/>
                <w:spacing w:val="0"/>
                <w:sz w:val="20"/>
              </w:rPr>
            </w:pPr>
            <w:r>
              <w:rPr>
                <w:rFonts w:ascii="times new roman;times" w:hAnsi="times new roman;times"/>
                <w:b w:val="false"/>
                <w:color w:val="000000"/>
                <w:spacing w:val="0"/>
                <w:sz w:val="20"/>
              </w:rPr>
              <w:t>986.2</w:t>
            </w:r>
          </w:p>
        </w:tc>
        <w:tc>
          <w:tcPr>
            <w:tcW w:w="13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38" w:type="dxa"/>
            <w:tcBorders>
              <w:top w:val="dashed" w:sz="2" w:space="0" w:color="BBBBBB"/>
            </w:tcBorders>
            <w:tcMar>
              <w:top w:w="28" w:type="dxa"/>
            </w:tcMar>
            <w:vAlign w:val="center"/>
          </w:tcPr>
          <w:p>
            <w:pPr>
              <w:pStyle w:val="TableContents"/>
              <w:bidi w:val="0"/>
              <w:spacing w:before="0" w:after="0"/>
              <w:jc w:val="left"/>
              <w:rPr>
                <w:sz w:val="20"/>
              </w:rPr>
            </w:pPr>
            <w:r>
              <w:rPr>
                <w:sz w:val="20"/>
              </w:rPr>
              <w:t>$</w:t>
            </w:r>
          </w:p>
        </w:tc>
        <w:tc>
          <w:tcPr>
            <w:tcW w:w="871" w:type="dxa"/>
            <w:tcBorders/>
            <w:vAlign w:val="center"/>
          </w:tcPr>
          <w:p>
            <w:pPr>
              <w:pStyle w:val="TableContents"/>
              <w:widowControl/>
              <w:bidi w:val="0"/>
              <w:spacing w:before="0" w:after="0"/>
              <w:ind w:left="0" w:right="0" w:hanging="0"/>
              <w:jc w:val="right"/>
              <w:rPr>
                <w:rFonts w:ascii="times new roman;times" w:hAnsi="times new roman;times"/>
                <w:b w:val="false"/>
                <w:color w:val="000000"/>
                <w:spacing w:val="0"/>
                <w:sz w:val="20"/>
              </w:rPr>
            </w:pPr>
            <w:r>
              <w:rPr>
                <w:rFonts w:ascii="times new roman;times" w:hAnsi="times new roman;times"/>
                <w:b w:val="false"/>
                <w:color w:val="000000"/>
                <w:spacing w:val="0"/>
                <w:sz w:val="20"/>
              </w:rPr>
              <w:t>522.6</w:t>
            </w:r>
          </w:p>
        </w:tc>
        <w:tc>
          <w:tcPr>
            <w:tcW w:w="25"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138" w:type="dxa"/>
            <w:tcBorders>
              <w:top w:val="dashed" w:sz="2" w:space="0" w:color="BBBBBB"/>
            </w:tcBorders>
            <w:tcMar>
              <w:top w:w="28" w:type="dxa"/>
            </w:tcMar>
            <w:vAlign w:val="center"/>
          </w:tcPr>
          <w:p>
            <w:pPr>
              <w:pStyle w:val="TableContents"/>
              <w:bidi w:val="0"/>
              <w:spacing w:before="0" w:after="0"/>
              <w:jc w:val="left"/>
              <w:rPr>
                <w:sz w:val="20"/>
              </w:rPr>
            </w:pPr>
            <w:r>
              <w:rPr>
                <w:sz w:val="20"/>
              </w:rPr>
              <w:t>$</w:t>
            </w:r>
          </w:p>
        </w:tc>
        <w:tc>
          <w:tcPr>
            <w:tcW w:w="538" w:type="dxa"/>
            <w:tcBorders/>
            <w:vAlign w:val="center"/>
          </w:tcPr>
          <w:p>
            <w:pPr>
              <w:pStyle w:val="TableContents"/>
              <w:widowControl/>
              <w:bidi w:val="0"/>
              <w:spacing w:before="0" w:after="0"/>
              <w:ind w:left="0" w:right="0" w:hanging="0"/>
              <w:jc w:val="right"/>
              <w:rPr>
                <w:rFonts w:ascii="times new roman;times" w:hAnsi="times new roman;times"/>
                <w:b w:val="false"/>
                <w:color w:val="000000"/>
                <w:spacing w:val="0"/>
                <w:sz w:val="20"/>
              </w:rPr>
            </w:pPr>
            <w:r>
              <w:rPr>
                <w:rFonts w:ascii="times new roman;times" w:hAnsi="times new roman;times"/>
                <w:b w:val="false"/>
                <w:color w:val="000000"/>
                <w:spacing w:val="0"/>
                <w:sz w:val="20"/>
              </w:rPr>
              <w:t>518.0</w:t>
            </w:r>
          </w:p>
        </w:tc>
        <w:tc>
          <w:tcPr>
            <w:tcW w:w="25" w:type="dxa"/>
            <w:tcBorders>
              <w:top w:val="dashed" w:sz="2" w:space="0" w:color="BBBBBB"/>
            </w:tcBorders>
            <w:tcMar>
              <w:top w:w="28" w:type="dxa"/>
            </w:tcMar>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138" w:type="dxa"/>
            <w:tcBorders>
              <w:top w:val="dashed" w:sz="2" w:space="0" w:color="BBBBBB"/>
            </w:tcBorders>
            <w:tcMar>
              <w:top w:w="28" w:type="dxa"/>
            </w:tcMar>
            <w:vAlign w:val="center"/>
          </w:tcPr>
          <w:p>
            <w:pPr>
              <w:pStyle w:val="TableContents"/>
              <w:bidi w:val="0"/>
              <w:spacing w:before="0" w:after="0"/>
              <w:jc w:val="left"/>
              <w:rPr>
                <w:sz w:val="20"/>
              </w:rPr>
            </w:pPr>
            <w:r>
              <w:rPr>
                <w:sz w:val="20"/>
              </w:rPr>
              <w:t>$</w:t>
            </w:r>
          </w:p>
        </w:tc>
        <w:tc>
          <w:tcPr>
            <w:tcW w:w="721" w:type="dxa"/>
            <w:tcBorders/>
            <w:vAlign w:val="center"/>
          </w:tcPr>
          <w:p>
            <w:pPr>
              <w:pStyle w:val="TableContents"/>
              <w:widowControl/>
              <w:bidi w:val="0"/>
              <w:spacing w:before="0" w:after="0"/>
              <w:ind w:left="0" w:right="0" w:hanging="0"/>
              <w:jc w:val="right"/>
              <w:rPr>
                <w:rFonts w:ascii="times new roman;times" w:hAnsi="times new roman;times"/>
                <w:b w:val="false"/>
                <w:color w:val="000000"/>
                <w:spacing w:val="0"/>
                <w:sz w:val="20"/>
              </w:rPr>
            </w:pPr>
            <w:r>
              <w:rPr>
                <w:rFonts w:ascii="times new roman;times" w:hAnsi="times new roman;times"/>
                <w:b w:val="false"/>
                <w:color w:val="000000"/>
                <w:spacing w:val="0"/>
                <w:sz w:val="20"/>
              </w:rPr>
              <w:t>806.4</w:t>
            </w:r>
          </w:p>
        </w:tc>
        <w:tc>
          <w:tcPr>
            <w:tcW w:w="25" w:type="dxa"/>
            <w:tcBorders>
              <w:top w:val="dashed" w:sz="2" w:space="0" w:color="BBBBBB"/>
            </w:tcBorders>
            <w:tcMar>
              <w:top w:w="28" w:type="dxa"/>
            </w:tcMar>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0"/>
              <w:jc w:val="left"/>
              <w:rPr>
                <w:sz w:val="20"/>
              </w:rPr>
            </w:pPr>
            <w:r>
              <w:rPr>
                <w:sz w:val="20"/>
              </w:rPr>
              <w:t>$</w:t>
            </w:r>
          </w:p>
        </w:tc>
        <w:tc>
          <w:tcPr>
            <w:tcW w:w="704" w:type="dxa"/>
            <w:tcBorders/>
            <w:vAlign w:val="center"/>
          </w:tcPr>
          <w:p>
            <w:pPr>
              <w:pStyle w:val="TableContents"/>
              <w:widowControl/>
              <w:bidi w:val="0"/>
              <w:spacing w:before="0" w:after="0"/>
              <w:ind w:left="0" w:right="0" w:hanging="0"/>
              <w:jc w:val="right"/>
              <w:rPr>
                <w:rFonts w:ascii="times new roman;times" w:hAnsi="times new roman;times"/>
                <w:b w:val="false"/>
                <w:color w:val="000000"/>
                <w:spacing w:val="0"/>
                <w:sz w:val="20"/>
              </w:rPr>
            </w:pPr>
            <w:r>
              <w:rPr>
                <w:rFonts w:ascii="times new roman;times" w:hAnsi="times new roman;times"/>
                <w:b w:val="false"/>
                <w:color w:val="000000"/>
                <w:spacing w:val="0"/>
                <w:sz w:val="20"/>
              </w:rPr>
              <w:t>1,843.2</w:t>
            </w:r>
          </w:p>
        </w:tc>
        <w:tc>
          <w:tcPr>
            <w:tcW w:w="122" w:type="dxa"/>
            <w:tcBorders/>
            <w:vAlign w:val="center"/>
          </w:tcPr>
          <w:p>
            <w:pPr>
              <w:pStyle w:val="TableContents"/>
              <w:bidi w:val="0"/>
              <w:spacing w:before="0" w:after="283"/>
              <w:jc w:val="left"/>
              <w:rPr>
                <w:sz w:val="4"/>
                <w:szCs w:val="4"/>
              </w:rPr>
            </w:pPr>
            <w:r>
              <w:rPr>
                <w:sz w:val="4"/>
                <w:szCs w:val="4"/>
              </w:rPr>
            </w:r>
          </w:p>
        </w:tc>
      </w:tr>
    </w:tbl>
    <w:p>
      <w:pPr>
        <w:pStyle w:val="TextBody"/>
        <w:widowControl/>
        <w:bidi w:val="0"/>
        <w:spacing w:lineRule="atLeast" w:line="240"/>
        <w:jc w:val="left"/>
        <w:rPr>
          <w:caps w:val="false"/>
          <w:smallCaps w:val="false"/>
          <w:color w:val="000000"/>
          <w:spacing w:val="0"/>
          <w:sz w:val="20"/>
          <w:szCs w:val="20"/>
        </w:rPr>
      </w:pPr>
      <w:r>
        <w:rPr>
          <w:caps w:val="false"/>
          <w:smallCaps w:val="false"/>
          <w:color w:val="000000"/>
          <w:spacing w:val="0"/>
          <w:sz w:val="20"/>
          <w:szCs w:val="20"/>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widowControl/>
        <w:bidi w:val="0"/>
        <w:spacing w:lineRule="atLeast" w:line="240" w:before="0" w:after="0"/>
        <w:ind w:left="0" w:right="0" w:hanging="0"/>
        <w:jc w:val="left"/>
        <w:rPr>
          <w:caps w:val="false"/>
          <w:smallCaps w:val="false"/>
          <w:color w:val="000000"/>
          <w:spacing w:val="0"/>
          <w:sz w:val="20"/>
          <w:szCs w:val="20"/>
        </w:rPr>
      </w:pPr>
      <w:r>
        <w:rPr>
          <w:caps w:val="false"/>
          <w:smallCaps w:val="false"/>
          <w:color w:val="000000"/>
          <w:spacing w:val="0"/>
          <w:sz w:val="20"/>
          <w:szCs w:val="20"/>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8795" w:type="dxa"/>
        <w:jc w:val="left"/>
        <w:tblInd w:w="0" w:type="dxa"/>
        <w:tblLayout w:type="fixed"/>
        <w:tblCellMar>
          <w:top w:w="0" w:type="dxa"/>
          <w:left w:w="0" w:type="dxa"/>
          <w:bottom w:w="0" w:type="dxa"/>
          <w:right w:w="0" w:type="dxa"/>
        </w:tblCellMar>
      </w:tblPr>
      <w:tblGrid>
        <w:gridCol w:w="1220"/>
        <w:gridCol w:w="60"/>
        <w:gridCol w:w="172"/>
        <w:gridCol w:w="669"/>
        <w:gridCol w:w="31"/>
        <w:gridCol w:w="82"/>
        <w:gridCol w:w="172"/>
        <w:gridCol w:w="669"/>
        <w:gridCol w:w="31"/>
        <w:gridCol w:w="82"/>
        <w:gridCol w:w="172"/>
        <w:gridCol w:w="669"/>
        <w:gridCol w:w="31"/>
        <w:gridCol w:w="82"/>
        <w:gridCol w:w="172"/>
        <w:gridCol w:w="669"/>
        <w:gridCol w:w="131"/>
        <w:gridCol w:w="23"/>
        <w:gridCol w:w="138"/>
        <w:gridCol w:w="871"/>
        <w:gridCol w:w="25"/>
        <w:gridCol w:w="25"/>
        <w:gridCol w:w="138"/>
        <w:gridCol w:w="538"/>
        <w:gridCol w:w="25"/>
        <w:gridCol w:w="25"/>
        <w:gridCol w:w="138"/>
        <w:gridCol w:w="721"/>
        <w:gridCol w:w="25"/>
        <w:gridCol w:w="25"/>
        <w:gridCol w:w="138"/>
        <w:gridCol w:w="704"/>
        <w:gridCol w:w="122"/>
      </w:tblGrid>
      <w:tr>
        <w:trPr/>
        <w:tc>
          <w:tcPr>
            <w:tcW w:w="12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3834" w:type="dxa"/>
            <w:gridSpan w:val="15"/>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Revenues for the Three Months Ended June 30,</w:t>
            </w:r>
            <w:r>
              <w:rPr>
                <w:rFonts w:ascii="times new roman;times" w:hAnsi="times new roman;times"/>
                <w:b/>
                <w:sz w:val="16"/>
              </w:rPr>
              <w:t> 2023</w:t>
            </w:r>
          </w:p>
        </w:tc>
        <w:tc>
          <w:tcPr>
            <w:tcW w:w="23" w:type="dxa"/>
            <w:tcBorders/>
            <w:vAlign w:val="center"/>
          </w:tcPr>
          <w:p>
            <w:pPr>
              <w:pStyle w:val="TableContents"/>
              <w:bidi w:val="0"/>
              <w:spacing w:before="0" w:after="283"/>
              <w:jc w:val="left"/>
              <w:rPr>
                <w:sz w:val="4"/>
                <w:szCs w:val="4"/>
              </w:rPr>
            </w:pPr>
            <w:r>
              <w:rPr>
                <w:sz w:val="4"/>
                <w:szCs w:val="4"/>
              </w:rPr>
            </w:r>
          </w:p>
        </w:tc>
        <w:tc>
          <w:tcPr>
            <w:tcW w:w="3658" w:type="dxa"/>
            <w:gridSpan w:val="15"/>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Revenues for the Six Months Ended June 30,</w:t>
            </w:r>
            <w:r>
              <w:rPr>
                <w:rFonts w:ascii="times new roman;times" w:hAnsi="times new roman;times"/>
                <w:b/>
                <w:sz w:val="16"/>
              </w:rPr>
              <w:t> 2023</w:t>
            </w:r>
          </w:p>
        </w:tc>
      </w:tr>
      <w:tr>
        <w:trPr/>
        <w:tc>
          <w:tcPr>
            <w:tcW w:w="1220" w:type="dxa"/>
            <w:tcBorders/>
            <w:vAlign w:val="center"/>
          </w:tcPr>
          <w:p>
            <w:pPr>
              <w:pStyle w:val="TableContents"/>
              <w:widowControl/>
              <w:bidi w:val="0"/>
              <w:spacing w:before="0" w:after="0"/>
              <w:ind w:left="0" w:right="0" w:hanging="0"/>
              <w:jc w:val="both"/>
              <w:rPr>
                <w:rFonts w:ascii="times new roman;times" w:hAnsi="times new roman;times"/>
                <w:sz w:val="16"/>
              </w:rPr>
            </w:pPr>
            <w:r>
              <w:rPr>
                <w:rFonts w:ascii="times new roman;times" w:hAnsi="times new roman;times"/>
                <w:sz w:val="16"/>
              </w:rPr>
              <w:t>(in </w:t>
            </w:r>
            <w:r>
              <w:rPr>
                <w:rFonts w:ascii="times new roman;times" w:hAnsi="times new roman;times"/>
                <w:b w:val="false"/>
                <w:i w:val="false"/>
                <w:caps w:val="false"/>
                <w:smallCaps w:val="false"/>
                <w:color w:val="000000"/>
                <w:spacing w:val="0"/>
                <w:sz w:val="16"/>
              </w:rPr>
              <w:t>millions</w:t>
            </w:r>
            <w:r>
              <w:rPr>
                <w:rFonts w:ascii="times new roman;times" w:hAnsi="times new roman;times"/>
                <w:sz w:val="16"/>
              </w:rPr>
              <w:t>)</w:t>
            </w:r>
          </w:p>
        </w:tc>
        <w:tc>
          <w:tcPr>
            <w:tcW w:w="60" w:type="dxa"/>
            <w:tcBorders/>
            <w:vAlign w:val="center"/>
          </w:tcPr>
          <w:p>
            <w:pPr>
              <w:pStyle w:val="TableContents"/>
              <w:bidi w:val="0"/>
              <w:spacing w:before="0" w:after="0"/>
              <w:jc w:val="left"/>
              <w:rPr/>
            </w:pPr>
            <w:r>
              <w:rPr/>
              <w:t> </w:t>
            </w:r>
          </w:p>
        </w:tc>
        <w:tc>
          <w:tcPr>
            <w:tcW w:w="872" w:type="dxa"/>
            <w:gridSpan w:val="3"/>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EFT</w:t>
            </w:r>
          </w:p>
          <w:p>
            <w:pPr>
              <w:pStyle w:val="TableContents"/>
              <w:bidi w:val="0"/>
              <w:spacing w:before="0" w:after="0"/>
              <w:jc w:val="center"/>
              <w:rPr>
                <w:rFonts w:ascii="times new roman;times" w:hAnsi="times new roman;times"/>
                <w:b/>
                <w:sz w:val="16"/>
              </w:rPr>
            </w:pPr>
            <w:r>
              <w:rPr>
                <w:rFonts w:ascii="times new roman;times" w:hAnsi="times new roman;times"/>
                <w:b/>
                <w:sz w:val="16"/>
              </w:rPr>
              <w:t>Processing</w:t>
            </w:r>
          </w:p>
        </w:tc>
        <w:tc>
          <w:tcPr>
            <w:tcW w:w="82" w:type="dxa"/>
            <w:tcBorders/>
            <w:vAlign w:val="center"/>
          </w:tcPr>
          <w:p>
            <w:pPr>
              <w:pStyle w:val="TableContents"/>
              <w:bidi w:val="0"/>
              <w:spacing w:before="0" w:after="0"/>
              <w:jc w:val="left"/>
              <w:rPr/>
            </w:pPr>
            <w:r>
              <w:rPr/>
              <w:t> </w:t>
            </w:r>
          </w:p>
        </w:tc>
        <w:tc>
          <w:tcPr>
            <w:tcW w:w="872" w:type="dxa"/>
            <w:gridSpan w:val="3"/>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epay</w:t>
            </w:r>
          </w:p>
        </w:tc>
        <w:tc>
          <w:tcPr>
            <w:tcW w:w="82" w:type="dxa"/>
            <w:tcBorders/>
            <w:vAlign w:val="center"/>
          </w:tcPr>
          <w:p>
            <w:pPr>
              <w:pStyle w:val="TableContents"/>
              <w:bidi w:val="0"/>
              <w:spacing w:before="0" w:after="0"/>
              <w:jc w:val="left"/>
              <w:rPr/>
            </w:pPr>
            <w:r>
              <w:rPr/>
              <w:t> </w:t>
            </w:r>
          </w:p>
        </w:tc>
        <w:tc>
          <w:tcPr>
            <w:tcW w:w="872" w:type="dxa"/>
            <w:gridSpan w:val="3"/>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Money</w:t>
            </w:r>
          </w:p>
          <w:p>
            <w:pPr>
              <w:pStyle w:val="TableContents"/>
              <w:bidi w:val="0"/>
              <w:spacing w:before="0" w:after="0"/>
              <w:jc w:val="center"/>
              <w:rPr>
                <w:rFonts w:ascii="times new roman;times" w:hAnsi="times new roman;times"/>
                <w:b/>
                <w:sz w:val="16"/>
              </w:rPr>
            </w:pPr>
            <w:r>
              <w:rPr>
                <w:rFonts w:ascii="times new roman;times" w:hAnsi="times new roman;times"/>
                <w:b/>
                <w:sz w:val="16"/>
              </w:rPr>
              <w:t>Transfer</w:t>
            </w:r>
          </w:p>
        </w:tc>
        <w:tc>
          <w:tcPr>
            <w:tcW w:w="82" w:type="dxa"/>
            <w:tcBorders/>
            <w:vAlign w:val="center"/>
          </w:tcPr>
          <w:p>
            <w:pPr>
              <w:pStyle w:val="TableContents"/>
              <w:bidi w:val="0"/>
              <w:spacing w:before="0" w:after="0"/>
              <w:jc w:val="left"/>
              <w:rPr/>
            </w:pPr>
            <w:r>
              <w:rPr/>
              <w:t> </w:t>
            </w:r>
          </w:p>
        </w:tc>
        <w:tc>
          <w:tcPr>
            <w:tcW w:w="972" w:type="dxa"/>
            <w:gridSpan w:val="3"/>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Total</w:t>
            </w:r>
          </w:p>
        </w:tc>
        <w:tc>
          <w:tcPr>
            <w:tcW w:w="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EFT</w:t>
            </w:r>
          </w:p>
          <w:p>
            <w:pPr>
              <w:pStyle w:val="TableContents"/>
              <w:bidi w:val="0"/>
              <w:spacing w:before="0" w:after="0"/>
              <w:jc w:val="center"/>
              <w:rPr>
                <w:rFonts w:ascii="times new roman;times" w:hAnsi="times new roman;times"/>
                <w:b/>
                <w:sz w:val="16"/>
              </w:rPr>
            </w:pPr>
            <w:r>
              <w:rPr>
                <w:rFonts w:ascii="times new roman;times" w:hAnsi="times new roman;times"/>
                <w:b/>
                <w:sz w:val="16"/>
              </w:rPr>
              <w:t>Processing</w:t>
            </w:r>
          </w:p>
        </w:tc>
        <w:tc>
          <w:tcPr>
            <w:tcW w:w="25"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widowControl/>
              <w:bidi w:val="0"/>
              <w:spacing w:before="0" w:after="0"/>
              <w:ind w:left="0" w:right="0" w:hanging="0"/>
              <w:jc w:val="center"/>
              <w:rPr>
                <w:rFonts w:ascii="times new roman;times" w:hAnsi="times new roman;times"/>
                <w:b/>
                <w:i w:val="false"/>
                <w:caps w:val="false"/>
                <w:smallCaps w:val="false"/>
                <w:color w:val="000000"/>
                <w:spacing w:val="0"/>
                <w:sz w:val="15"/>
              </w:rPr>
            </w:pPr>
            <w:r>
              <w:rPr>
                <w:rFonts w:ascii="times new roman;times" w:hAnsi="times new roman;times"/>
                <w:b/>
                <w:i w:val="false"/>
                <w:caps w:val="false"/>
                <w:smallCaps w:val="false"/>
                <w:color w:val="000000"/>
                <w:spacing w:val="0"/>
                <w:sz w:val="15"/>
              </w:rPr>
              <w:t>epay</w:t>
            </w:r>
          </w:p>
        </w:tc>
        <w:tc>
          <w:tcPr>
            <w:tcW w:w="25"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Money</w:t>
            </w:r>
          </w:p>
          <w:p>
            <w:pPr>
              <w:pStyle w:val="TableContents"/>
              <w:bidi w:val="0"/>
              <w:spacing w:before="0" w:after="0"/>
              <w:jc w:val="center"/>
              <w:rPr>
                <w:rFonts w:ascii="times new roman;times" w:hAnsi="times new roman;times"/>
                <w:b/>
                <w:sz w:val="16"/>
              </w:rPr>
            </w:pPr>
            <w:r>
              <w:rPr>
                <w:rFonts w:ascii="times new roman;times" w:hAnsi="times new roman;times"/>
                <w:b/>
                <w:sz w:val="16"/>
              </w:rPr>
              <w:t>Transfer</w:t>
            </w:r>
          </w:p>
        </w:tc>
        <w:tc>
          <w:tcPr>
            <w:tcW w:w="25"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widowControl/>
              <w:bidi w:val="0"/>
              <w:spacing w:before="0" w:after="0"/>
              <w:ind w:left="0" w:right="0" w:hanging="0"/>
              <w:jc w:val="center"/>
              <w:rPr>
                <w:rFonts w:ascii="times new roman;times" w:hAnsi="times new roman;times"/>
                <w:b/>
                <w:i w:val="false"/>
                <w:caps w:val="false"/>
                <w:smallCaps w:val="false"/>
                <w:color w:val="000000"/>
                <w:spacing w:val="0"/>
                <w:sz w:val="15"/>
              </w:rPr>
            </w:pPr>
            <w:r>
              <w:rPr>
                <w:rFonts w:ascii="times new roman;times" w:hAnsi="times new roman;times"/>
                <w:b/>
                <w:i w:val="false"/>
                <w:caps w:val="false"/>
                <w:smallCaps w:val="false"/>
                <w:color w:val="000000"/>
                <w:spacing w:val="0"/>
                <w:sz w:val="15"/>
              </w:rPr>
              <w:t>Total</w:t>
            </w:r>
          </w:p>
        </w:tc>
        <w:tc>
          <w:tcPr>
            <w:tcW w:w="122" w:type="dxa"/>
            <w:tcBorders/>
            <w:vAlign w:val="center"/>
          </w:tcPr>
          <w:p>
            <w:pPr>
              <w:pStyle w:val="TableContents"/>
              <w:bidi w:val="0"/>
              <w:spacing w:before="0" w:after="283"/>
              <w:jc w:val="left"/>
              <w:rPr>
                <w:sz w:val="4"/>
                <w:szCs w:val="4"/>
              </w:rPr>
            </w:pPr>
            <w:r>
              <w:rPr>
                <w:sz w:val="4"/>
                <w:szCs w:val="4"/>
              </w:rPr>
            </w:r>
          </w:p>
        </w:tc>
      </w:tr>
      <w:tr>
        <w:trPr/>
        <w:tc>
          <w:tcPr>
            <w:tcW w:w="1220"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Europe</w:t>
            </w:r>
          </w:p>
        </w:tc>
        <w:tc>
          <w:tcPr>
            <w:tcW w:w="60"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669" w:type="dxa"/>
            <w:tcBorders/>
            <w:shd w:fill="CCEEFF" w:val="clear"/>
            <w:vAlign w:val="center"/>
          </w:tcPr>
          <w:p>
            <w:pPr>
              <w:pStyle w:val="TableContents"/>
              <w:bidi w:val="0"/>
              <w:spacing w:before="0" w:after="0"/>
              <w:jc w:val="right"/>
              <w:rPr>
                <w:sz w:val="20"/>
              </w:rPr>
            </w:pPr>
            <w:r>
              <w:rPr>
                <w:sz w:val="20"/>
              </w:rPr>
              <w:t>223.7</w:t>
            </w:r>
          </w:p>
        </w:tc>
        <w:tc>
          <w:tcPr>
            <w:tcW w:w="31" w:type="dxa"/>
            <w:tcBorders/>
            <w:shd w:fill="CCEEFF" w:val="clear"/>
            <w:vAlign w:val="center"/>
          </w:tcPr>
          <w:p>
            <w:pPr>
              <w:pStyle w:val="TableContents"/>
              <w:bidi w:val="0"/>
              <w:spacing w:before="0" w:after="283"/>
              <w:jc w:val="left"/>
              <w:rPr>
                <w:sz w:val="4"/>
                <w:szCs w:val="4"/>
              </w:rPr>
            </w:pPr>
            <w:r>
              <w:rPr>
                <w:sz w:val="4"/>
                <w:szCs w:val="4"/>
              </w:rPr>
            </w:r>
          </w:p>
        </w:tc>
        <w:tc>
          <w:tcPr>
            <w:tcW w:w="8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669" w:type="dxa"/>
            <w:tcBorders/>
            <w:shd w:fill="CCEEFF" w:val="clear"/>
            <w:vAlign w:val="center"/>
          </w:tcPr>
          <w:p>
            <w:pPr>
              <w:pStyle w:val="TableContents"/>
              <w:bidi w:val="0"/>
              <w:spacing w:before="0" w:after="0"/>
              <w:jc w:val="right"/>
              <w:rPr>
                <w:sz w:val="20"/>
              </w:rPr>
            </w:pPr>
            <w:r>
              <w:rPr>
                <w:sz w:val="20"/>
              </w:rPr>
              <w:t>172.4</w:t>
            </w:r>
          </w:p>
        </w:tc>
        <w:tc>
          <w:tcPr>
            <w:tcW w:w="31" w:type="dxa"/>
            <w:tcBorders/>
            <w:shd w:fill="CCEEFF" w:val="clear"/>
            <w:vAlign w:val="center"/>
          </w:tcPr>
          <w:p>
            <w:pPr>
              <w:pStyle w:val="TableContents"/>
              <w:bidi w:val="0"/>
              <w:spacing w:before="0" w:after="283"/>
              <w:jc w:val="left"/>
              <w:rPr>
                <w:sz w:val="4"/>
                <w:szCs w:val="4"/>
              </w:rPr>
            </w:pPr>
            <w:r>
              <w:rPr>
                <w:sz w:val="4"/>
                <w:szCs w:val="4"/>
              </w:rPr>
            </w:r>
          </w:p>
        </w:tc>
        <w:tc>
          <w:tcPr>
            <w:tcW w:w="8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669" w:type="dxa"/>
            <w:tcBorders/>
            <w:shd w:fill="CCEEFF" w:val="clear"/>
            <w:vAlign w:val="center"/>
          </w:tcPr>
          <w:p>
            <w:pPr>
              <w:pStyle w:val="TableContents"/>
              <w:bidi w:val="0"/>
              <w:spacing w:before="0" w:after="0"/>
              <w:jc w:val="right"/>
              <w:rPr>
                <w:sz w:val="20"/>
              </w:rPr>
            </w:pPr>
            <w:r>
              <w:rPr>
                <w:sz w:val="20"/>
              </w:rPr>
              <w:t>166.1</w:t>
            </w:r>
          </w:p>
        </w:tc>
        <w:tc>
          <w:tcPr>
            <w:tcW w:w="31" w:type="dxa"/>
            <w:tcBorders/>
            <w:shd w:fill="CCEEFF" w:val="clear"/>
            <w:vAlign w:val="center"/>
          </w:tcPr>
          <w:p>
            <w:pPr>
              <w:pStyle w:val="TableContents"/>
              <w:bidi w:val="0"/>
              <w:spacing w:before="0" w:after="283"/>
              <w:jc w:val="left"/>
              <w:rPr>
                <w:sz w:val="4"/>
                <w:szCs w:val="4"/>
              </w:rPr>
            </w:pPr>
            <w:r>
              <w:rPr>
                <w:sz w:val="4"/>
                <w:szCs w:val="4"/>
              </w:rPr>
            </w:r>
          </w:p>
        </w:tc>
        <w:tc>
          <w:tcPr>
            <w:tcW w:w="8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669" w:type="dxa"/>
            <w:tcBorders/>
            <w:shd w:fill="CCEEFF" w:val="clear"/>
            <w:vAlign w:val="center"/>
          </w:tcPr>
          <w:p>
            <w:pPr>
              <w:pStyle w:val="TableContents"/>
              <w:bidi w:val="0"/>
              <w:spacing w:before="0" w:after="0"/>
              <w:jc w:val="right"/>
              <w:rPr>
                <w:sz w:val="20"/>
              </w:rPr>
            </w:pPr>
            <w:r>
              <w:rPr>
                <w:sz w:val="20"/>
              </w:rPr>
              <w:t>562.2</w:t>
            </w:r>
          </w:p>
        </w:tc>
        <w:tc>
          <w:tcPr>
            <w:tcW w:w="131" w:type="dxa"/>
            <w:tcBorders/>
            <w:shd w:fill="CCEEFF" w:val="clear"/>
            <w:vAlign w:val="center"/>
          </w:tcPr>
          <w:p>
            <w:pPr>
              <w:pStyle w:val="TableContents"/>
              <w:bidi w:val="0"/>
              <w:spacing w:before="0" w:after="283"/>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138" w:type="dxa"/>
            <w:tcBorders/>
            <w:shd w:fill="CCEEFF" w:val="clear"/>
            <w:vAlign w:val="center"/>
          </w:tcPr>
          <w:p>
            <w:pPr>
              <w:pStyle w:val="TableContents"/>
              <w:bidi w:val="0"/>
              <w:spacing w:before="0" w:after="0"/>
              <w:jc w:val="left"/>
              <w:rPr>
                <w:sz w:val="20"/>
              </w:rPr>
            </w:pPr>
            <w:r>
              <w:rPr>
                <w:sz w:val="20"/>
              </w:rPr>
              <w:t>$</w:t>
            </w:r>
          </w:p>
        </w:tc>
        <w:tc>
          <w:tcPr>
            <w:tcW w:w="871" w:type="dxa"/>
            <w:tcBorders/>
            <w:shd w:fill="CCEEFF" w:val="clear"/>
            <w:vAlign w:val="center"/>
          </w:tcPr>
          <w:p>
            <w:pPr>
              <w:pStyle w:val="TableContents"/>
              <w:bidi w:val="0"/>
              <w:spacing w:before="0" w:after="0"/>
              <w:jc w:val="right"/>
              <w:rPr>
                <w:sz w:val="20"/>
              </w:rPr>
            </w:pPr>
            <w:r>
              <w:rPr>
                <w:sz w:val="20"/>
              </w:rPr>
              <w:t>358.6</w:t>
            </w:r>
          </w:p>
        </w:tc>
        <w:tc>
          <w:tcPr>
            <w:tcW w:w="25" w:type="dxa"/>
            <w:tcBorders/>
            <w:shd w:fill="CCEEFF" w:val="clear"/>
            <w:vAlign w:val="center"/>
          </w:tcPr>
          <w:p>
            <w:pPr>
              <w:pStyle w:val="TableContents"/>
              <w:bidi w:val="0"/>
              <w:spacing w:before="0" w:after="283"/>
              <w:jc w:val="left"/>
              <w:rPr>
                <w:sz w:val="4"/>
                <w:szCs w:val="4"/>
              </w:rPr>
            </w:pPr>
            <w:r>
              <w:rPr>
                <w:sz w:val="4"/>
                <w:szCs w:val="4"/>
              </w:rPr>
            </w:r>
          </w:p>
        </w:tc>
        <w:tc>
          <w:tcPr>
            <w:tcW w:w="25" w:type="dxa"/>
            <w:tcBorders/>
            <w:shd w:fill="CCEEFF" w:val="clear"/>
            <w:vAlign w:val="center"/>
          </w:tcPr>
          <w:p>
            <w:pPr>
              <w:pStyle w:val="TableContents"/>
              <w:bidi w:val="0"/>
              <w:spacing w:before="0" w:after="283"/>
              <w:jc w:val="left"/>
              <w:rPr>
                <w:sz w:val="4"/>
                <w:szCs w:val="4"/>
              </w:rPr>
            </w:pPr>
            <w:r>
              <w:rPr>
                <w:sz w:val="4"/>
                <w:szCs w:val="4"/>
              </w:rPr>
            </w:r>
          </w:p>
        </w:tc>
        <w:tc>
          <w:tcPr>
            <w:tcW w:w="138" w:type="dxa"/>
            <w:tcBorders/>
            <w:shd w:fill="CCEEFF" w:val="clear"/>
            <w:vAlign w:val="center"/>
          </w:tcPr>
          <w:p>
            <w:pPr>
              <w:pStyle w:val="TableContents"/>
              <w:bidi w:val="0"/>
              <w:spacing w:before="0" w:after="0"/>
              <w:jc w:val="left"/>
              <w:rPr>
                <w:sz w:val="20"/>
              </w:rPr>
            </w:pPr>
            <w:r>
              <w:rPr>
                <w:sz w:val="20"/>
              </w:rPr>
              <w:t>$</w:t>
            </w:r>
          </w:p>
        </w:tc>
        <w:tc>
          <w:tcPr>
            <w:tcW w:w="538" w:type="dxa"/>
            <w:tcBorders/>
            <w:shd w:fill="CCEEFF" w:val="clear"/>
            <w:vAlign w:val="center"/>
          </w:tcPr>
          <w:p>
            <w:pPr>
              <w:pStyle w:val="TableContents"/>
              <w:bidi w:val="0"/>
              <w:spacing w:before="0" w:after="0"/>
              <w:jc w:val="right"/>
              <w:rPr>
                <w:sz w:val="20"/>
              </w:rPr>
            </w:pPr>
            <w:r>
              <w:rPr>
                <w:sz w:val="20"/>
              </w:rPr>
              <w:t>327.3</w:t>
            </w:r>
          </w:p>
        </w:tc>
        <w:tc>
          <w:tcPr>
            <w:tcW w:w="25" w:type="dxa"/>
            <w:tcBorders/>
            <w:shd w:fill="CCEEFF" w:val="clear"/>
            <w:vAlign w:val="center"/>
          </w:tcPr>
          <w:p>
            <w:pPr>
              <w:pStyle w:val="TableContents"/>
              <w:bidi w:val="0"/>
              <w:spacing w:before="0" w:after="283"/>
              <w:jc w:val="left"/>
              <w:rPr>
                <w:sz w:val="4"/>
                <w:szCs w:val="4"/>
              </w:rPr>
            </w:pPr>
            <w:r>
              <w:rPr>
                <w:sz w:val="4"/>
                <w:szCs w:val="4"/>
              </w:rPr>
            </w:r>
          </w:p>
        </w:tc>
        <w:tc>
          <w:tcPr>
            <w:tcW w:w="25" w:type="dxa"/>
            <w:tcBorders/>
            <w:shd w:fill="CCEEFF" w:val="clear"/>
            <w:vAlign w:val="center"/>
          </w:tcPr>
          <w:p>
            <w:pPr>
              <w:pStyle w:val="TableContents"/>
              <w:bidi w:val="0"/>
              <w:spacing w:before="0" w:after="283"/>
              <w:jc w:val="left"/>
              <w:rPr>
                <w:sz w:val="4"/>
                <w:szCs w:val="4"/>
              </w:rPr>
            </w:pPr>
            <w:r>
              <w:rPr>
                <w:sz w:val="4"/>
                <w:szCs w:val="4"/>
              </w:rPr>
            </w:r>
          </w:p>
        </w:tc>
        <w:tc>
          <w:tcPr>
            <w:tcW w:w="138" w:type="dxa"/>
            <w:tcBorders/>
            <w:shd w:fill="CCEEFF" w:val="clear"/>
            <w:vAlign w:val="center"/>
          </w:tcPr>
          <w:p>
            <w:pPr>
              <w:pStyle w:val="TableContents"/>
              <w:bidi w:val="0"/>
              <w:spacing w:before="0" w:after="0"/>
              <w:jc w:val="left"/>
              <w:rPr>
                <w:sz w:val="20"/>
              </w:rPr>
            </w:pPr>
            <w:r>
              <w:rPr>
                <w:sz w:val="20"/>
              </w:rPr>
              <w:t>$</w:t>
            </w:r>
          </w:p>
        </w:tc>
        <w:tc>
          <w:tcPr>
            <w:tcW w:w="721" w:type="dxa"/>
            <w:tcBorders/>
            <w:shd w:fill="CCEEFF" w:val="clear"/>
            <w:vAlign w:val="center"/>
          </w:tcPr>
          <w:p>
            <w:pPr>
              <w:pStyle w:val="TableContents"/>
              <w:bidi w:val="0"/>
              <w:spacing w:before="0" w:after="0"/>
              <w:jc w:val="right"/>
              <w:rPr>
                <w:sz w:val="20"/>
              </w:rPr>
            </w:pPr>
            <w:r>
              <w:rPr>
                <w:sz w:val="20"/>
              </w:rPr>
              <w:t>315.3</w:t>
            </w:r>
          </w:p>
        </w:tc>
        <w:tc>
          <w:tcPr>
            <w:tcW w:w="25" w:type="dxa"/>
            <w:tcBorders/>
            <w:shd w:fill="CCEEFF" w:val="clear"/>
            <w:vAlign w:val="center"/>
          </w:tcPr>
          <w:p>
            <w:pPr>
              <w:pStyle w:val="TableContents"/>
              <w:bidi w:val="0"/>
              <w:spacing w:before="0" w:after="283"/>
              <w:jc w:val="left"/>
              <w:rPr>
                <w:sz w:val="4"/>
                <w:szCs w:val="4"/>
              </w:rPr>
            </w:pPr>
            <w:r>
              <w:rPr>
                <w:sz w:val="4"/>
                <w:szCs w:val="4"/>
              </w:rPr>
            </w:r>
          </w:p>
        </w:tc>
        <w:tc>
          <w:tcPr>
            <w:tcW w:w="25" w:type="dxa"/>
            <w:tcBorders/>
            <w:shd w:fill="CCEEFF" w:val="clear"/>
            <w:vAlign w:val="center"/>
          </w:tcPr>
          <w:p>
            <w:pPr>
              <w:pStyle w:val="TableContents"/>
              <w:bidi w:val="0"/>
              <w:spacing w:before="0" w:after="283"/>
              <w:jc w:val="left"/>
              <w:rPr>
                <w:sz w:val="4"/>
                <w:szCs w:val="4"/>
              </w:rPr>
            </w:pPr>
            <w:r>
              <w:rPr>
                <w:sz w:val="4"/>
                <w:szCs w:val="4"/>
              </w:rPr>
            </w:r>
          </w:p>
        </w:tc>
        <w:tc>
          <w:tcPr>
            <w:tcW w:w="138" w:type="dxa"/>
            <w:tcBorders/>
            <w:shd w:fill="CCEEFF" w:val="clear"/>
            <w:vAlign w:val="center"/>
          </w:tcPr>
          <w:p>
            <w:pPr>
              <w:pStyle w:val="TableContents"/>
              <w:bidi w:val="0"/>
              <w:spacing w:before="0" w:after="0"/>
              <w:jc w:val="left"/>
              <w:rPr>
                <w:sz w:val="20"/>
              </w:rPr>
            </w:pPr>
            <w:r>
              <w:rPr>
                <w:sz w:val="20"/>
              </w:rPr>
              <w:t>$</w:t>
            </w:r>
          </w:p>
        </w:tc>
        <w:tc>
          <w:tcPr>
            <w:tcW w:w="704" w:type="dxa"/>
            <w:tcBorders/>
            <w:shd w:fill="CCEEFF" w:val="clear"/>
            <w:vAlign w:val="center"/>
          </w:tcPr>
          <w:p>
            <w:pPr>
              <w:pStyle w:val="TableContents"/>
              <w:bidi w:val="0"/>
              <w:spacing w:before="0" w:after="0"/>
              <w:jc w:val="right"/>
              <w:rPr>
                <w:sz w:val="20"/>
              </w:rPr>
            </w:pPr>
            <w:r>
              <w:rPr>
                <w:sz w:val="20"/>
              </w:rPr>
              <w:t>1,001.2</w:t>
            </w:r>
          </w:p>
        </w:tc>
        <w:tc>
          <w:tcPr>
            <w:tcW w:w="122" w:type="dxa"/>
            <w:tcBorders/>
            <w:shd w:fill="CCEEFF" w:val="clear"/>
            <w:vAlign w:val="center"/>
          </w:tcPr>
          <w:p>
            <w:pPr>
              <w:pStyle w:val="TableContents"/>
              <w:bidi w:val="0"/>
              <w:spacing w:before="0" w:after="283"/>
              <w:jc w:val="left"/>
              <w:rPr>
                <w:sz w:val="4"/>
                <w:szCs w:val="4"/>
              </w:rPr>
            </w:pPr>
            <w:r>
              <w:rPr>
                <w:sz w:val="4"/>
                <w:szCs w:val="4"/>
              </w:rPr>
            </w:r>
          </w:p>
        </w:tc>
      </w:tr>
      <w:tr>
        <w:trPr/>
        <w:tc>
          <w:tcPr>
            <w:tcW w:w="1220"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North America</w:t>
            </w:r>
          </w:p>
        </w:tc>
        <w:tc>
          <w:tcPr>
            <w:tcW w:w="60" w:type="dxa"/>
            <w:tcBorders/>
            <w:vAlign w:val="center"/>
          </w:tcPr>
          <w:p>
            <w:pPr>
              <w:pStyle w:val="TableContents"/>
              <w:bidi w:val="0"/>
              <w:spacing w:before="0" w:after="0"/>
              <w:jc w:val="left"/>
              <w:rPr/>
            </w:pPr>
            <w:r>
              <w:rPr/>
              <w:t> </w:t>
            </w:r>
          </w:p>
        </w:tc>
        <w:tc>
          <w:tcPr>
            <w:tcW w:w="841" w:type="dxa"/>
            <w:gridSpan w:val="2"/>
            <w:tcBorders/>
            <w:vAlign w:val="center"/>
          </w:tcPr>
          <w:p>
            <w:pPr>
              <w:pStyle w:val="TableContents"/>
              <w:bidi w:val="0"/>
              <w:spacing w:before="0" w:after="0"/>
              <w:jc w:val="right"/>
              <w:rPr>
                <w:sz w:val="20"/>
              </w:rPr>
            </w:pPr>
            <w:r>
              <w:rPr>
                <w:sz w:val="20"/>
              </w:rPr>
              <w:t>17.3</w:t>
            </w:r>
          </w:p>
        </w:tc>
        <w:tc>
          <w:tcPr>
            <w:tcW w:w="31"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0"/>
              <w:jc w:val="left"/>
              <w:rPr/>
            </w:pPr>
            <w:r>
              <w:rPr/>
              <w:t> </w:t>
            </w:r>
          </w:p>
        </w:tc>
        <w:tc>
          <w:tcPr>
            <w:tcW w:w="841" w:type="dxa"/>
            <w:gridSpan w:val="2"/>
            <w:tcBorders/>
            <w:vAlign w:val="center"/>
          </w:tcPr>
          <w:p>
            <w:pPr>
              <w:pStyle w:val="TableContents"/>
              <w:bidi w:val="0"/>
              <w:spacing w:before="0" w:after="0"/>
              <w:jc w:val="right"/>
              <w:rPr>
                <w:sz w:val="20"/>
              </w:rPr>
            </w:pPr>
            <w:r>
              <w:rPr>
                <w:sz w:val="20"/>
              </w:rPr>
              <w:t>44.6</w:t>
            </w:r>
          </w:p>
        </w:tc>
        <w:tc>
          <w:tcPr>
            <w:tcW w:w="31"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0"/>
              <w:jc w:val="left"/>
              <w:rPr/>
            </w:pPr>
            <w:r>
              <w:rPr/>
              <w:t> </w:t>
            </w:r>
          </w:p>
        </w:tc>
        <w:tc>
          <w:tcPr>
            <w:tcW w:w="841" w:type="dxa"/>
            <w:gridSpan w:val="2"/>
            <w:tcBorders/>
            <w:vAlign w:val="center"/>
          </w:tcPr>
          <w:p>
            <w:pPr>
              <w:pStyle w:val="TableContents"/>
              <w:bidi w:val="0"/>
              <w:spacing w:before="0" w:after="0"/>
              <w:jc w:val="right"/>
              <w:rPr>
                <w:sz w:val="20"/>
              </w:rPr>
            </w:pPr>
            <w:r>
              <w:rPr>
                <w:sz w:val="20"/>
              </w:rPr>
              <w:t>186.9</w:t>
            </w:r>
          </w:p>
        </w:tc>
        <w:tc>
          <w:tcPr>
            <w:tcW w:w="31"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0"/>
              <w:jc w:val="left"/>
              <w:rPr/>
            </w:pPr>
            <w:r>
              <w:rPr/>
              <w:t> </w:t>
            </w:r>
          </w:p>
        </w:tc>
        <w:tc>
          <w:tcPr>
            <w:tcW w:w="841" w:type="dxa"/>
            <w:gridSpan w:val="2"/>
            <w:tcBorders/>
            <w:vAlign w:val="center"/>
          </w:tcPr>
          <w:p>
            <w:pPr>
              <w:pStyle w:val="TableContents"/>
              <w:bidi w:val="0"/>
              <w:spacing w:before="0" w:after="0"/>
              <w:jc w:val="right"/>
              <w:rPr>
                <w:sz w:val="20"/>
              </w:rPr>
            </w:pPr>
            <w:r>
              <w:rPr>
                <w:sz w:val="20"/>
              </w:rPr>
              <w:t>248.8</w:t>
            </w:r>
          </w:p>
        </w:tc>
        <w:tc>
          <w:tcPr>
            <w:tcW w:w="13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0"/>
              <w:jc w:val="right"/>
              <w:rPr>
                <w:sz w:val="20"/>
              </w:rPr>
            </w:pPr>
            <w:r>
              <w:rPr>
                <w:sz w:val="20"/>
              </w:rPr>
              <w:t>35.3</w:t>
            </w:r>
          </w:p>
        </w:tc>
        <w:tc>
          <w:tcPr>
            <w:tcW w:w="25"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0"/>
              <w:jc w:val="right"/>
              <w:rPr>
                <w:sz w:val="20"/>
              </w:rPr>
            </w:pPr>
            <w:r>
              <w:rPr>
                <w:sz w:val="20"/>
              </w:rPr>
              <w:t>80.4</w:t>
            </w:r>
          </w:p>
        </w:tc>
        <w:tc>
          <w:tcPr>
            <w:tcW w:w="25"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0"/>
              <w:jc w:val="right"/>
              <w:rPr>
                <w:sz w:val="20"/>
              </w:rPr>
            </w:pPr>
            <w:r>
              <w:rPr>
                <w:sz w:val="20"/>
              </w:rPr>
              <w:t>349.6</w:t>
            </w:r>
          </w:p>
        </w:tc>
        <w:tc>
          <w:tcPr>
            <w:tcW w:w="25"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0"/>
              <w:jc w:val="right"/>
              <w:rPr>
                <w:sz w:val="20"/>
              </w:rPr>
            </w:pPr>
            <w:r>
              <w:rPr>
                <w:sz w:val="20"/>
              </w:rPr>
              <w:t>465.3</w:t>
            </w:r>
          </w:p>
        </w:tc>
        <w:tc>
          <w:tcPr>
            <w:tcW w:w="122" w:type="dxa"/>
            <w:tcBorders/>
            <w:vAlign w:val="center"/>
          </w:tcPr>
          <w:p>
            <w:pPr>
              <w:pStyle w:val="TableContents"/>
              <w:bidi w:val="0"/>
              <w:spacing w:before="0" w:after="283"/>
              <w:jc w:val="left"/>
              <w:rPr>
                <w:sz w:val="4"/>
                <w:szCs w:val="4"/>
              </w:rPr>
            </w:pPr>
            <w:r>
              <w:rPr>
                <w:sz w:val="4"/>
                <w:szCs w:val="4"/>
              </w:rPr>
            </w:r>
          </w:p>
        </w:tc>
      </w:tr>
      <w:tr>
        <w:trPr/>
        <w:tc>
          <w:tcPr>
            <w:tcW w:w="1220"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Asia Pacific</w:t>
            </w:r>
          </w:p>
        </w:tc>
        <w:tc>
          <w:tcPr>
            <w:tcW w:w="60" w:type="dxa"/>
            <w:tcBorders/>
            <w:shd w:fill="CCEEFF" w:val="clear"/>
            <w:vAlign w:val="center"/>
          </w:tcPr>
          <w:p>
            <w:pPr>
              <w:pStyle w:val="TableContents"/>
              <w:bidi w:val="0"/>
              <w:spacing w:before="0" w:after="0"/>
              <w:jc w:val="left"/>
              <w:rPr/>
            </w:pPr>
            <w:r>
              <w:rPr/>
              <w:t> </w:t>
            </w:r>
          </w:p>
        </w:tc>
        <w:tc>
          <w:tcPr>
            <w:tcW w:w="841" w:type="dxa"/>
            <w:gridSpan w:val="2"/>
            <w:tcBorders/>
            <w:shd w:fill="CCEEFF" w:val="clear"/>
            <w:vAlign w:val="center"/>
          </w:tcPr>
          <w:p>
            <w:pPr>
              <w:pStyle w:val="TableContents"/>
              <w:bidi w:val="0"/>
              <w:spacing w:before="0" w:after="0"/>
              <w:jc w:val="right"/>
              <w:rPr>
                <w:sz w:val="20"/>
              </w:rPr>
            </w:pPr>
            <w:r>
              <w:rPr>
                <w:sz w:val="20"/>
              </w:rPr>
              <w:t>40.3</w:t>
            </w:r>
          </w:p>
        </w:tc>
        <w:tc>
          <w:tcPr>
            <w:tcW w:w="31" w:type="dxa"/>
            <w:tcBorders/>
            <w:shd w:fill="CCEEFF" w:val="clear"/>
            <w:vAlign w:val="center"/>
          </w:tcPr>
          <w:p>
            <w:pPr>
              <w:pStyle w:val="TableContents"/>
              <w:bidi w:val="0"/>
              <w:spacing w:before="0" w:after="283"/>
              <w:jc w:val="left"/>
              <w:rPr>
                <w:sz w:val="4"/>
                <w:szCs w:val="4"/>
              </w:rPr>
            </w:pPr>
            <w:r>
              <w:rPr>
                <w:sz w:val="4"/>
                <w:szCs w:val="4"/>
              </w:rPr>
            </w:r>
          </w:p>
        </w:tc>
        <w:tc>
          <w:tcPr>
            <w:tcW w:w="82" w:type="dxa"/>
            <w:tcBorders/>
            <w:shd w:fill="CCEEFF" w:val="clear"/>
            <w:vAlign w:val="center"/>
          </w:tcPr>
          <w:p>
            <w:pPr>
              <w:pStyle w:val="TableContents"/>
              <w:bidi w:val="0"/>
              <w:spacing w:before="0" w:after="0"/>
              <w:jc w:val="left"/>
              <w:rPr/>
            </w:pPr>
            <w:r>
              <w:rPr/>
              <w:t> </w:t>
            </w:r>
          </w:p>
        </w:tc>
        <w:tc>
          <w:tcPr>
            <w:tcW w:w="841" w:type="dxa"/>
            <w:gridSpan w:val="2"/>
            <w:tcBorders/>
            <w:shd w:fill="CCEEFF" w:val="clear"/>
            <w:vAlign w:val="center"/>
          </w:tcPr>
          <w:p>
            <w:pPr>
              <w:pStyle w:val="TableContents"/>
              <w:bidi w:val="0"/>
              <w:spacing w:before="0" w:after="0"/>
              <w:jc w:val="right"/>
              <w:rPr>
                <w:sz w:val="20"/>
              </w:rPr>
            </w:pPr>
            <w:r>
              <w:rPr>
                <w:sz w:val="20"/>
              </w:rPr>
              <w:t>38.1</w:t>
            </w:r>
          </w:p>
        </w:tc>
        <w:tc>
          <w:tcPr>
            <w:tcW w:w="31" w:type="dxa"/>
            <w:tcBorders/>
            <w:shd w:fill="CCEEFF" w:val="clear"/>
            <w:vAlign w:val="center"/>
          </w:tcPr>
          <w:p>
            <w:pPr>
              <w:pStyle w:val="TableContents"/>
              <w:bidi w:val="0"/>
              <w:spacing w:before="0" w:after="283"/>
              <w:jc w:val="left"/>
              <w:rPr>
                <w:sz w:val="4"/>
                <w:szCs w:val="4"/>
              </w:rPr>
            </w:pPr>
            <w:r>
              <w:rPr>
                <w:sz w:val="4"/>
                <w:szCs w:val="4"/>
              </w:rPr>
            </w:r>
          </w:p>
        </w:tc>
        <w:tc>
          <w:tcPr>
            <w:tcW w:w="82" w:type="dxa"/>
            <w:tcBorders/>
            <w:shd w:fill="CCEEFF" w:val="clear"/>
            <w:vAlign w:val="center"/>
          </w:tcPr>
          <w:p>
            <w:pPr>
              <w:pStyle w:val="TableContents"/>
              <w:bidi w:val="0"/>
              <w:spacing w:before="0" w:after="0"/>
              <w:jc w:val="left"/>
              <w:rPr/>
            </w:pPr>
            <w:r>
              <w:rPr/>
              <w:t> </w:t>
            </w:r>
          </w:p>
        </w:tc>
        <w:tc>
          <w:tcPr>
            <w:tcW w:w="841" w:type="dxa"/>
            <w:gridSpan w:val="2"/>
            <w:tcBorders/>
            <w:shd w:fill="CCEEFF" w:val="clear"/>
            <w:vAlign w:val="center"/>
          </w:tcPr>
          <w:p>
            <w:pPr>
              <w:pStyle w:val="TableContents"/>
              <w:bidi w:val="0"/>
              <w:spacing w:before="0" w:after="0"/>
              <w:jc w:val="right"/>
              <w:rPr>
                <w:sz w:val="20"/>
              </w:rPr>
            </w:pPr>
            <w:r>
              <w:rPr>
                <w:sz w:val="20"/>
              </w:rPr>
              <w:t>28.8</w:t>
            </w:r>
          </w:p>
        </w:tc>
        <w:tc>
          <w:tcPr>
            <w:tcW w:w="31" w:type="dxa"/>
            <w:tcBorders/>
            <w:shd w:fill="CCEEFF" w:val="clear"/>
            <w:vAlign w:val="center"/>
          </w:tcPr>
          <w:p>
            <w:pPr>
              <w:pStyle w:val="TableContents"/>
              <w:bidi w:val="0"/>
              <w:spacing w:before="0" w:after="283"/>
              <w:jc w:val="left"/>
              <w:rPr>
                <w:sz w:val="4"/>
                <w:szCs w:val="4"/>
              </w:rPr>
            </w:pPr>
            <w:r>
              <w:rPr>
                <w:sz w:val="4"/>
                <w:szCs w:val="4"/>
              </w:rPr>
            </w:r>
          </w:p>
        </w:tc>
        <w:tc>
          <w:tcPr>
            <w:tcW w:w="82" w:type="dxa"/>
            <w:tcBorders/>
            <w:shd w:fill="CCEEFF" w:val="clear"/>
            <w:vAlign w:val="center"/>
          </w:tcPr>
          <w:p>
            <w:pPr>
              <w:pStyle w:val="TableContents"/>
              <w:bidi w:val="0"/>
              <w:spacing w:before="0" w:after="0"/>
              <w:jc w:val="left"/>
              <w:rPr/>
            </w:pPr>
            <w:r>
              <w:rPr/>
              <w:t> </w:t>
            </w:r>
          </w:p>
        </w:tc>
        <w:tc>
          <w:tcPr>
            <w:tcW w:w="841" w:type="dxa"/>
            <w:gridSpan w:val="2"/>
            <w:tcBorders/>
            <w:shd w:fill="CCEEFF" w:val="clear"/>
            <w:vAlign w:val="center"/>
          </w:tcPr>
          <w:p>
            <w:pPr>
              <w:pStyle w:val="TableContents"/>
              <w:bidi w:val="0"/>
              <w:spacing w:before="0" w:after="0"/>
              <w:jc w:val="right"/>
              <w:rPr>
                <w:sz w:val="20"/>
              </w:rPr>
            </w:pPr>
            <w:r>
              <w:rPr>
                <w:sz w:val="20"/>
              </w:rPr>
              <w:t>107.2</w:t>
            </w:r>
          </w:p>
        </w:tc>
        <w:tc>
          <w:tcPr>
            <w:tcW w:w="131" w:type="dxa"/>
            <w:tcBorders/>
            <w:shd w:fill="CCEEFF" w:val="clear"/>
            <w:vAlign w:val="center"/>
          </w:tcPr>
          <w:p>
            <w:pPr>
              <w:pStyle w:val="TableContents"/>
              <w:bidi w:val="0"/>
              <w:spacing w:before="0" w:after="283"/>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138"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before="0" w:after="0"/>
              <w:jc w:val="right"/>
              <w:rPr>
                <w:sz w:val="20"/>
              </w:rPr>
            </w:pPr>
            <w:r>
              <w:rPr>
                <w:sz w:val="20"/>
              </w:rPr>
              <w:t>76.0</w:t>
            </w:r>
          </w:p>
        </w:tc>
        <w:tc>
          <w:tcPr>
            <w:tcW w:w="25" w:type="dxa"/>
            <w:tcBorders/>
            <w:shd w:fill="CCEEFF" w:val="clear"/>
            <w:vAlign w:val="center"/>
          </w:tcPr>
          <w:p>
            <w:pPr>
              <w:pStyle w:val="TableContents"/>
              <w:bidi w:val="0"/>
              <w:spacing w:before="0" w:after="283"/>
              <w:jc w:val="left"/>
              <w:rPr>
                <w:sz w:val="4"/>
                <w:szCs w:val="4"/>
              </w:rPr>
            </w:pPr>
            <w:r>
              <w:rPr>
                <w:sz w:val="4"/>
                <w:szCs w:val="4"/>
              </w:rPr>
            </w:r>
          </w:p>
        </w:tc>
        <w:tc>
          <w:tcPr>
            <w:tcW w:w="25" w:type="dxa"/>
            <w:tcBorders/>
            <w:shd w:fill="CCEEFF" w:val="clear"/>
            <w:vAlign w:val="center"/>
          </w:tcPr>
          <w:p>
            <w:pPr>
              <w:pStyle w:val="TableContents"/>
              <w:bidi w:val="0"/>
              <w:spacing w:before="0" w:after="283"/>
              <w:jc w:val="left"/>
              <w:rPr>
                <w:sz w:val="4"/>
                <w:szCs w:val="4"/>
              </w:rPr>
            </w:pPr>
            <w:r>
              <w:rPr>
                <w:sz w:val="4"/>
                <w:szCs w:val="4"/>
              </w:rPr>
            </w:r>
          </w:p>
        </w:tc>
        <w:tc>
          <w:tcPr>
            <w:tcW w:w="138" w:type="dxa"/>
            <w:tcBorders/>
            <w:shd w:fill="CCEEFF" w:val="clear"/>
            <w:vAlign w:val="center"/>
          </w:tcPr>
          <w:p>
            <w:pPr>
              <w:pStyle w:val="TableContents"/>
              <w:bidi w:val="0"/>
              <w:spacing w:before="0" w:after="283"/>
              <w:jc w:val="left"/>
              <w:rPr>
                <w:sz w:val="4"/>
                <w:szCs w:val="4"/>
              </w:rPr>
            </w:pPr>
            <w:r>
              <w:rPr>
                <w:sz w:val="4"/>
                <w:szCs w:val="4"/>
              </w:rPr>
            </w:r>
          </w:p>
        </w:tc>
        <w:tc>
          <w:tcPr>
            <w:tcW w:w="538" w:type="dxa"/>
            <w:tcBorders/>
            <w:shd w:fill="CCEEFF" w:val="clear"/>
            <w:vAlign w:val="center"/>
          </w:tcPr>
          <w:p>
            <w:pPr>
              <w:pStyle w:val="TableContents"/>
              <w:bidi w:val="0"/>
              <w:spacing w:before="0" w:after="0"/>
              <w:jc w:val="right"/>
              <w:rPr>
                <w:sz w:val="20"/>
              </w:rPr>
            </w:pPr>
            <w:r>
              <w:rPr>
                <w:sz w:val="20"/>
              </w:rPr>
              <w:t>57.8</w:t>
            </w:r>
          </w:p>
        </w:tc>
        <w:tc>
          <w:tcPr>
            <w:tcW w:w="25" w:type="dxa"/>
            <w:tcBorders/>
            <w:shd w:fill="CCEEFF" w:val="clear"/>
            <w:vAlign w:val="center"/>
          </w:tcPr>
          <w:p>
            <w:pPr>
              <w:pStyle w:val="TableContents"/>
              <w:bidi w:val="0"/>
              <w:spacing w:before="0" w:after="283"/>
              <w:jc w:val="left"/>
              <w:rPr>
                <w:sz w:val="4"/>
                <w:szCs w:val="4"/>
              </w:rPr>
            </w:pPr>
            <w:r>
              <w:rPr>
                <w:sz w:val="4"/>
                <w:szCs w:val="4"/>
              </w:rPr>
            </w:r>
          </w:p>
        </w:tc>
        <w:tc>
          <w:tcPr>
            <w:tcW w:w="25" w:type="dxa"/>
            <w:tcBorders/>
            <w:shd w:fill="CCEEFF" w:val="clear"/>
            <w:vAlign w:val="center"/>
          </w:tcPr>
          <w:p>
            <w:pPr>
              <w:pStyle w:val="TableContents"/>
              <w:bidi w:val="0"/>
              <w:spacing w:before="0" w:after="283"/>
              <w:jc w:val="left"/>
              <w:rPr>
                <w:sz w:val="4"/>
                <w:szCs w:val="4"/>
              </w:rPr>
            </w:pPr>
            <w:r>
              <w:rPr>
                <w:sz w:val="4"/>
                <w:szCs w:val="4"/>
              </w:rPr>
            </w:r>
          </w:p>
        </w:tc>
        <w:tc>
          <w:tcPr>
            <w:tcW w:w="138"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before="0" w:after="0"/>
              <w:jc w:val="right"/>
              <w:rPr>
                <w:sz w:val="20"/>
              </w:rPr>
            </w:pPr>
            <w:r>
              <w:rPr>
                <w:sz w:val="20"/>
              </w:rPr>
              <w:t>50.9</w:t>
            </w:r>
          </w:p>
        </w:tc>
        <w:tc>
          <w:tcPr>
            <w:tcW w:w="25" w:type="dxa"/>
            <w:tcBorders/>
            <w:shd w:fill="CCEEFF" w:val="clear"/>
            <w:vAlign w:val="center"/>
          </w:tcPr>
          <w:p>
            <w:pPr>
              <w:pStyle w:val="TableContents"/>
              <w:bidi w:val="0"/>
              <w:spacing w:before="0" w:after="283"/>
              <w:jc w:val="left"/>
              <w:rPr>
                <w:sz w:val="4"/>
                <w:szCs w:val="4"/>
              </w:rPr>
            </w:pPr>
            <w:r>
              <w:rPr>
                <w:sz w:val="4"/>
                <w:szCs w:val="4"/>
              </w:rPr>
            </w:r>
          </w:p>
        </w:tc>
        <w:tc>
          <w:tcPr>
            <w:tcW w:w="25" w:type="dxa"/>
            <w:tcBorders/>
            <w:shd w:fill="CCEEFF" w:val="clear"/>
            <w:vAlign w:val="center"/>
          </w:tcPr>
          <w:p>
            <w:pPr>
              <w:pStyle w:val="TableContents"/>
              <w:bidi w:val="0"/>
              <w:spacing w:before="0" w:after="283"/>
              <w:jc w:val="left"/>
              <w:rPr>
                <w:sz w:val="4"/>
                <w:szCs w:val="4"/>
              </w:rPr>
            </w:pPr>
            <w:r>
              <w:rPr>
                <w:sz w:val="4"/>
                <w:szCs w:val="4"/>
              </w:rPr>
            </w:r>
          </w:p>
        </w:tc>
        <w:tc>
          <w:tcPr>
            <w:tcW w:w="138"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before="0" w:after="0"/>
              <w:jc w:val="right"/>
              <w:rPr>
                <w:sz w:val="20"/>
              </w:rPr>
            </w:pPr>
            <w:r>
              <w:rPr>
                <w:sz w:val="20"/>
              </w:rPr>
              <w:t>184.7</w:t>
            </w:r>
          </w:p>
        </w:tc>
        <w:tc>
          <w:tcPr>
            <w:tcW w:w="122" w:type="dxa"/>
            <w:tcBorders/>
            <w:shd w:fill="CCEEFF" w:val="clear"/>
            <w:vAlign w:val="center"/>
          </w:tcPr>
          <w:p>
            <w:pPr>
              <w:pStyle w:val="TableContents"/>
              <w:bidi w:val="0"/>
              <w:spacing w:before="0" w:after="283"/>
              <w:jc w:val="left"/>
              <w:rPr>
                <w:sz w:val="4"/>
                <w:szCs w:val="4"/>
              </w:rPr>
            </w:pPr>
            <w:r>
              <w:rPr>
                <w:sz w:val="4"/>
                <w:szCs w:val="4"/>
              </w:rPr>
            </w:r>
          </w:p>
        </w:tc>
      </w:tr>
      <w:tr>
        <w:trPr/>
        <w:tc>
          <w:tcPr>
            <w:tcW w:w="1220"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Other</w:t>
            </w:r>
          </w:p>
        </w:tc>
        <w:tc>
          <w:tcPr>
            <w:tcW w:w="60" w:type="dxa"/>
            <w:tcBorders/>
            <w:vAlign w:val="center"/>
          </w:tcPr>
          <w:p>
            <w:pPr>
              <w:pStyle w:val="TableContents"/>
              <w:bidi w:val="0"/>
              <w:spacing w:before="0" w:after="0"/>
              <w:jc w:val="left"/>
              <w:rPr/>
            </w:pPr>
            <w:r>
              <w:rPr/>
              <w:t> </w:t>
            </w:r>
          </w:p>
        </w:tc>
        <w:tc>
          <w:tcPr>
            <w:tcW w:w="841" w:type="dxa"/>
            <w:gridSpan w:val="2"/>
            <w:tcBorders/>
            <w:vAlign w:val="center"/>
          </w:tcPr>
          <w:p>
            <w:pPr>
              <w:pStyle w:val="TableContents"/>
              <w:bidi w:val="0"/>
              <w:spacing w:before="0" w:after="0"/>
              <w:jc w:val="right"/>
              <w:rPr>
                <w:sz w:val="20"/>
              </w:rPr>
            </w:pPr>
            <w:r>
              <w:rPr>
                <w:sz w:val="20"/>
              </w:rPr>
              <w:t>1.1</w:t>
            </w:r>
          </w:p>
        </w:tc>
        <w:tc>
          <w:tcPr>
            <w:tcW w:w="31"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0"/>
              <w:jc w:val="left"/>
              <w:rPr/>
            </w:pPr>
            <w:r>
              <w:rPr/>
              <w:t> </w:t>
            </w:r>
          </w:p>
        </w:tc>
        <w:tc>
          <w:tcPr>
            <w:tcW w:w="841" w:type="dxa"/>
            <w:gridSpan w:val="2"/>
            <w:tcBorders/>
            <w:vAlign w:val="center"/>
          </w:tcPr>
          <w:p>
            <w:pPr>
              <w:pStyle w:val="TableContents"/>
              <w:bidi w:val="0"/>
              <w:spacing w:before="0" w:after="0"/>
              <w:jc w:val="right"/>
              <w:rPr>
                <w:sz w:val="20"/>
              </w:rPr>
            </w:pPr>
            <w:r>
              <w:rPr>
                <w:sz w:val="20"/>
              </w:rPr>
              <w:t>8.7</w:t>
            </w:r>
          </w:p>
        </w:tc>
        <w:tc>
          <w:tcPr>
            <w:tcW w:w="31"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0"/>
              <w:jc w:val="left"/>
              <w:rPr/>
            </w:pPr>
            <w:r>
              <w:rPr/>
              <w:t> </w:t>
            </w:r>
          </w:p>
        </w:tc>
        <w:tc>
          <w:tcPr>
            <w:tcW w:w="841" w:type="dxa"/>
            <w:gridSpan w:val="2"/>
            <w:tcBorders/>
            <w:vAlign w:val="center"/>
          </w:tcPr>
          <w:p>
            <w:pPr>
              <w:pStyle w:val="TableContents"/>
              <w:bidi w:val="0"/>
              <w:spacing w:before="0" w:after="0"/>
              <w:jc w:val="right"/>
              <w:rPr>
                <w:sz w:val="20"/>
              </w:rPr>
            </w:pPr>
            <w:r>
              <w:rPr>
                <w:sz w:val="20"/>
              </w:rPr>
              <w:t>13.0</w:t>
            </w:r>
          </w:p>
        </w:tc>
        <w:tc>
          <w:tcPr>
            <w:tcW w:w="31"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0"/>
              <w:jc w:val="left"/>
              <w:rPr/>
            </w:pPr>
            <w:r>
              <w:rPr/>
              <w:t> </w:t>
            </w:r>
          </w:p>
        </w:tc>
        <w:tc>
          <w:tcPr>
            <w:tcW w:w="841" w:type="dxa"/>
            <w:gridSpan w:val="2"/>
            <w:tcBorders/>
            <w:vAlign w:val="center"/>
          </w:tcPr>
          <w:p>
            <w:pPr>
              <w:pStyle w:val="TableContents"/>
              <w:bidi w:val="0"/>
              <w:spacing w:before="0" w:after="0"/>
              <w:jc w:val="right"/>
              <w:rPr>
                <w:sz w:val="20"/>
              </w:rPr>
            </w:pPr>
            <w:r>
              <w:rPr>
                <w:sz w:val="20"/>
              </w:rPr>
              <w:t>22.8</w:t>
            </w:r>
          </w:p>
        </w:tc>
        <w:tc>
          <w:tcPr>
            <w:tcW w:w="13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0"/>
              <w:jc w:val="right"/>
              <w:rPr>
                <w:sz w:val="20"/>
              </w:rPr>
            </w:pPr>
            <w:r>
              <w:rPr>
                <w:sz w:val="20"/>
              </w:rPr>
              <w:t>4.7</w:t>
            </w:r>
          </w:p>
        </w:tc>
        <w:tc>
          <w:tcPr>
            <w:tcW w:w="25"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0"/>
              <w:jc w:val="right"/>
              <w:rPr>
                <w:sz w:val="20"/>
              </w:rPr>
            </w:pPr>
            <w:r>
              <w:rPr>
                <w:sz w:val="20"/>
              </w:rPr>
              <w:t>35.7</w:t>
            </w:r>
          </w:p>
        </w:tc>
        <w:tc>
          <w:tcPr>
            <w:tcW w:w="25"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0"/>
              <w:jc w:val="right"/>
              <w:rPr>
                <w:sz w:val="20"/>
              </w:rPr>
            </w:pPr>
            <w:r>
              <w:rPr>
                <w:sz w:val="20"/>
              </w:rPr>
              <w:t>38.4</w:t>
            </w:r>
          </w:p>
        </w:tc>
        <w:tc>
          <w:tcPr>
            <w:tcW w:w="25"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0"/>
              <w:jc w:val="right"/>
              <w:rPr>
                <w:sz w:val="20"/>
              </w:rPr>
            </w:pPr>
            <w:r>
              <w:rPr>
                <w:sz w:val="20"/>
              </w:rPr>
              <w:t>78.8</w:t>
            </w:r>
          </w:p>
        </w:tc>
        <w:tc>
          <w:tcPr>
            <w:tcW w:w="122" w:type="dxa"/>
            <w:tcBorders/>
            <w:vAlign w:val="center"/>
          </w:tcPr>
          <w:p>
            <w:pPr>
              <w:pStyle w:val="TableContents"/>
              <w:bidi w:val="0"/>
              <w:spacing w:before="0" w:after="283"/>
              <w:jc w:val="left"/>
              <w:rPr>
                <w:sz w:val="4"/>
                <w:szCs w:val="4"/>
              </w:rPr>
            </w:pPr>
            <w:r>
              <w:rPr>
                <w:sz w:val="4"/>
                <w:szCs w:val="4"/>
              </w:rPr>
            </w:r>
          </w:p>
        </w:tc>
      </w:tr>
      <w:tr>
        <w:trPr/>
        <w:tc>
          <w:tcPr>
            <w:tcW w:w="1220"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Eliminations</w:t>
            </w:r>
          </w:p>
        </w:tc>
        <w:tc>
          <w:tcPr>
            <w:tcW w:w="60" w:type="dxa"/>
            <w:tcBorders/>
            <w:shd w:fill="CCEEFF" w:val="clear"/>
            <w:vAlign w:val="center"/>
          </w:tcPr>
          <w:p>
            <w:pPr>
              <w:pStyle w:val="TableContents"/>
              <w:bidi w:val="0"/>
              <w:spacing w:before="0" w:after="0"/>
              <w:jc w:val="left"/>
              <w:rPr/>
            </w:pPr>
            <w:r>
              <w:rPr/>
              <w:t> </w:t>
            </w:r>
          </w:p>
        </w:tc>
        <w:tc>
          <w:tcPr>
            <w:tcW w:w="841" w:type="dxa"/>
            <w:gridSpan w:val="2"/>
            <w:tcBorders/>
            <w:shd w:fill="CCEEFF" w:val="clear"/>
            <w:vAlign w:val="center"/>
          </w:tcPr>
          <w:p>
            <w:pPr>
              <w:pStyle w:val="TableContents"/>
              <w:bidi w:val="0"/>
              <w:spacing w:before="0" w:after="0"/>
              <w:jc w:val="right"/>
              <w:rPr/>
            </w:pPr>
            <w:r>
              <w:rPr/>
              <w:t>—</w:t>
            </w:r>
          </w:p>
        </w:tc>
        <w:tc>
          <w:tcPr>
            <w:tcW w:w="31" w:type="dxa"/>
            <w:tcBorders/>
            <w:shd w:fill="CCEEFF" w:val="clear"/>
            <w:vAlign w:val="center"/>
          </w:tcPr>
          <w:p>
            <w:pPr>
              <w:pStyle w:val="TableContents"/>
              <w:bidi w:val="0"/>
              <w:spacing w:before="0" w:after="283"/>
              <w:jc w:val="left"/>
              <w:rPr>
                <w:sz w:val="4"/>
                <w:szCs w:val="4"/>
              </w:rPr>
            </w:pPr>
            <w:r>
              <w:rPr>
                <w:sz w:val="4"/>
                <w:szCs w:val="4"/>
              </w:rPr>
            </w:r>
          </w:p>
        </w:tc>
        <w:tc>
          <w:tcPr>
            <w:tcW w:w="82" w:type="dxa"/>
            <w:tcBorders/>
            <w:shd w:fill="CCEEFF" w:val="clear"/>
            <w:vAlign w:val="center"/>
          </w:tcPr>
          <w:p>
            <w:pPr>
              <w:pStyle w:val="TableContents"/>
              <w:bidi w:val="0"/>
              <w:spacing w:before="0" w:after="0"/>
              <w:jc w:val="left"/>
              <w:rPr/>
            </w:pPr>
            <w:r>
              <w:rPr/>
              <w:t> </w:t>
            </w:r>
          </w:p>
        </w:tc>
        <w:tc>
          <w:tcPr>
            <w:tcW w:w="841" w:type="dxa"/>
            <w:gridSpan w:val="2"/>
            <w:tcBorders/>
            <w:shd w:fill="CCEEFF" w:val="clear"/>
            <w:vAlign w:val="center"/>
          </w:tcPr>
          <w:p>
            <w:pPr>
              <w:pStyle w:val="TableContents"/>
              <w:bidi w:val="0"/>
              <w:spacing w:before="0" w:after="0"/>
              <w:jc w:val="right"/>
              <w:rPr/>
            </w:pPr>
            <w:r>
              <w:rPr/>
              <w:t>—</w:t>
            </w:r>
          </w:p>
        </w:tc>
        <w:tc>
          <w:tcPr>
            <w:tcW w:w="31" w:type="dxa"/>
            <w:tcBorders/>
            <w:shd w:fill="CCEEFF" w:val="clear"/>
            <w:vAlign w:val="center"/>
          </w:tcPr>
          <w:p>
            <w:pPr>
              <w:pStyle w:val="TableContents"/>
              <w:bidi w:val="0"/>
              <w:spacing w:before="0" w:after="283"/>
              <w:jc w:val="left"/>
              <w:rPr>
                <w:sz w:val="4"/>
                <w:szCs w:val="4"/>
              </w:rPr>
            </w:pPr>
            <w:r>
              <w:rPr>
                <w:sz w:val="4"/>
                <w:szCs w:val="4"/>
              </w:rPr>
            </w:r>
          </w:p>
        </w:tc>
        <w:tc>
          <w:tcPr>
            <w:tcW w:w="82" w:type="dxa"/>
            <w:tcBorders/>
            <w:shd w:fill="CCEEFF" w:val="clear"/>
            <w:vAlign w:val="center"/>
          </w:tcPr>
          <w:p>
            <w:pPr>
              <w:pStyle w:val="TableContents"/>
              <w:bidi w:val="0"/>
              <w:spacing w:before="0" w:after="0"/>
              <w:jc w:val="left"/>
              <w:rPr/>
            </w:pPr>
            <w:r>
              <w:rPr/>
              <w:t> </w:t>
            </w:r>
          </w:p>
        </w:tc>
        <w:tc>
          <w:tcPr>
            <w:tcW w:w="841" w:type="dxa"/>
            <w:gridSpan w:val="2"/>
            <w:tcBorders/>
            <w:shd w:fill="CCEEFF" w:val="clear"/>
            <w:vAlign w:val="center"/>
          </w:tcPr>
          <w:p>
            <w:pPr>
              <w:pStyle w:val="TableContents"/>
              <w:bidi w:val="0"/>
              <w:spacing w:before="0" w:after="0"/>
              <w:jc w:val="right"/>
              <w:rPr/>
            </w:pPr>
            <w:r>
              <w:rPr/>
              <w:t>—</w:t>
            </w:r>
          </w:p>
        </w:tc>
        <w:tc>
          <w:tcPr>
            <w:tcW w:w="31" w:type="dxa"/>
            <w:tcBorders/>
            <w:shd w:fill="CCEEFF" w:val="clear"/>
            <w:vAlign w:val="center"/>
          </w:tcPr>
          <w:p>
            <w:pPr>
              <w:pStyle w:val="TableContents"/>
              <w:bidi w:val="0"/>
              <w:spacing w:before="0" w:after="283"/>
              <w:jc w:val="left"/>
              <w:rPr>
                <w:sz w:val="4"/>
                <w:szCs w:val="4"/>
              </w:rPr>
            </w:pPr>
            <w:r>
              <w:rPr>
                <w:sz w:val="4"/>
                <w:szCs w:val="4"/>
              </w:rPr>
            </w:r>
          </w:p>
        </w:tc>
        <w:tc>
          <w:tcPr>
            <w:tcW w:w="82" w:type="dxa"/>
            <w:tcBorders/>
            <w:shd w:fill="CCEEFF" w:val="clear"/>
            <w:vAlign w:val="center"/>
          </w:tcPr>
          <w:p>
            <w:pPr>
              <w:pStyle w:val="TableContents"/>
              <w:bidi w:val="0"/>
              <w:spacing w:before="0" w:after="0"/>
              <w:jc w:val="left"/>
              <w:rPr/>
            </w:pPr>
            <w:r>
              <w:rPr/>
              <w:t> </w:t>
            </w:r>
          </w:p>
        </w:tc>
        <w:tc>
          <w:tcPr>
            <w:tcW w:w="841" w:type="dxa"/>
            <w:gridSpan w:val="2"/>
            <w:tcBorders/>
            <w:shd w:fill="CCEEFF" w:val="clear"/>
            <w:vAlign w:val="center"/>
          </w:tcPr>
          <w:p>
            <w:pPr>
              <w:pStyle w:val="TableContents"/>
              <w:bidi w:val="0"/>
              <w:spacing w:before="0" w:after="0"/>
              <w:jc w:val="right"/>
              <w:rPr>
                <w:sz w:val="20"/>
              </w:rPr>
            </w:pPr>
            <w:r>
              <w:rPr>
                <w:sz w:val="20"/>
              </w:rPr>
              <w:t>(1.9</w:t>
            </w:r>
          </w:p>
        </w:tc>
        <w:tc>
          <w:tcPr>
            <w:tcW w:w="131"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138"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before="0" w:after="0"/>
              <w:jc w:val="right"/>
              <w:rPr/>
            </w:pPr>
            <w:r>
              <w:rPr/>
              <w:t>—</w:t>
            </w:r>
          </w:p>
        </w:tc>
        <w:tc>
          <w:tcPr>
            <w:tcW w:w="25" w:type="dxa"/>
            <w:tcBorders/>
            <w:shd w:fill="CCEEFF" w:val="clear"/>
            <w:vAlign w:val="center"/>
          </w:tcPr>
          <w:p>
            <w:pPr>
              <w:pStyle w:val="TableContents"/>
              <w:bidi w:val="0"/>
              <w:spacing w:before="0" w:after="283"/>
              <w:jc w:val="left"/>
              <w:rPr>
                <w:sz w:val="4"/>
                <w:szCs w:val="4"/>
              </w:rPr>
            </w:pPr>
            <w:r>
              <w:rPr>
                <w:sz w:val="4"/>
                <w:szCs w:val="4"/>
              </w:rPr>
            </w:r>
          </w:p>
        </w:tc>
        <w:tc>
          <w:tcPr>
            <w:tcW w:w="25" w:type="dxa"/>
            <w:tcBorders/>
            <w:shd w:fill="CCEEFF" w:val="clear"/>
            <w:vAlign w:val="center"/>
          </w:tcPr>
          <w:p>
            <w:pPr>
              <w:pStyle w:val="TableContents"/>
              <w:bidi w:val="0"/>
              <w:spacing w:before="0" w:after="283"/>
              <w:jc w:val="left"/>
              <w:rPr>
                <w:sz w:val="4"/>
                <w:szCs w:val="4"/>
              </w:rPr>
            </w:pPr>
            <w:r>
              <w:rPr>
                <w:sz w:val="4"/>
                <w:szCs w:val="4"/>
              </w:rPr>
            </w:r>
          </w:p>
        </w:tc>
        <w:tc>
          <w:tcPr>
            <w:tcW w:w="138" w:type="dxa"/>
            <w:tcBorders/>
            <w:shd w:fill="CCEEFF" w:val="clear"/>
            <w:vAlign w:val="center"/>
          </w:tcPr>
          <w:p>
            <w:pPr>
              <w:pStyle w:val="TableContents"/>
              <w:bidi w:val="0"/>
              <w:spacing w:before="0" w:after="283"/>
              <w:jc w:val="left"/>
              <w:rPr>
                <w:sz w:val="4"/>
                <w:szCs w:val="4"/>
              </w:rPr>
            </w:pPr>
            <w:r>
              <w:rPr>
                <w:sz w:val="4"/>
                <w:szCs w:val="4"/>
              </w:rPr>
            </w:r>
          </w:p>
        </w:tc>
        <w:tc>
          <w:tcPr>
            <w:tcW w:w="538" w:type="dxa"/>
            <w:tcBorders/>
            <w:shd w:fill="CCEEFF" w:val="clear"/>
            <w:vAlign w:val="center"/>
          </w:tcPr>
          <w:p>
            <w:pPr>
              <w:pStyle w:val="TableContents"/>
              <w:bidi w:val="0"/>
              <w:spacing w:before="0" w:after="0"/>
              <w:jc w:val="right"/>
              <w:rPr/>
            </w:pPr>
            <w:r>
              <w:rPr/>
              <w:t>—</w:t>
            </w:r>
          </w:p>
        </w:tc>
        <w:tc>
          <w:tcPr>
            <w:tcW w:w="25" w:type="dxa"/>
            <w:tcBorders/>
            <w:shd w:fill="CCEEFF" w:val="clear"/>
            <w:vAlign w:val="center"/>
          </w:tcPr>
          <w:p>
            <w:pPr>
              <w:pStyle w:val="TableContents"/>
              <w:bidi w:val="0"/>
              <w:spacing w:before="0" w:after="283"/>
              <w:jc w:val="left"/>
              <w:rPr>
                <w:sz w:val="4"/>
                <w:szCs w:val="4"/>
              </w:rPr>
            </w:pPr>
            <w:r>
              <w:rPr>
                <w:sz w:val="4"/>
                <w:szCs w:val="4"/>
              </w:rPr>
            </w:r>
          </w:p>
        </w:tc>
        <w:tc>
          <w:tcPr>
            <w:tcW w:w="25" w:type="dxa"/>
            <w:tcBorders/>
            <w:shd w:fill="CCEEFF" w:val="clear"/>
            <w:vAlign w:val="center"/>
          </w:tcPr>
          <w:p>
            <w:pPr>
              <w:pStyle w:val="TableContents"/>
              <w:bidi w:val="0"/>
              <w:spacing w:before="0" w:after="283"/>
              <w:jc w:val="left"/>
              <w:rPr>
                <w:sz w:val="4"/>
                <w:szCs w:val="4"/>
              </w:rPr>
            </w:pPr>
            <w:r>
              <w:rPr>
                <w:sz w:val="4"/>
                <w:szCs w:val="4"/>
              </w:rPr>
            </w:r>
          </w:p>
        </w:tc>
        <w:tc>
          <w:tcPr>
            <w:tcW w:w="138"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before="0" w:after="0"/>
              <w:jc w:val="right"/>
              <w:rPr/>
            </w:pPr>
            <w:r>
              <w:rPr/>
              <w:t>—</w:t>
            </w:r>
          </w:p>
        </w:tc>
        <w:tc>
          <w:tcPr>
            <w:tcW w:w="25" w:type="dxa"/>
            <w:tcBorders/>
            <w:shd w:fill="CCEEFF" w:val="clear"/>
            <w:vAlign w:val="center"/>
          </w:tcPr>
          <w:p>
            <w:pPr>
              <w:pStyle w:val="TableContents"/>
              <w:bidi w:val="0"/>
              <w:spacing w:before="0" w:after="283"/>
              <w:jc w:val="left"/>
              <w:rPr>
                <w:sz w:val="4"/>
                <w:szCs w:val="4"/>
              </w:rPr>
            </w:pPr>
            <w:r>
              <w:rPr>
                <w:sz w:val="4"/>
                <w:szCs w:val="4"/>
              </w:rPr>
            </w:r>
          </w:p>
        </w:tc>
        <w:tc>
          <w:tcPr>
            <w:tcW w:w="25" w:type="dxa"/>
            <w:tcBorders/>
            <w:shd w:fill="CCEEFF" w:val="clear"/>
            <w:vAlign w:val="center"/>
          </w:tcPr>
          <w:p>
            <w:pPr>
              <w:pStyle w:val="TableContents"/>
              <w:bidi w:val="0"/>
              <w:spacing w:before="0" w:after="283"/>
              <w:jc w:val="left"/>
              <w:rPr>
                <w:sz w:val="4"/>
                <w:szCs w:val="4"/>
              </w:rPr>
            </w:pPr>
            <w:r>
              <w:rPr>
                <w:sz w:val="4"/>
                <w:szCs w:val="4"/>
              </w:rPr>
            </w:r>
          </w:p>
        </w:tc>
        <w:tc>
          <w:tcPr>
            <w:tcW w:w="138"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widowControl/>
              <w:bidi w:val="0"/>
              <w:spacing w:before="0" w:after="0"/>
              <w:ind w:left="0" w:right="0" w:hanging="0"/>
              <w:jc w:val="right"/>
              <w:rPr>
                <w:rFonts w:ascii="times new roman;times" w:hAnsi="times new roman;times"/>
                <w:b w:val="false"/>
                <w:color w:val="000000"/>
                <w:spacing w:val="0"/>
                <w:sz w:val="20"/>
              </w:rPr>
            </w:pPr>
            <w:r>
              <w:rPr>
                <w:rFonts w:ascii="times new roman;times" w:hAnsi="times new roman;times"/>
                <w:b w:val="false"/>
                <w:color w:val="000000"/>
                <w:spacing w:val="0"/>
                <w:sz w:val="20"/>
              </w:rPr>
              <w:t>(3.7</w:t>
            </w:r>
          </w:p>
        </w:tc>
        <w:tc>
          <w:tcPr>
            <w:tcW w:w="122" w:type="dxa"/>
            <w:tcBorders/>
            <w:shd w:fill="CCEEFF" w:val="clear"/>
            <w:vAlign w:val="center"/>
          </w:tcPr>
          <w:p>
            <w:pPr>
              <w:pStyle w:val="TableContents"/>
              <w:bidi w:val="0"/>
              <w:spacing w:before="0" w:after="283"/>
              <w:jc w:val="left"/>
              <w:rPr/>
            </w:pPr>
            <w:r>
              <w:rPr/>
              <w:t>)</w:t>
            </w:r>
          </w:p>
        </w:tc>
      </w:tr>
      <w:tr>
        <w:trPr/>
        <w:tc>
          <w:tcPr>
            <w:tcW w:w="1220"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Total</w:t>
            </w:r>
          </w:p>
        </w:tc>
        <w:tc>
          <w:tcPr>
            <w:tcW w:w="60"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669" w:type="dxa"/>
            <w:tcBorders/>
            <w:vAlign w:val="center"/>
          </w:tcPr>
          <w:p>
            <w:pPr>
              <w:pStyle w:val="TableContents"/>
              <w:bidi w:val="0"/>
              <w:spacing w:before="0" w:after="0"/>
              <w:jc w:val="right"/>
              <w:rPr>
                <w:sz w:val="20"/>
              </w:rPr>
            </w:pPr>
            <w:r>
              <w:rPr>
                <w:sz w:val="20"/>
              </w:rPr>
              <w:t>282.4</w:t>
            </w:r>
          </w:p>
        </w:tc>
        <w:tc>
          <w:tcPr>
            <w:tcW w:w="31"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669" w:type="dxa"/>
            <w:tcBorders/>
            <w:vAlign w:val="center"/>
          </w:tcPr>
          <w:p>
            <w:pPr>
              <w:pStyle w:val="TableContents"/>
              <w:bidi w:val="0"/>
              <w:spacing w:before="0" w:after="0"/>
              <w:jc w:val="right"/>
              <w:rPr>
                <w:sz w:val="20"/>
              </w:rPr>
            </w:pPr>
            <w:r>
              <w:rPr>
                <w:sz w:val="20"/>
              </w:rPr>
              <w:t>263.8</w:t>
            </w:r>
          </w:p>
        </w:tc>
        <w:tc>
          <w:tcPr>
            <w:tcW w:w="31"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669" w:type="dxa"/>
            <w:tcBorders/>
            <w:vAlign w:val="center"/>
          </w:tcPr>
          <w:p>
            <w:pPr>
              <w:pStyle w:val="TableContents"/>
              <w:bidi w:val="0"/>
              <w:spacing w:before="0" w:after="0"/>
              <w:jc w:val="right"/>
              <w:rPr>
                <w:sz w:val="20"/>
              </w:rPr>
            </w:pPr>
            <w:r>
              <w:rPr>
                <w:sz w:val="20"/>
              </w:rPr>
              <w:t>394.8</w:t>
            </w:r>
          </w:p>
        </w:tc>
        <w:tc>
          <w:tcPr>
            <w:tcW w:w="31"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669" w:type="dxa"/>
            <w:tcBorders/>
            <w:vAlign w:val="center"/>
          </w:tcPr>
          <w:p>
            <w:pPr>
              <w:pStyle w:val="TableContents"/>
              <w:bidi w:val="0"/>
              <w:spacing w:before="0" w:after="0"/>
              <w:jc w:val="right"/>
              <w:rPr>
                <w:sz w:val="20"/>
              </w:rPr>
            </w:pPr>
            <w:r>
              <w:rPr>
                <w:sz w:val="20"/>
              </w:rPr>
              <w:t>939.1</w:t>
            </w:r>
          </w:p>
        </w:tc>
        <w:tc>
          <w:tcPr>
            <w:tcW w:w="13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0"/>
              <w:jc w:val="left"/>
              <w:rPr>
                <w:sz w:val="20"/>
              </w:rPr>
            </w:pPr>
            <w:r>
              <w:rPr>
                <w:sz w:val="20"/>
              </w:rPr>
              <w:t>$</w:t>
            </w:r>
          </w:p>
        </w:tc>
        <w:tc>
          <w:tcPr>
            <w:tcW w:w="871" w:type="dxa"/>
            <w:tcBorders/>
            <w:vAlign w:val="center"/>
          </w:tcPr>
          <w:p>
            <w:pPr>
              <w:pStyle w:val="TableContents"/>
              <w:bidi w:val="0"/>
              <w:spacing w:before="0" w:after="0"/>
              <w:jc w:val="right"/>
              <w:rPr>
                <w:sz w:val="20"/>
              </w:rPr>
            </w:pPr>
            <w:r>
              <w:rPr>
                <w:sz w:val="20"/>
              </w:rPr>
              <w:t>474.6</w:t>
            </w:r>
          </w:p>
        </w:tc>
        <w:tc>
          <w:tcPr>
            <w:tcW w:w="25"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0"/>
              <w:jc w:val="left"/>
              <w:rPr>
                <w:sz w:val="20"/>
              </w:rPr>
            </w:pPr>
            <w:r>
              <w:rPr>
                <w:sz w:val="20"/>
              </w:rPr>
              <w:t>$</w:t>
            </w:r>
          </w:p>
        </w:tc>
        <w:tc>
          <w:tcPr>
            <w:tcW w:w="538" w:type="dxa"/>
            <w:tcBorders/>
            <w:vAlign w:val="center"/>
          </w:tcPr>
          <w:p>
            <w:pPr>
              <w:pStyle w:val="TableContents"/>
              <w:bidi w:val="0"/>
              <w:spacing w:before="0" w:after="0"/>
              <w:jc w:val="right"/>
              <w:rPr>
                <w:sz w:val="20"/>
              </w:rPr>
            </w:pPr>
            <w:r>
              <w:rPr>
                <w:sz w:val="20"/>
              </w:rPr>
              <w:t>501.2</w:t>
            </w:r>
          </w:p>
        </w:tc>
        <w:tc>
          <w:tcPr>
            <w:tcW w:w="25"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0"/>
              <w:jc w:val="left"/>
              <w:rPr>
                <w:sz w:val="20"/>
              </w:rPr>
            </w:pPr>
            <w:r>
              <w:rPr>
                <w:sz w:val="20"/>
              </w:rPr>
              <w:t>$</w:t>
            </w:r>
          </w:p>
        </w:tc>
        <w:tc>
          <w:tcPr>
            <w:tcW w:w="721" w:type="dxa"/>
            <w:tcBorders/>
            <w:vAlign w:val="center"/>
          </w:tcPr>
          <w:p>
            <w:pPr>
              <w:pStyle w:val="TableContents"/>
              <w:bidi w:val="0"/>
              <w:spacing w:before="0" w:after="0"/>
              <w:jc w:val="right"/>
              <w:rPr>
                <w:sz w:val="20"/>
              </w:rPr>
            </w:pPr>
            <w:r>
              <w:rPr>
                <w:sz w:val="20"/>
              </w:rPr>
              <w:t>754.2</w:t>
            </w:r>
          </w:p>
        </w:tc>
        <w:tc>
          <w:tcPr>
            <w:tcW w:w="25"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0"/>
              <w:jc w:val="left"/>
              <w:rPr>
                <w:sz w:val="20"/>
              </w:rPr>
            </w:pPr>
            <w:r>
              <w:rPr>
                <w:sz w:val="20"/>
              </w:rPr>
              <w:t>$</w:t>
            </w:r>
          </w:p>
        </w:tc>
        <w:tc>
          <w:tcPr>
            <w:tcW w:w="704" w:type="dxa"/>
            <w:tcBorders/>
            <w:vAlign w:val="center"/>
          </w:tcPr>
          <w:p>
            <w:pPr>
              <w:pStyle w:val="TableContents"/>
              <w:bidi w:val="0"/>
              <w:spacing w:before="0" w:after="0"/>
              <w:jc w:val="right"/>
              <w:rPr>
                <w:sz w:val="20"/>
              </w:rPr>
            </w:pPr>
            <w:r>
              <w:rPr>
                <w:sz w:val="20"/>
              </w:rPr>
              <w:t>1,726.3</w:t>
            </w:r>
          </w:p>
        </w:tc>
        <w:tc>
          <w:tcPr>
            <w:tcW w:w="122" w:type="dxa"/>
            <w:tcBorders/>
            <w:vAlign w:val="center"/>
          </w:tcPr>
          <w:p>
            <w:pPr>
              <w:pStyle w:val="TableContents"/>
              <w:bidi w:val="0"/>
              <w:spacing w:before="0" w:after="283"/>
              <w:jc w:val="left"/>
              <w:rPr>
                <w:sz w:val="4"/>
                <w:szCs w:val="4"/>
              </w:rPr>
            </w:pPr>
            <w:r>
              <w:rPr>
                <w:sz w:val="4"/>
                <w:szCs w:val="4"/>
              </w:rPr>
            </w:r>
          </w:p>
        </w:tc>
      </w:tr>
    </w:tbl>
    <w:p>
      <w:pPr>
        <w:pStyle w:val="TextBody"/>
        <w:widowControl/>
        <w:bidi w:val="0"/>
        <w:spacing w:lineRule="atLeast" w:line="240"/>
        <w:jc w:val="left"/>
        <w:rPr>
          <w:rFonts w:ascii="Times New Roman" w:hAnsi="Times New Roman" w:eastAsia="Times New Roman" w:cs="Times New Roman"/>
          <w:b w:val="false"/>
          <w:b w:val="false"/>
          <w:bCs w:val="false"/>
          <w:i w:val="false"/>
          <w:i w:val="false"/>
          <w:iCs w:val="false"/>
          <w:caps w:val="false"/>
          <w:smallCaps w:val="false"/>
          <w:color w:val="000000"/>
          <w:spacing w:val="0"/>
          <w:sz w:val="20"/>
          <w:szCs w:val="20"/>
        </w:rPr>
      </w:pPr>
      <w:r>
        <w:rPr>
          <w:rFonts w:eastAsia="Times New Roman" w:cs="Times New Roman" w:ascii="Times New Roman" w:hAnsi="Times New Roman"/>
          <w:b w:val="false"/>
          <w:bCs w:val="false"/>
          <w:i w:val="false"/>
          <w:iCs w:val="false"/>
          <w:caps w:val="false"/>
          <w:smallCaps w:val="false"/>
          <w:color w:val="000000"/>
          <w:spacing w:val="0"/>
          <w:sz w:val="20"/>
          <w:szCs w:val="20"/>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rFonts w:ascii="Times New Roman" w:hAnsi="Times New Roman" w:eastAsia="Times New Roman" w:cs="Times New Roman"/>
          <w:b w:val="false"/>
          <w:b w:val="false"/>
          <w:bCs w:val="false"/>
          <w:i w:val="false"/>
          <w:i w:val="false"/>
          <w:iCs w:val="false"/>
          <w:caps w:val="false"/>
          <w:smallCaps w:val="false"/>
          <w:color w:val="000000"/>
          <w:spacing w:val="0"/>
          <w:sz w:val="20"/>
          <w:szCs w:val="20"/>
        </w:rPr>
      </w:pPr>
      <w:r>
        <w:rPr>
          <w:rFonts w:eastAsia="Times New Roman" w:cs="Times New Roman" w:ascii="Times New Roman" w:hAnsi="Times New Roman"/>
          <w:b w:val="false"/>
          <w:bCs w:val="false"/>
          <w:i w:val="false"/>
          <w:iCs w:val="false"/>
          <w:caps w:val="false"/>
          <w:smallCaps w:val="false"/>
          <w:color w:val="000000"/>
          <w:spacing w:val="0"/>
          <w:sz w:val="20"/>
          <w:szCs w:val="20"/>
        </w:rPr>
      </w:r>
    </w:p>
    <w:p>
      <w:pPr>
        <w:pStyle w:val="TextBody"/>
        <w:widowControl/>
        <w:bidi w:val="0"/>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w:t>
      </w:r>
      <w:r>
        <w:rPr>
          <w:rFonts w:ascii="times new roman;times" w:hAnsi="times new roman;times"/>
          <w:b/>
          <w:i w:val="false"/>
          <w:caps w:val="false"/>
          <w:smallCaps w:val="false"/>
          <w:color w:val="000000"/>
          <w:spacing w:val="0"/>
          <w:sz w:val="20"/>
        </w:rPr>
        <w:t>14</w:t>
      </w:r>
      <w:r>
        <w:rPr>
          <w:rFonts w:ascii="times new roman;times" w:hAnsi="times new roman;times"/>
          <w:b/>
          <w:i w:val="false"/>
          <w:caps w:val="false"/>
          <w:smallCaps w:val="false"/>
          <w:color w:val="000000"/>
          <w:spacing w:val="0"/>
          <w:sz w:val="20"/>
        </w:rPr>
        <w:t>) INCOME TAXES</w:t>
      </w:r>
    </w:p>
    <w:p>
      <w:pPr>
        <w:pStyle w:val="TextBody"/>
        <w:widowControl/>
        <w:bidi w:val="0"/>
        <w:spacing w:lineRule="auto" w:line="288" w:before="0" w:after="0"/>
        <w:ind w:left="0" w:right="0" w:hanging="0"/>
        <w:jc w:val="both"/>
        <w:rPr/>
      </w:pPr>
      <w:r>
        <w:rPr/>
      </w:r>
    </w:p>
    <w:p>
      <w:pPr>
        <w:pStyle w:val="TextBody"/>
        <w:widowControl/>
        <w:bidi w:val="0"/>
        <w:spacing w:lineRule="auto" w:line="288"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 xml:space="preserve">The Company's effective income tax rate was </w:t>
      </w:r>
      <w:r>
        <w:rPr>
          <w:rFonts w:ascii="times new roman;times" w:hAnsi="times new roman;times"/>
          <w:b w:val="false"/>
          <w:i w:val="false"/>
          <w:caps w:val="false"/>
          <w:smallCaps w:val="false"/>
          <w:color w:val="000000"/>
          <w:spacing w:val="0"/>
          <w:sz w:val="20"/>
        </w:rPr>
        <w:t>32.0%</w:t>
      </w:r>
      <w:r>
        <w:rPr>
          <w:rFonts w:ascii="times new roman;times" w:hAnsi="times new roman;times"/>
          <w:b w:val="false"/>
          <w:i w:val="false"/>
          <w:caps w:val="false"/>
          <w:smallCaps w:val="false"/>
          <w:color w:val="000000"/>
          <w:spacing w:val="0"/>
          <w:sz w:val="20"/>
        </w:rPr>
        <w:t xml:space="preserve"> and </w:t>
      </w:r>
      <w:r>
        <w:rPr>
          <w:rFonts w:ascii="times new roman;times" w:hAnsi="times new roman;times"/>
          <w:b w:val="false"/>
          <w:i w:val="false"/>
          <w:caps w:val="false"/>
          <w:smallCaps w:val="false"/>
          <w:color w:val="000000"/>
          <w:spacing w:val="0"/>
          <w:sz w:val="20"/>
        </w:rPr>
        <w:t>33.5</w:t>
      </w:r>
      <w:r>
        <w:rPr>
          <w:rFonts w:ascii="times new roman;times" w:hAnsi="times new roman;times"/>
          <w:b w:val="false"/>
          <w:i w:val="false"/>
          <w:caps w:val="false"/>
          <w:smallCaps w:val="false"/>
          <w:color w:val="000000"/>
          <w:spacing w:val="0"/>
          <w:sz w:val="20"/>
        </w:rPr>
        <w:t>% for the three and </w:t>
      </w:r>
      <w:r>
        <w:rPr>
          <w:rFonts w:ascii="times new roman;times" w:hAnsi="times new roman;times"/>
          <w:b w:val="false"/>
          <w:i w:val="false"/>
          <w:caps w:val="false"/>
          <w:smallCaps w:val="false"/>
          <w:color w:val="000000"/>
          <w:spacing w:val="0"/>
          <w:sz w:val="20"/>
        </w:rPr>
        <w:t>six</w:t>
      </w:r>
      <w:r>
        <w:rPr>
          <w:rFonts w:ascii="times new roman;times" w:hAnsi="times new roman;times"/>
          <w:b w:val="false"/>
          <w:i w:val="false"/>
          <w:caps w:val="false"/>
          <w:smallCaps w:val="false"/>
          <w:color w:val="000000"/>
          <w:spacing w:val="0"/>
          <w:sz w:val="20"/>
        </w:rPr>
        <w:t xml:space="preserve"> months ended June 30, 2024 respectively, compared to 27.3% and 31.9% for the three and six months ended June 30, 2023, </w:t>
      </w:r>
      <w:r>
        <w:rPr>
          <w:rFonts w:ascii="times new roman;times" w:hAnsi="times new roman;times"/>
          <w:b w:val="false"/>
          <w:i w:val="false"/>
          <w:caps w:val="false"/>
          <w:smallCaps w:val="false"/>
          <w:color w:val="000000"/>
          <w:spacing w:val="0"/>
          <w:sz w:val="20"/>
        </w:rPr>
        <w:t>respectively.</w:t>
      </w:r>
      <w:r>
        <w:rPr>
          <w:rFonts w:ascii="times new roman;times" w:hAnsi="times new roman;times"/>
          <w:b w:val="false"/>
          <w:i w:val="false"/>
          <w:caps w:val="false"/>
          <w:smallCaps w:val="false"/>
          <w:color w:val="000000"/>
          <w:spacing w:val="0"/>
          <w:sz w:val="20"/>
        </w:rPr>
        <w:t> </w:t>
      </w:r>
    </w:p>
    <w:p>
      <w:pPr>
        <w:pStyle w:val="TextBody"/>
        <w:widowControl/>
        <w:bidi w:val="0"/>
        <w:spacing w:lineRule="auto" w:line="288" w:before="0" w:after="0"/>
        <w:ind w:left="0" w:right="0" w:hanging="0"/>
        <w:jc w:val="both"/>
        <w:rPr/>
      </w:pPr>
      <w:r>
        <w:rPr/>
      </w:r>
    </w:p>
    <w:p>
      <w:pPr>
        <w:pStyle w:val="TextBody"/>
        <w:widowControl/>
        <w:bidi w:val="0"/>
        <w:spacing w:lineRule="auto" w:line="288"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Company's effective income tax rate for the three and six months ended June 30, 2024 was higher than the applicable statutory income tax rate of 21% mainly as a result of certain foreign earnings being subject to higher local statutory tax rates and our U.S. deferred tax activity. Our effective income tax rate for the three and six months ended June 30, 2023 was higher than the applicable statutory income tax rate of 21% as a result of our U.S. deferred tax activity and certain foreign earnings being subject to higher local statutory tax rates.</w:t>
      </w:r>
    </w:p>
    <w:p>
      <w:pPr>
        <w:pStyle w:val="TextBody"/>
        <w:widowControl/>
        <w:bidi w:val="0"/>
        <w:spacing w:lineRule="auto" w:line="288" w:before="0" w:after="0"/>
        <w:ind w:left="0" w:right="0" w:hanging="0"/>
        <w:jc w:val="both"/>
        <w:rPr/>
      </w:pPr>
      <w:r>
        <w:rPr/>
      </w:r>
    </w:p>
    <w:p>
      <w:pPr>
        <w:pStyle w:val="TextBody"/>
        <w:widowControl/>
        <w:bidi w:val="0"/>
        <w:spacing w:lineRule="auto" w:line="288"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Organization for Economic Co-operation and Development (“OECD”) Pillar 2 guidelines published to date include transition and safe harbor rules around the implementation of the Pillar 2 global minimum tax of 15%. Based on current enacted legislation effective in 2024, the Company does not expect a material financial impact in 2024. We are monitoring developments and evaluating the impacts these new rules will have on our future income tax provision and effective income tax rate.</w:t>
      </w:r>
    </w:p>
    <w:p>
      <w:pPr>
        <w:pStyle w:val="TextBody"/>
        <w:widowControl/>
        <w:bidi w:val="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bidi w:val="0"/>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(15) COMMITMENTS</w:t>
      </w:r>
    </w:p>
    <w:p>
      <w:pPr>
        <w:pStyle w:val="TextBody"/>
        <w:bidi w:val="0"/>
        <w:spacing w:before="0" w:after="0"/>
        <w:jc w:val="left"/>
        <w:rPr/>
      </w:pPr>
      <w:r>
        <w:rPr/>
      </w:r>
    </w:p>
    <w:p>
      <w:pPr>
        <w:pStyle w:val="TextBody"/>
        <w:widowControl/>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As of June 30, 2024, the Company had $78.8 million of stand-by letters of credit/bank guarantees issued on the Company's behalf, of which $3.9 million </w:t>
      </w:r>
      <w:r>
        <w:rPr>
          <w:rFonts w:ascii="times new roman;times" w:hAnsi="times new roman;times"/>
          <w:b w:val="false"/>
          <w:color w:val="000000"/>
          <w:spacing w:val="0"/>
          <w:sz w:val="20"/>
        </w:rPr>
        <w:t xml:space="preserve">are collateralized </w:t>
      </w:r>
      <w:r>
        <w:rPr>
          <w:rFonts w:ascii="times new roman;times" w:hAnsi="times new roman;times"/>
          <w:sz w:val="20"/>
        </w:rPr>
        <w:t>by cash deposits held by the respective issuing banks.</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Under certain circumstances, the Company grants guarantees in support of obligations of subsidiaries. As of June 30, 2024, the Company had granted off balance sheet guarantees for cash in various ATM networks amounting to $10.7 million over the terms of the cash supply agreements and performance guarantees amounting to approximately $59.3 million over the terms of agreements with the Company's customers. </w:t>
      </w:r>
    </w:p>
    <w:p>
      <w:pPr>
        <w:pStyle w:val="TextBody"/>
        <w:bidi w:val="0"/>
        <w:spacing w:lineRule="atLeast" w:line="240" w:before="0" w:after="0"/>
        <w:jc w:val="left"/>
        <w:rPr>
          <w:sz w:val="20"/>
        </w:rPr>
      </w:pPr>
      <w:r>
        <w:rPr>
          <w:sz w:val="20"/>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20</w:t>
            </w:r>
          </w:p>
        </w:tc>
      </w:tr>
    </w:tbl>
    <w:p>
      <w:pPr>
        <w:pStyle w:val="TextBody"/>
        <w:bidi w:val="0"/>
        <w:spacing w:lineRule="auto" w:line="288" w:before="0" w:after="0"/>
        <w:jc w:val="both"/>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before="0" w:after="0"/>
        <w:jc w:val="both"/>
        <w:rPr/>
      </w:pPr>
      <w:r>
        <w:rPr/>
      </w:r>
    </w:p>
    <w:p>
      <w:pPr>
        <w:pStyle w:val="TextBody"/>
        <w:bidi w:val="0"/>
        <w:spacing w:lineRule="auto" w:line="288"/>
        <w:jc w:val="left"/>
        <w:rPr>
          <w:sz w:val="20"/>
        </w:rPr>
      </w:pPr>
      <w:r>
        <w:rPr>
          <w:sz w:val="20"/>
        </w:rPr>
      </w:r>
    </w:p>
    <w:p>
      <w:pPr>
        <w:pStyle w:val="TextBody"/>
        <w:bidi w:val="0"/>
        <w:spacing w:lineRule="auto" w:line="288" w:before="0" w:after="0"/>
        <w:ind w:left="0" w:right="0" w:hanging="0"/>
        <w:jc w:val="both"/>
        <w:rPr/>
      </w:pPr>
      <w:r>
        <w:rPr/>
      </w:r>
    </w:p>
    <w:p>
      <w:pPr>
        <w:pStyle w:val="TextBody"/>
        <w:bidi w:val="0"/>
        <w:spacing w:lineRule="auto" w:line="288"/>
        <w:jc w:val="both"/>
        <w:rPr>
          <w:rFonts w:ascii="times new roman;times" w:hAnsi="times new roman;times"/>
          <w:sz w:val="20"/>
        </w:rPr>
      </w:pPr>
      <w:r>
        <w:rPr>
          <w:rFonts w:ascii="times new roman;times" w:hAnsi="times new roman;times"/>
          <w:sz w:val="20"/>
        </w:rPr>
        <w:t>From time to time, the Company enters into agreements with commercial counterparties that contain indemnification provisions, the terms of which may vary depending on the negotiated terms of each respective agreement. The amount of such potential obligations is generally not stated in the agreements. The Company's liability under such indemnification provisions may be mitigated by relevant insurance coverage and may be subject to time and materiality limitations, monetary caps and other conditions and defenses. Such indemnification obligations include the following: </w:t>
      </w:r>
    </w:p>
    <w:p>
      <w:pPr>
        <w:pStyle w:val="TextBody"/>
        <w:widowControl/>
        <w:numPr>
          <w:ilvl w:val="0"/>
          <w:numId w:val="3"/>
        </w:numPr>
        <w:tabs>
          <w:tab w:val="clear" w:pos="1134"/>
          <w:tab w:val="left" w:pos="709" w:leader="none"/>
        </w:tabs>
        <w:bidi w:val="0"/>
        <w:spacing w:lineRule="auto" w:line="288" w:before="0" w:after="0"/>
        <w:ind w:left="709"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 xml:space="preserve">In connection with contracts with financial institutions in the EFT Processing Segment, the Company is responsible for damage to ATMs and theft of ATM network cash. As of </w:t>
      </w:r>
      <w:r>
        <w:rPr>
          <w:rFonts w:ascii="times new roman;times" w:hAnsi="times new roman;times"/>
          <w:b w:val="false"/>
          <w:i w:val="false"/>
          <w:caps w:val="false"/>
          <w:smallCaps w:val="false"/>
          <w:color w:val="000000"/>
          <w:spacing w:val="0"/>
          <w:sz w:val="20"/>
        </w:rPr>
        <w:t>June 30, 2024</w:t>
      </w:r>
      <w:r>
        <w:rPr>
          <w:rFonts w:ascii="times new roman;times" w:hAnsi="times new roman;times"/>
          <w:b w:val="false"/>
          <w:i w:val="false"/>
          <w:caps w:val="false"/>
          <w:smallCaps w:val="false"/>
          <w:color w:val="000000"/>
          <w:spacing w:val="0"/>
          <w:sz w:val="20"/>
        </w:rPr>
        <w:t>, the balance of such cash used in the Company's ATM networks for which the Company was responsible was approximately $383.2 million. The Company maintains insurance policies to mitigate this exposure; </w:t>
      </w:r>
    </w:p>
    <w:p>
      <w:pPr>
        <w:pStyle w:val="TextBody"/>
        <w:widowControl/>
        <w:numPr>
          <w:ilvl w:val="0"/>
          <w:numId w:val="3"/>
        </w:numPr>
        <w:tabs>
          <w:tab w:val="clear" w:pos="1134"/>
          <w:tab w:val="left" w:pos="709" w:leader="none"/>
        </w:tabs>
        <w:bidi w:val="0"/>
        <w:spacing w:lineRule="atLeast" w:line="240" w:before="0" w:after="0"/>
        <w:ind w:left="709"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In connection with contracts with financial institutions in the EFT Processing Segment, the Company is responsible for losses suffered by the Company's customers and other parties as a result of the breach of the Company's computer systems, including in particular, losses arising from fraudulent transactions made using information stolen through the Company's processing systems. The Company maintains insurance policies to mitigate this exposure;</w:t>
      </w:r>
    </w:p>
    <w:p>
      <w:pPr>
        <w:pStyle w:val="TextBody"/>
        <w:widowControl/>
        <w:numPr>
          <w:ilvl w:val="0"/>
          <w:numId w:val="3"/>
        </w:numPr>
        <w:tabs>
          <w:tab w:val="clear" w:pos="1134"/>
          <w:tab w:val="left" w:pos="709" w:leader="none"/>
        </w:tabs>
        <w:bidi w:val="0"/>
        <w:spacing w:lineRule="atLeast" w:line="240" w:before="0" w:after="0"/>
        <w:ind w:left="709"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In connection with the license of proprietary systems to customers, the Company provides certain warranties and infringement indemnities to the licensee, which generally warrant that such systems do not infringe on intellectual property owned by third parties and that the systems will perform in accordance with their specifications;</w:t>
      </w:r>
    </w:p>
    <w:p>
      <w:pPr>
        <w:pStyle w:val="TextBody"/>
        <w:widowControl/>
        <w:numPr>
          <w:ilvl w:val="0"/>
          <w:numId w:val="3"/>
        </w:numPr>
        <w:tabs>
          <w:tab w:val="clear" w:pos="1134"/>
          <w:tab w:val="left" w:pos="709" w:leader="none"/>
        </w:tabs>
        <w:bidi w:val="0"/>
        <w:spacing w:lineRule="atLeast" w:line="240" w:before="0" w:after="0"/>
        <w:ind w:left="709"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Company has entered into purchase and service agreements with vendors and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pStyle w:val="TextBody"/>
        <w:widowControl/>
        <w:numPr>
          <w:ilvl w:val="0"/>
          <w:numId w:val="3"/>
        </w:numPr>
        <w:tabs>
          <w:tab w:val="clear" w:pos="1134"/>
          <w:tab w:val="left" w:pos="709" w:leader="none"/>
        </w:tabs>
        <w:bidi w:val="0"/>
        <w:spacing w:lineRule="atLeast" w:line="240" w:before="0" w:after="0"/>
        <w:ind w:left="709"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In connection with acquisitions and dispositions of subsidiaries, operating units and business assets, the Company has entered into agreements containing indemnification provisions, which can be generally described as follows: (i) in connection with acquisitions of operating units or assets made by the Company, the Company has agreed to indemnify the seller against third party claims made against the seller relating to the operating unit or asset and arising after the closing of the transaction, and (ii) in connection with dispositions made by the Company, the Company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 and</w:t>
      </w:r>
    </w:p>
    <w:p>
      <w:pPr>
        <w:pStyle w:val="TextBody"/>
        <w:widowControl/>
        <w:numPr>
          <w:ilvl w:val="0"/>
          <w:numId w:val="3"/>
        </w:numPr>
        <w:tabs>
          <w:tab w:val="clear" w:pos="1134"/>
          <w:tab w:val="left" w:pos="709" w:leader="none"/>
        </w:tabs>
        <w:bidi w:val="0"/>
        <w:spacing w:lineRule="atLeast" w:line="240"/>
        <w:ind w:left="709" w:right="0" w:hanging="0"/>
        <w:jc w:val="both"/>
        <w:rPr>
          <w:rFonts w:ascii="times new roman" w:hAnsi="times new roman"/>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Company has entered into agreements with certain third parties, including banks that provide fiduciary and other services to the Company or the Company's benefit plans. Under such agreements, the Company has agreed to indemnify such service providers for third-party claims relating to carrying out their respective duties under such agreements.</w:t>
      </w:r>
      <w:r>
        <w:rPr>
          <w:rFonts w:ascii="times new roman" w:hAnsi="times new roman"/>
          <w:b w:val="false"/>
          <w:i w:val="false"/>
          <w:caps w:val="false"/>
          <w:smallCaps w:val="false"/>
          <w:color w:val="000000"/>
          <w:spacing w:val="0"/>
          <w:sz w:val="20"/>
        </w:rPr>
        <w:t xml:space="preserve"> </w:t>
      </w:r>
    </w:p>
    <w:p>
      <w:pPr>
        <w:pStyle w:val="TextBody"/>
        <w:bidi w:val="0"/>
        <w:spacing w:lineRule="auto" w:line="288"/>
        <w:ind w:left="0" w:right="0" w:hanging="0"/>
        <w:jc w:val="both"/>
        <w:rPr>
          <w:rFonts w:ascii="Times New Roman" w:hAnsi="Times New Roman"/>
          <w:sz w:val="20"/>
        </w:rPr>
      </w:pPr>
      <w:r>
        <w:rPr>
          <w:rFonts w:ascii="Times New Roman" w:hAnsi="Times New Roman"/>
          <w:sz w:val="20"/>
        </w:rPr>
        <w:t>The Company is also required to meet minimum capitalization and cash requirements of various regulatory authorities in the jurisdictions in which the Company has operations. The Company has obtained surety bonds in compliance with money transfer licensing requirements of the applicable governmental authorities.</w:t>
      </w:r>
    </w:p>
    <w:p>
      <w:pPr>
        <w:pStyle w:val="TextBody"/>
        <w:bidi w:val="0"/>
        <w:spacing w:lineRule="auto" w:line="288" w:before="0" w:after="0"/>
        <w:jc w:val="both"/>
        <w:rPr>
          <w:rFonts w:ascii="times new roman;times" w:hAnsi="times new roman;times"/>
          <w:sz w:val="20"/>
        </w:rPr>
      </w:pPr>
      <w:r>
        <w:rPr>
          <w:rFonts w:ascii="times new roman;times" w:hAnsi="times new roman;times"/>
          <w:sz w:val="20"/>
        </w:rPr>
        <w:t xml:space="preserve">To date, the Company is not aware of any significant claims made by the indemnified parties or third parties to guarantee agreements with the Company and, accordingly, </w:t>
      </w:r>
      <w:r>
        <w:rPr>
          <w:rFonts w:ascii="times new roman;times" w:hAnsi="times new roman;times"/>
          <w:sz w:val="20"/>
        </w:rPr>
        <w:t>no</w:t>
      </w:r>
      <w:r>
        <w:rPr>
          <w:rFonts w:ascii="times new roman;times" w:hAnsi="times new roman;times"/>
          <w:sz w:val="20"/>
        </w:rPr>
        <w:t xml:space="preserve"> liabilities were recorded as of June 30, 2024 or December 31, 2023.</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bidi w:val="0"/>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w:t>
      </w:r>
      <w:r>
        <w:rPr>
          <w:rFonts w:ascii="times new roman;times" w:hAnsi="times new roman;times"/>
          <w:b/>
          <w:i w:val="false"/>
          <w:caps w:val="false"/>
          <w:smallCaps w:val="false"/>
          <w:color w:val="000000"/>
          <w:spacing w:val="0"/>
          <w:sz w:val="20"/>
        </w:rPr>
        <w:t>16</w:t>
      </w:r>
      <w:r>
        <w:rPr>
          <w:rFonts w:ascii="times new roman;times" w:hAnsi="times new roman;times"/>
          <w:b/>
          <w:i w:val="false"/>
          <w:caps w:val="false"/>
          <w:smallCaps w:val="false"/>
          <w:color w:val="000000"/>
          <w:spacing w:val="0"/>
          <w:sz w:val="20"/>
        </w:rPr>
        <w:t>) LITIGATION AND CONTINGENCIES</w:t>
      </w:r>
    </w:p>
    <w:p>
      <w:pPr>
        <w:pStyle w:val="TextBody"/>
        <w:widowControl/>
        <w:bidi w:val="0"/>
        <w:spacing w:lineRule="auto" w:line="288"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lineRule="auto" w:line="288"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From time to time, the Company is a party to legal or regulatory proceedings arising in the ordinary course of the Company's business. In accordance with U.S. GAAP, the Company records a liability when it is both probable that a liability has been incurred and the amount of the loss can be reasonably estimated. Currently</w:t>
      </w:r>
      <w:r>
        <w:rPr>
          <w:rFonts w:ascii="times new roman;times" w:hAnsi="times new roman;times"/>
          <w:b w:val="false"/>
          <w:i w:val="false"/>
          <w:caps w:val="false"/>
          <w:smallCaps w:val="false"/>
          <w:color w:val="000000"/>
          <w:spacing w:val="0"/>
          <w:sz w:val="20"/>
        </w:rPr>
        <w:t>, there are no legal proceedings or regulatory findings which are both probable that a liability has been incurred and can be reasonably estimated that management believes, either individually or in the aggregate, would have a material adverse effect on the Company's consolidated financial condition or results of operations. These provisions are reviewed at least quarterly and adjusted to reflect the impacts of negotiations, settlements, rulings, advice of legal counsel, and other information and events pertaining to a particular case.</w:t>
      </w:r>
    </w:p>
    <w:p>
      <w:pPr>
        <w:pStyle w:val="TextBody"/>
        <w:widowControl/>
        <w:bidi w:val="0"/>
        <w:spacing w:lineRule="auto" w:line="288"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r>
    </w:p>
    <w:p>
      <w:pPr>
        <w:pStyle w:val="TextBody"/>
        <w:widowControl/>
        <w:bidi w:val="0"/>
        <w:spacing w:lineRule="auto" w:line="288"/>
        <w:ind w:left="0" w:right="0" w:hanging="0"/>
        <w:jc w:val="both"/>
        <w:rPr>
          <w:rFonts w:ascii="times new roman;times" w:hAnsi="times new roman;times"/>
          <w:b w:val="false"/>
          <w:i w:val="false"/>
          <w:caps w:val="false"/>
          <w:smallCaps w:val="false"/>
          <w:color w:val="000000"/>
          <w:spacing w:val="0"/>
          <w:sz w:val="20"/>
        </w:rPr>
      </w:pPr>
      <w:r>
        <w:rPr>
          <w:rFonts w:ascii="Times New Roman;serif" w:hAnsi="Times New Roman;serif"/>
          <w:b w:val="false"/>
          <w:i w:val="false"/>
          <w:caps w:val="false"/>
          <w:smallCaps w:val="false"/>
          <w:color w:val="000000"/>
          <w:spacing w:val="0"/>
          <w:sz w:val="20"/>
        </w:rPr>
        <w:t>During July 2024, the Company received an adverse judicial decision related to withholding taxes on certain agency relationships in Italy within the Money Transfer Segment, which the Company plans to appeal.</w:t>
      </w:r>
      <w:r>
        <w:rPr>
          <w:rFonts w:ascii="times new roman;times" w:hAnsi="times new roman;times"/>
          <w:b w:val="false"/>
          <w:i w:val="false"/>
          <w:caps w:val="false"/>
          <w:smallCaps w:val="false"/>
          <w:color w:val="000000"/>
          <w:spacing w:val="0"/>
          <w:sz w:val="20"/>
        </w:rPr>
        <w:t> The Company completed an assessment and concluded that it is reasonably possible that a liability has been incurred, but not probable. The principal amount of the agent-based withholding tax could be approximately $16.5 million for all open periods.</w:t>
      </w:r>
    </w:p>
    <w:p>
      <w:pPr>
        <w:pStyle w:val="TextBody"/>
        <w:bidi w:val="0"/>
        <w:spacing w:before="0" w:after="0"/>
        <w:ind w:left="0" w:right="0" w:hanging="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21</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jc w:val="left"/>
        <w:rPr>
          <w:sz w:val="20"/>
        </w:rPr>
      </w:pPr>
      <w:r>
        <w:rPr>
          <w:sz w:val="20"/>
        </w:rPr>
      </w:r>
    </w:p>
    <w:p>
      <w:pPr>
        <w:pStyle w:val="TextBody"/>
        <w:bidi w:val="0"/>
        <w:spacing w:before="0" w:after="0"/>
        <w:ind w:left="0" w:right="0" w:hanging="0"/>
        <w:jc w:val="left"/>
        <w:rPr/>
      </w:pPr>
      <w:r>
        <w:rPr/>
      </w:r>
    </w:p>
    <w:p>
      <w:pPr>
        <w:pStyle w:val="TextBody"/>
        <w:widowControl/>
        <w:bidi w:val="0"/>
        <w:spacing w:lineRule="auto" w:line="288" w:before="0" w:after="0"/>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(17) LEASES</w:t>
      </w:r>
    </w:p>
    <w:p>
      <w:pPr>
        <w:pStyle w:val="TextBody"/>
        <w:widowControl/>
        <w:bidi w:val="0"/>
        <w:spacing w:lineRule="auto" w:line="288"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bidi w:val="0"/>
        <w:spacing w:lineRule="auto" w:line="288"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Company enters into operating leases for ATM sites, office spaces, retail stores and equipment. The Company's finance leases are immaterial. Right of use assets (ROU) and lease liabilities are recognized at the lease commencement date based on the present value of the lease payments over the lease terms.</w:t>
      </w:r>
    </w:p>
    <w:p>
      <w:pPr>
        <w:pStyle w:val="TextBody"/>
        <w:widowControl/>
        <w:bidi w:val="0"/>
        <w:spacing w:lineRule="auto" w:line="288"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bidi w:val="0"/>
        <w:spacing w:lineRule="auto" w:line="288"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present value of lease payments is determined using the incremental borrowing rate based on information available at the lease commencement date. The Company recognizes lease expense for these leases on a straight-line basis over the lease term.</w:t>
      </w:r>
    </w:p>
    <w:p>
      <w:pPr>
        <w:pStyle w:val="TextBody"/>
        <w:widowControl/>
        <w:bidi w:val="0"/>
        <w:spacing w:lineRule="auto" w:line="288"/>
        <w:ind w:left="0" w:right="0" w:hanging="0"/>
        <w:jc w:val="both"/>
        <w:rPr>
          <w:caps w:val="false"/>
          <w:smallCaps w:val="false"/>
          <w:color w:val="000000"/>
          <w:spacing w:val="0"/>
        </w:rPr>
      </w:pPr>
      <w:r>
        <w:rPr>
          <w:caps w:val="false"/>
          <w:smallCaps w:val="false"/>
          <w:color w:val="000000"/>
          <w:spacing w:val="0"/>
        </w:rPr>
        <w:t> </w:t>
      </w:r>
    </w:p>
    <w:p>
      <w:pPr>
        <w:pStyle w:val="TextBody"/>
        <w:widowControl/>
        <w:bidi w:val="0"/>
        <w:spacing w:lineRule="atLeast" w:line="240"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Most leases include an option to renew, with renewal terms that can extend the lease terms. The exercise of lease renewal options is at the Company's sole discretion. The depreciable life of assets and leasehold improvements are limited by the expected lease terms. The Company also has a unilateral termination right for most of the ATM site leases. Since the Company is not reasonably certain not to exercise termination options, payments for ATM site leases with termination options subject to the short-term lease exemption are expensed in the period incurred and corresponding leases are excluded from the right of use lease asset and lease liability balances. Certain of the Company's lease agreements include variable rental payments based on revenues generated from the use of the leased location and certain leases include rental payments adjusted periodically for inflation. Variable lease payments are recognized when the event, activity or circumstance in the lease agreement on which those payments are assessed occurs and are excluded from the right of use assets and lease liabilities balances. The lease agreements do not contain any material residual value guarantees or material restrictive covenants.</w:t>
      </w:r>
    </w:p>
    <w:p>
      <w:pPr>
        <w:pStyle w:val="TextBody"/>
        <w:widowControl/>
        <w:bidi w:val="0"/>
        <w:spacing w:lineRule="atLeast" w:line="240"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lineRule="atLeast" w:line="240" w:before="0" w:after="0"/>
        <w:ind w:left="0" w:right="0" w:hanging="0"/>
        <w:jc w:val="left"/>
        <w:rPr>
          <w:rFonts w:ascii="times new roman;times" w:hAnsi="times new roman;times"/>
          <w:b/>
          <w:i/>
          <w:caps w:val="false"/>
          <w:smallCaps w:val="false"/>
          <w:color w:val="000000"/>
          <w:spacing w:val="0"/>
          <w:sz w:val="20"/>
        </w:rPr>
      </w:pPr>
      <w:r>
        <w:rPr>
          <w:rFonts w:ascii="times new roman;times" w:hAnsi="times new roman;times"/>
          <w:b/>
          <w:i/>
          <w:caps w:val="false"/>
          <w:smallCaps w:val="false"/>
          <w:color w:val="000000"/>
          <w:spacing w:val="0"/>
          <w:sz w:val="20"/>
        </w:rPr>
        <w:t>Future minimum lease payments</w:t>
      </w:r>
    </w:p>
    <w:p>
      <w:pPr>
        <w:pStyle w:val="TextBody"/>
        <w:widowControl/>
        <w:bidi w:val="0"/>
        <w:spacing w:lineRule="atLeast" w:line="240"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lineRule="atLeast" w:line="240" w:before="0" w:after="0"/>
        <w:ind w:left="0" w:right="0" w:hanging="0"/>
        <w:jc w:val="left"/>
        <w:rPr>
          <w:rFonts w:ascii="Times New Roman;serif" w:hAnsi="Times New Roman;serif"/>
          <w:b w:val="false"/>
          <w:i w:val="false"/>
          <w:caps w:val="false"/>
          <w:smallCaps w:val="false"/>
          <w:color w:val="000000"/>
          <w:spacing w:val="0"/>
          <w:sz w:val="24"/>
        </w:rPr>
      </w:pPr>
      <w:r>
        <w:rPr>
          <w:rFonts w:ascii="times new roman;times" w:hAnsi="times new roman;times"/>
          <w:b w:val="false"/>
          <w:i w:val="false"/>
          <w:caps w:val="false"/>
          <w:smallCaps w:val="false"/>
          <w:color w:val="000000"/>
          <w:spacing w:val="0"/>
          <w:sz w:val="20"/>
        </w:rPr>
        <w:t>Future minimum lease payments under non-cancelable operating leases (with initial lease terms in excess of one year) as of June 30, 2024</w:t>
      </w:r>
      <w:r>
        <w:rPr>
          <w:rFonts w:ascii="Times New Roman;serif" w:hAnsi="Times New Roman;serif"/>
          <w:b w:val="false"/>
          <w:i w:val="false"/>
          <w:caps w:val="false"/>
          <w:smallCaps w:val="false"/>
          <w:color w:val="000000"/>
          <w:spacing w:val="0"/>
          <w:sz w:val="24"/>
        </w:rPr>
        <w:t> </w:t>
      </w:r>
      <w:r>
        <w:rPr>
          <w:rFonts w:ascii="times new roman;times" w:hAnsi="times new roman;times"/>
          <w:b w:val="false"/>
          <w:i w:val="false"/>
          <w:caps w:val="false"/>
          <w:smallCaps w:val="false"/>
          <w:color w:val="000000"/>
          <w:spacing w:val="0"/>
          <w:sz w:val="20"/>
        </w:rPr>
        <w:t>are:</w:t>
      </w:r>
    </w:p>
    <w:p>
      <w:pPr>
        <w:pStyle w:val="TextBody"/>
        <w:widowControl/>
        <w:bidi w:val="0"/>
        <w:spacing w:lineRule="atLeast" w:line="240" w:before="0" w:after="0"/>
        <w:ind w:left="0" w:right="0" w:hanging="0"/>
        <w:jc w:val="left"/>
        <w:rPr>
          <w:caps w:val="false"/>
          <w:smallCaps w:val="false"/>
          <w:color w:val="000000"/>
          <w:spacing w:val="0"/>
        </w:rPr>
      </w:pPr>
      <w:r>
        <w:rPr>
          <w:caps w:val="false"/>
          <w:smallCaps w:val="false"/>
          <w:color w:val="000000"/>
          <w:spacing w:val="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899" w:type="dxa"/>
        <w:jc w:val="center"/>
        <w:tblInd w:w="0" w:type="dxa"/>
        <w:tblLayout w:type="fixed"/>
        <w:tblCellMar>
          <w:top w:w="0" w:type="dxa"/>
          <w:left w:w="0" w:type="dxa"/>
          <w:bottom w:w="0" w:type="dxa"/>
          <w:right w:w="0" w:type="dxa"/>
        </w:tblCellMar>
      </w:tblPr>
      <w:tblGrid>
        <w:gridCol w:w="3350"/>
        <w:gridCol w:w="269"/>
        <w:gridCol w:w="1044"/>
        <w:gridCol w:w="236"/>
      </w:tblGrid>
      <w:tr>
        <w:trPr/>
        <w:tc>
          <w:tcPr>
            <w:tcW w:w="3350" w:type="dxa"/>
            <w:tcBorders/>
            <w:vAlign w:val="center"/>
          </w:tcPr>
          <w:p>
            <w:pPr>
              <w:pStyle w:val="TableContents"/>
              <w:bidi w:val="0"/>
              <w:spacing w:before="0" w:after="0"/>
              <w:jc w:val="left"/>
              <w:rPr/>
            </w:pPr>
            <w:r>
              <w:rPr/>
              <w:t> </w:t>
            </w:r>
          </w:p>
        </w:tc>
        <w:tc>
          <w:tcPr>
            <w:tcW w:w="1549" w:type="dxa"/>
            <w:gridSpan w:val="3"/>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As of June 30, 2024</w:t>
            </w:r>
          </w:p>
        </w:tc>
      </w:tr>
      <w:tr>
        <w:trPr/>
        <w:tc>
          <w:tcPr>
            <w:tcW w:w="3350"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b/>
                <w:sz w:val="20"/>
              </w:rPr>
              <w:t>Maturity of Lease Liabilities</w:t>
            </w:r>
            <w:r>
              <w:rPr>
                <w:rFonts w:ascii="times new roman;times" w:hAnsi="times new roman;times"/>
                <w:sz w:val="20"/>
              </w:rPr>
              <w:t> </w:t>
            </w:r>
            <w:r>
              <w:rPr>
                <w:rFonts w:ascii="times new roman;times" w:hAnsi="times new roman;times"/>
                <w:i/>
                <w:sz w:val="16"/>
              </w:rPr>
              <w:t>(in millions)</w:t>
            </w:r>
          </w:p>
        </w:tc>
        <w:tc>
          <w:tcPr>
            <w:tcW w:w="1549" w:type="dxa"/>
            <w:gridSpan w:val="3"/>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Operating Leases (1)</w:t>
            </w:r>
          </w:p>
        </w:tc>
      </w:tr>
      <w:tr>
        <w:trPr/>
        <w:tc>
          <w:tcPr>
            <w:tcW w:w="3350"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Remainder of 2024</w:t>
            </w:r>
          </w:p>
        </w:tc>
        <w:tc>
          <w:tcPr>
            <w:tcW w:w="269"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1044"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25.4</w:t>
            </w:r>
          </w:p>
        </w:tc>
        <w:tc>
          <w:tcPr>
            <w:tcW w:w="236" w:type="dxa"/>
            <w:tcBorders/>
            <w:shd w:fill="CCEEFF" w:val="clear"/>
            <w:vAlign w:val="center"/>
          </w:tcPr>
          <w:p>
            <w:pPr>
              <w:pStyle w:val="TableContents"/>
              <w:bidi w:val="0"/>
              <w:spacing w:before="0" w:after="283"/>
              <w:jc w:val="left"/>
              <w:rPr>
                <w:sz w:val="4"/>
                <w:szCs w:val="4"/>
              </w:rPr>
            </w:pPr>
            <w:r>
              <w:rPr>
                <w:sz w:val="4"/>
                <w:szCs w:val="4"/>
              </w:rPr>
            </w:r>
          </w:p>
        </w:tc>
      </w:tr>
      <w:tr>
        <w:trPr/>
        <w:tc>
          <w:tcPr>
            <w:tcW w:w="3350" w:type="dxa"/>
            <w:tcBorders/>
            <w:vAlign w:val="center"/>
          </w:tcPr>
          <w:p>
            <w:pPr>
              <w:pStyle w:val="TableContents"/>
              <w:bidi w:val="0"/>
              <w:spacing w:before="0" w:after="0"/>
              <w:jc w:val="left"/>
              <w:rPr>
                <w:sz w:val="20"/>
              </w:rPr>
            </w:pPr>
            <w:r>
              <w:rPr>
                <w:sz w:val="20"/>
              </w:rPr>
              <w:t>2025</w:t>
            </w:r>
          </w:p>
        </w:tc>
        <w:tc>
          <w:tcPr>
            <w:tcW w:w="1313"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41.6</w:t>
            </w:r>
          </w:p>
        </w:tc>
        <w:tc>
          <w:tcPr>
            <w:tcW w:w="236" w:type="dxa"/>
            <w:tcBorders/>
            <w:vAlign w:val="center"/>
          </w:tcPr>
          <w:p>
            <w:pPr>
              <w:pStyle w:val="TableContents"/>
              <w:bidi w:val="0"/>
              <w:spacing w:before="0" w:after="283"/>
              <w:jc w:val="left"/>
              <w:rPr>
                <w:sz w:val="4"/>
                <w:szCs w:val="4"/>
              </w:rPr>
            </w:pPr>
            <w:r>
              <w:rPr>
                <w:sz w:val="4"/>
                <w:szCs w:val="4"/>
              </w:rPr>
            </w:r>
          </w:p>
        </w:tc>
      </w:tr>
      <w:tr>
        <w:trPr/>
        <w:tc>
          <w:tcPr>
            <w:tcW w:w="3350" w:type="dxa"/>
            <w:tcBorders/>
            <w:shd w:fill="CCEEFF" w:val="clear"/>
            <w:vAlign w:val="center"/>
          </w:tcPr>
          <w:p>
            <w:pPr>
              <w:pStyle w:val="TableContents"/>
              <w:bidi w:val="0"/>
              <w:spacing w:before="0" w:after="0"/>
              <w:jc w:val="left"/>
              <w:rPr>
                <w:sz w:val="20"/>
              </w:rPr>
            </w:pPr>
            <w:r>
              <w:rPr>
                <w:sz w:val="20"/>
              </w:rPr>
              <w:t>2026</w:t>
            </w:r>
          </w:p>
        </w:tc>
        <w:tc>
          <w:tcPr>
            <w:tcW w:w="1313"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31.7</w:t>
            </w:r>
          </w:p>
        </w:tc>
        <w:tc>
          <w:tcPr>
            <w:tcW w:w="236" w:type="dxa"/>
            <w:tcBorders/>
            <w:shd w:fill="CCEEFF" w:val="clear"/>
            <w:vAlign w:val="center"/>
          </w:tcPr>
          <w:p>
            <w:pPr>
              <w:pStyle w:val="TableContents"/>
              <w:bidi w:val="0"/>
              <w:spacing w:before="0" w:after="283"/>
              <w:jc w:val="left"/>
              <w:rPr>
                <w:sz w:val="4"/>
                <w:szCs w:val="4"/>
              </w:rPr>
            </w:pPr>
            <w:r>
              <w:rPr>
                <w:sz w:val="4"/>
                <w:szCs w:val="4"/>
              </w:rPr>
            </w:r>
          </w:p>
        </w:tc>
      </w:tr>
      <w:tr>
        <w:trPr/>
        <w:tc>
          <w:tcPr>
            <w:tcW w:w="3350" w:type="dxa"/>
            <w:tcBorders/>
            <w:vAlign w:val="center"/>
          </w:tcPr>
          <w:p>
            <w:pPr>
              <w:pStyle w:val="TableContents"/>
              <w:bidi w:val="0"/>
              <w:spacing w:before="0" w:after="0"/>
              <w:jc w:val="left"/>
              <w:rPr>
                <w:sz w:val="20"/>
              </w:rPr>
            </w:pPr>
            <w:r>
              <w:rPr>
                <w:sz w:val="20"/>
              </w:rPr>
              <w:t>2027</w:t>
            </w:r>
          </w:p>
        </w:tc>
        <w:tc>
          <w:tcPr>
            <w:tcW w:w="1313"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21.5</w:t>
            </w:r>
          </w:p>
        </w:tc>
        <w:tc>
          <w:tcPr>
            <w:tcW w:w="236" w:type="dxa"/>
            <w:tcBorders/>
            <w:vAlign w:val="center"/>
          </w:tcPr>
          <w:p>
            <w:pPr>
              <w:pStyle w:val="TableContents"/>
              <w:bidi w:val="0"/>
              <w:spacing w:before="0" w:after="283"/>
              <w:jc w:val="left"/>
              <w:rPr>
                <w:sz w:val="4"/>
                <w:szCs w:val="4"/>
              </w:rPr>
            </w:pPr>
            <w:r>
              <w:rPr>
                <w:sz w:val="4"/>
                <w:szCs w:val="4"/>
              </w:rPr>
            </w:r>
          </w:p>
        </w:tc>
      </w:tr>
      <w:tr>
        <w:trPr/>
        <w:tc>
          <w:tcPr>
            <w:tcW w:w="3350" w:type="dxa"/>
            <w:tcBorders/>
            <w:shd w:fill="CCEEFF" w:val="clear"/>
            <w:vAlign w:val="center"/>
          </w:tcPr>
          <w:p>
            <w:pPr>
              <w:pStyle w:val="TableContents"/>
              <w:bidi w:val="0"/>
              <w:spacing w:before="0" w:after="0"/>
              <w:jc w:val="left"/>
              <w:rPr>
                <w:sz w:val="20"/>
              </w:rPr>
            </w:pPr>
            <w:r>
              <w:rPr>
                <w:sz w:val="20"/>
              </w:rPr>
              <w:t>2028</w:t>
            </w:r>
          </w:p>
        </w:tc>
        <w:tc>
          <w:tcPr>
            <w:tcW w:w="1313"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12.3</w:t>
            </w:r>
          </w:p>
        </w:tc>
        <w:tc>
          <w:tcPr>
            <w:tcW w:w="236" w:type="dxa"/>
            <w:tcBorders/>
            <w:shd w:fill="CCEEFF" w:val="clear"/>
            <w:vAlign w:val="center"/>
          </w:tcPr>
          <w:p>
            <w:pPr>
              <w:pStyle w:val="TableContents"/>
              <w:bidi w:val="0"/>
              <w:spacing w:before="0" w:after="283"/>
              <w:jc w:val="left"/>
              <w:rPr>
                <w:sz w:val="4"/>
                <w:szCs w:val="4"/>
              </w:rPr>
            </w:pPr>
            <w:r>
              <w:rPr>
                <w:sz w:val="4"/>
                <w:szCs w:val="4"/>
              </w:rPr>
            </w:r>
          </w:p>
        </w:tc>
      </w:tr>
      <w:tr>
        <w:trPr/>
        <w:tc>
          <w:tcPr>
            <w:tcW w:w="3350"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Thereafter</w:t>
            </w:r>
          </w:p>
        </w:tc>
        <w:tc>
          <w:tcPr>
            <w:tcW w:w="1313"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19.8</w:t>
            </w:r>
          </w:p>
        </w:tc>
        <w:tc>
          <w:tcPr>
            <w:tcW w:w="236" w:type="dxa"/>
            <w:tcBorders/>
            <w:vAlign w:val="center"/>
          </w:tcPr>
          <w:p>
            <w:pPr>
              <w:pStyle w:val="TableContents"/>
              <w:bidi w:val="0"/>
              <w:spacing w:before="0" w:after="283"/>
              <w:jc w:val="left"/>
              <w:rPr>
                <w:sz w:val="4"/>
                <w:szCs w:val="4"/>
              </w:rPr>
            </w:pPr>
            <w:r>
              <w:rPr>
                <w:sz w:val="4"/>
                <w:szCs w:val="4"/>
              </w:rPr>
            </w:r>
          </w:p>
        </w:tc>
      </w:tr>
      <w:tr>
        <w:trPr/>
        <w:tc>
          <w:tcPr>
            <w:tcW w:w="3350"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Total lease payments</w:t>
            </w:r>
          </w:p>
        </w:tc>
        <w:tc>
          <w:tcPr>
            <w:tcW w:w="269"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1044"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152.3</w:t>
            </w:r>
          </w:p>
        </w:tc>
        <w:tc>
          <w:tcPr>
            <w:tcW w:w="236" w:type="dxa"/>
            <w:tcBorders/>
            <w:shd w:fill="CCEEFF" w:val="clear"/>
            <w:vAlign w:val="center"/>
          </w:tcPr>
          <w:p>
            <w:pPr>
              <w:pStyle w:val="TableContents"/>
              <w:bidi w:val="0"/>
              <w:spacing w:before="0" w:after="283"/>
              <w:jc w:val="left"/>
              <w:rPr>
                <w:sz w:val="4"/>
                <w:szCs w:val="4"/>
              </w:rPr>
            </w:pPr>
            <w:r>
              <w:rPr>
                <w:sz w:val="4"/>
                <w:szCs w:val="4"/>
              </w:rPr>
            </w:r>
          </w:p>
        </w:tc>
      </w:tr>
      <w:tr>
        <w:trPr/>
        <w:tc>
          <w:tcPr>
            <w:tcW w:w="3350"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Less: imputed interest</w:t>
            </w:r>
          </w:p>
        </w:tc>
        <w:tc>
          <w:tcPr>
            <w:tcW w:w="1313"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(9.0</w:t>
            </w:r>
          </w:p>
        </w:tc>
        <w:tc>
          <w:tcPr>
            <w:tcW w:w="236" w:type="dxa"/>
            <w:tcBorders/>
            <w:vAlign w:val="bottom"/>
          </w:tcPr>
          <w:p>
            <w:pPr>
              <w:pStyle w:val="TableContents"/>
              <w:bidi w:val="0"/>
              <w:spacing w:before="0" w:after="283"/>
              <w:jc w:val="left"/>
              <w:rPr/>
            </w:pPr>
            <w:r>
              <w:rPr/>
              <w:t>)</w:t>
            </w:r>
          </w:p>
        </w:tc>
      </w:tr>
      <w:tr>
        <w:trPr/>
        <w:tc>
          <w:tcPr>
            <w:tcW w:w="3350"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Present value of lease liabilities</w:t>
            </w:r>
          </w:p>
        </w:tc>
        <w:tc>
          <w:tcPr>
            <w:tcW w:w="269"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1044"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143.3</w:t>
            </w:r>
          </w:p>
        </w:tc>
        <w:tc>
          <w:tcPr>
            <w:tcW w:w="236"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widowControl/>
        <w:bidi w:val="0"/>
        <w:spacing w:lineRule="atLeast" w:line="240" w:before="0" w:after="0"/>
        <w:jc w:val="center"/>
        <w:rPr>
          <w:caps w:val="false"/>
          <w:smallCaps w:val="false"/>
          <w:color w:val="000000"/>
          <w:spacing w:val="0"/>
          <w:sz w:val="20"/>
          <w:szCs w:val="20"/>
        </w:rPr>
      </w:pPr>
      <w:r>
        <w:rPr>
          <w:caps w:val="false"/>
          <w:smallCaps w:val="false"/>
          <w:color w:val="000000"/>
          <w:spacing w:val="0"/>
          <w:sz w:val="20"/>
          <w:szCs w:val="20"/>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widowControl/>
        <w:bidi w:val="0"/>
        <w:spacing w:lineRule="atLeast" w:line="240" w:before="0" w:after="0"/>
        <w:ind w:left="720" w:right="0" w:hanging="360"/>
        <w:jc w:val="both"/>
        <w:rPr>
          <w:rFonts w:ascii="times new roman;times" w:hAnsi="times new roman;times"/>
          <w:caps w:val="false"/>
          <w:smallCaps w:val="false"/>
          <w:color w:val="000000"/>
          <w:spacing w:val="0"/>
          <w:sz w:val="20"/>
        </w:rPr>
      </w:pPr>
      <w:r>
        <w:rPr>
          <w:rFonts w:ascii="times new roman;times" w:hAnsi="times new roman;times"/>
          <w:caps w:val="false"/>
          <w:smallCaps w:val="false"/>
          <w:color w:val="000000"/>
          <w:spacing w:val="0"/>
          <w:sz w:val="20"/>
        </w:rPr>
        <w:t>(1)  Operating lease payments reflect the Company's current fixed obligations under the operating lease agreements.</w:t>
      </w:r>
    </w:p>
    <w:p>
      <w:pPr>
        <w:pStyle w:val="TextBody"/>
        <w:widowControl/>
        <w:bidi w:val="0"/>
        <w:spacing w:lineRule="auto" w:line="288" w:before="0" w:after="0"/>
        <w:ind w:left="0" w:right="0" w:hanging="0"/>
        <w:jc w:val="both"/>
        <w:rPr>
          <w:caps w:val="false"/>
          <w:smallCaps w:val="false"/>
          <w:color w:val="000000"/>
          <w:spacing w:val="0"/>
        </w:rPr>
      </w:pPr>
      <w:r>
        <w:rPr>
          <w:caps w:val="false"/>
          <w:smallCaps w:val="false"/>
          <w:color w:val="000000"/>
          <w:spacing w:val="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16" w:type="dxa"/>
        <w:jc w:val="left"/>
        <w:tblInd w:w="0" w:type="dxa"/>
        <w:tblLayout w:type="fixed"/>
        <w:tblCellMar>
          <w:top w:w="0" w:type="dxa"/>
          <w:left w:w="0" w:type="dxa"/>
          <w:bottom w:w="0" w:type="dxa"/>
          <w:right w:w="0" w:type="dxa"/>
        </w:tblCellMar>
      </w:tblPr>
      <w:tblGrid>
        <w:gridCol w:w="316"/>
      </w:tblGrid>
      <w:tr>
        <w:trPr/>
        <w:tc>
          <w:tcPr>
            <w:tcW w:w="31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22</w:t>
            </w:r>
          </w:p>
        </w:tc>
      </w:tr>
    </w:tbl>
    <w:p>
      <w:pPr>
        <w:pStyle w:val="TextBody"/>
        <w:widowControl/>
        <w:bidi w:val="0"/>
        <w:spacing w:lineRule="auto" w:line="288" w:before="0" w:after="0"/>
        <w:jc w:val="left"/>
        <w:rPr>
          <w:caps w:val="false"/>
          <w:smallCaps w:val="false"/>
          <w:color w:val="000000"/>
          <w:spacing w:val="0"/>
        </w:rPr>
      </w:pPr>
      <w:r>
        <w:rPr>
          <w:caps w:val="false"/>
          <w:smallCaps w:val="false"/>
          <w:color w:val="000000"/>
          <w:spacing w:val="0"/>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widowControl/>
        <w:bidi w:val="0"/>
        <w:spacing w:lineRule="auto" w:line="288" w:before="0" w:after="0"/>
        <w:jc w:val="left"/>
        <w:rPr/>
      </w:pPr>
      <w:r>
        <w:rPr/>
      </w:r>
    </w:p>
    <w:p>
      <w:pPr>
        <w:pStyle w:val="TextBody"/>
        <w:widowControl/>
        <w:bidi w:val="0"/>
        <w:spacing w:lineRule="auto" w:line="288"/>
        <w:jc w:val="left"/>
        <w:rPr>
          <w:sz w:val="20"/>
        </w:rPr>
      </w:pPr>
      <w:r>
        <w:rPr>
          <w:sz w:val="20"/>
        </w:rPr>
      </w:r>
    </w:p>
    <w:p>
      <w:pPr>
        <w:pStyle w:val="TextBody"/>
        <w:widowControl/>
        <w:bidi w:val="0"/>
        <w:spacing w:lineRule="auto" w:line="288" w:before="0" w:after="0"/>
        <w:ind w:left="0" w:right="0" w:hanging="0"/>
        <w:jc w:val="both"/>
        <w:rPr>
          <w:caps w:val="false"/>
          <w:smallCaps w:val="false"/>
          <w:color w:val="000000"/>
          <w:spacing w:val="0"/>
        </w:rPr>
      </w:pPr>
      <w:r>
        <w:rPr>
          <w:caps w:val="false"/>
          <w:smallCaps w:val="false"/>
          <w:color w:val="000000"/>
          <w:spacing w:val="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widowControl/>
        <w:bidi w:val="0"/>
        <w:spacing w:lineRule="atLeast" w:line="240" w:before="0" w:after="0"/>
        <w:jc w:val="left"/>
        <w:rPr>
          <w:rFonts w:ascii="times new roman;times" w:hAnsi="times new roman;times"/>
          <w:sz w:val="20"/>
        </w:rPr>
      </w:pPr>
      <w:r>
        <w:rPr>
          <w:rFonts w:ascii="times new roman;times" w:hAnsi="times new roman;times"/>
          <w:sz w:val="20"/>
        </w:rPr>
        <w:t>Lease expense recognized in the Consolidated Statements of Income is summarized as follows: </w:t>
      </w:r>
    </w:p>
    <w:p>
      <w:pPr>
        <w:pStyle w:val="TextBody"/>
        <w:widowControl/>
        <w:bidi w:val="0"/>
        <w:spacing w:lineRule="atLeast" w:line="240" w:before="0" w:after="0"/>
        <w:jc w:val="left"/>
        <w:rPr>
          <w:sz w:val="20"/>
        </w:rPr>
      </w:pPr>
      <w:r>
        <w:rPr>
          <w:sz w:val="20"/>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0" w:type="dxa"/>
          <w:left w:w="0" w:type="dxa"/>
          <w:bottom w:w="0" w:type="dxa"/>
          <w:right w:w="0" w:type="dxa"/>
        </w:tblCellMar>
      </w:tblPr>
      <w:tblGrid>
        <w:gridCol w:w="2208"/>
        <w:gridCol w:w="3431"/>
        <w:gridCol w:w="23"/>
        <w:gridCol w:w="276"/>
        <w:gridCol w:w="845"/>
        <w:gridCol w:w="23"/>
        <w:gridCol w:w="23"/>
        <w:gridCol w:w="276"/>
        <w:gridCol w:w="845"/>
        <w:gridCol w:w="23"/>
        <w:gridCol w:w="23"/>
        <w:gridCol w:w="237"/>
        <w:gridCol w:w="823"/>
        <w:gridCol w:w="23"/>
        <w:gridCol w:w="23"/>
        <w:gridCol w:w="237"/>
        <w:gridCol w:w="823"/>
        <w:gridCol w:w="43"/>
      </w:tblGrid>
      <w:tr>
        <w:trPr/>
        <w:tc>
          <w:tcPr>
            <w:tcW w:w="2208"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b/>
                <w:sz w:val="20"/>
              </w:rPr>
              <w:t>Lease Expense</w:t>
            </w:r>
            <w:r>
              <w:rPr>
                <w:rFonts w:ascii="times new roman;times" w:hAnsi="times new roman;times"/>
                <w:sz w:val="20"/>
              </w:rPr>
              <w:t> </w:t>
            </w:r>
          </w:p>
          <w:p>
            <w:pPr>
              <w:pStyle w:val="TableContents"/>
              <w:bidi w:val="0"/>
              <w:spacing w:lineRule="auto" w:line="288" w:before="0" w:after="0"/>
              <w:jc w:val="left"/>
              <w:rPr>
                <w:rFonts w:ascii="times new roman;times" w:hAnsi="times new roman;times"/>
                <w:i/>
                <w:sz w:val="16"/>
              </w:rPr>
            </w:pPr>
            <w:r>
              <w:rPr>
                <w:rFonts w:ascii="times new roman;times" w:hAnsi="times new roman;times"/>
                <w:i/>
                <w:sz w:val="16"/>
              </w:rPr>
              <w:t>(in millions)</w:t>
            </w:r>
          </w:p>
        </w:tc>
        <w:tc>
          <w:tcPr>
            <w:tcW w:w="3431" w:type="dxa"/>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Income Statement Classification</w:t>
            </w:r>
          </w:p>
        </w:tc>
        <w:tc>
          <w:tcPr>
            <w:tcW w:w="23" w:type="dxa"/>
            <w:tcBorders/>
            <w:vAlign w:val="center"/>
          </w:tcPr>
          <w:p>
            <w:pPr>
              <w:pStyle w:val="TableContents"/>
              <w:bidi w:val="0"/>
              <w:spacing w:before="0" w:after="283"/>
              <w:jc w:val="left"/>
              <w:rPr>
                <w:sz w:val="4"/>
                <w:szCs w:val="4"/>
              </w:rPr>
            </w:pPr>
            <w:r>
              <w:rPr>
                <w:sz w:val="4"/>
                <w:szCs w:val="4"/>
              </w:rPr>
            </w:r>
          </w:p>
        </w:tc>
        <w:tc>
          <w:tcPr>
            <w:tcW w:w="1121" w:type="dxa"/>
            <w:gridSpan w:val="2"/>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Three Months Ended</w:t>
            </w:r>
          </w:p>
          <w:p>
            <w:pPr>
              <w:pStyle w:val="TableContents"/>
              <w:bidi w:val="0"/>
              <w:spacing w:before="0" w:after="0"/>
              <w:jc w:val="center"/>
              <w:rPr>
                <w:rFonts w:ascii="times new roman;times" w:hAnsi="times new roman;times"/>
                <w:b/>
                <w:sz w:val="16"/>
              </w:rPr>
            </w:pPr>
            <w:r>
              <w:rPr>
                <w:rFonts w:ascii="times new roman;times" w:hAnsi="times new roman;times"/>
                <w:b/>
                <w:sz w:val="16"/>
              </w:rPr>
              <w:t>June 30, 2024</w:t>
            </w:r>
          </w:p>
        </w:tc>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sz w:val="4"/>
                <w:szCs w:val="4"/>
              </w:rPr>
            </w:pPr>
            <w:r>
              <w:rPr>
                <w:sz w:val="4"/>
                <w:szCs w:val="4"/>
              </w:rPr>
            </w:r>
          </w:p>
        </w:tc>
        <w:tc>
          <w:tcPr>
            <w:tcW w:w="1121" w:type="dxa"/>
            <w:gridSpan w:val="2"/>
            <w:tcBorders/>
            <w:vAlign w:val="center"/>
          </w:tcPr>
          <w:p>
            <w:pPr>
              <w:pStyle w:val="TableContents"/>
              <w:widowControl/>
              <w:bidi w:val="0"/>
              <w:spacing w:lineRule="auto" w:line="288" w:before="0" w:after="0"/>
              <w:ind w:left="0" w:right="0" w:hanging="0"/>
              <w:jc w:val="center"/>
              <w:rPr>
                <w:rFonts w:ascii="times new roman;times" w:hAnsi="times new roman;times"/>
                <w:b/>
                <w:i w:val="false"/>
                <w:caps w:val="false"/>
                <w:smallCaps w:val="false"/>
                <w:color w:val="000000"/>
                <w:spacing w:val="0"/>
                <w:sz w:val="16"/>
              </w:rPr>
            </w:pPr>
            <w:r>
              <w:rPr>
                <w:rFonts w:ascii="times new roman;times" w:hAnsi="times new roman;times"/>
                <w:b/>
                <w:i w:val="false"/>
                <w:caps w:val="false"/>
                <w:smallCaps w:val="false"/>
                <w:color w:val="000000"/>
                <w:spacing w:val="0"/>
                <w:sz w:val="16"/>
              </w:rPr>
              <w:t>Three Months Ended</w:t>
            </w:r>
          </w:p>
          <w:p>
            <w:pPr>
              <w:pStyle w:val="TableContents"/>
              <w:widowControl/>
              <w:bidi w:val="0"/>
              <w:spacing w:before="0" w:after="0"/>
              <w:ind w:left="0" w:right="0" w:hanging="0"/>
              <w:jc w:val="center"/>
              <w:rPr>
                <w:rFonts w:ascii="times new roman;times" w:hAnsi="times new roman;times"/>
                <w:b/>
                <w:i w:val="false"/>
                <w:caps w:val="false"/>
                <w:smallCaps w:val="false"/>
                <w:color w:val="000000"/>
                <w:spacing w:val="0"/>
                <w:sz w:val="16"/>
              </w:rPr>
            </w:pPr>
            <w:r>
              <w:rPr>
                <w:rFonts w:ascii="times new roman;times" w:hAnsi="times new roman;times"/>
                <w:b/>
                <w:i w:val="false"/>
                <w:caps w:val="false"/>
                <w:smallCaps w:val="false"/>
                <w:color w:val="000000"/>
                <w:spacing w:val="0"/>
                <w:sz w:val="16"/>
              </w:rPr>
              <w:t>June 30, 2023</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ind w:left="0" w:right="0" w:hanging="0"/>
              <w:jc w:val="left"/>
              <w:rPr/>
            </w:pPr>
            <w:r>
              <w:rPr/>
            </w:r>
          </w:p>
        </w:tc>
        <w:tc>
          <w:tcPr>
            <w:tcW w:w="1060" w:type="dxa"/>
            <w:gridSpan w:val="2"/>
            <w:tcBorders/>
            <w:vAlign w:val="center"/>
          </w:tcPr>
          <w:p>
            <w:pPr>
              <w:pStyle w:val="TableContents"/>
              <w:bidi w:val="0"/>
              <w:spacing w:before="0" w:after="0"/>
              <w:ind w:left="0" w:right="0" w:hanging="0"/>
              <w:jc w:val="center"/>
              <w:rPr>
                <w:rFonts w:ascii="times new roman;times" w:hAnsi="times new roman;times"/>
                <w:b/>
                <w:sz w:val="16"/>
              </w:rPr>
            </w:pPr>
            <w:r>
              <w:rPr>
                <w:rFonts w:ascii="times new roman;times" w:hAnsi="times new roman;times"/>
                <w:b/>
                <w:sz w:val="16"/>
              </w:rPr>
              <w:t xml:space="preserve">Six Months Ended </w:t>
            </w:r>
          </w:p>
          <w:p>
            <w:pPr>
              <w:pStyle w:val="TableContents"/>
              <w:bidi w:val="0"/>
              <w:spacing w:before="0" w:after="0"/>
              <w:ind w:left="0" w:right="0" w:hanging="0"/>
              <w:jc w:val="center"/>
              <w:rPr>
                <w:rFonts w:ascii="times new roman;times" w:hAnsi="times new roman;times"/>
                <w:b/>
                <w:sz w:val="16"/>
              </w:rPr>
            </w:pPr>
            <w:r>
              <w:rPr>
                <w:rFonts w:ascii="times new roman;times" w:hAnsi="times new roman;times"/>
                <w:b/>
                <w:sz w:val="16"/>
              </w:rPr>
              <w:t>June 30, 2024</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60" w:type="dxa"/>
            <w:gridSpan w:val="2"/>
            <w:tcBorders/>
            <w:vAlign w:val="center"/>
          </w:tcPr>
          <w:p>
            <w:pPr>
              <w:pStyle w:val="TableContents"/>
              <w:bidi w:val="0"/>
              <w:spacing w:before="0" w:after="0"/>
              <w:ind w:left="0" w:right="0" w:hanging="0"/>
              <w:jc w:val="center"/>
              <w:rPr>
                <w:rFonts w:ascii="times new roman;times" w:hAnsi="times new roman;times"/>
                <w:b/>
                <w:sz w:val="16"/>
              </w:rPr>
            </w:pPr>
            <w:r>
              <w:rPr>
                <w:rFonts w:ascii="times new roman;times" w:hAnsi="times new roman;times"/>
                <w:b/>
                <w:sz w:val="16"/>
              </w:rPr>
              <w:t xml:space="preserve">Six Months Ended </w:t>
            </w:r>
          </w:p>
          <w:p>
            <w:pPr>
              <w:pStyle w:val="TableContents"/>
              <w:bidi w:val="0"/>
              <w:spacing w:before="0" w:after="0"/>
              <w:ind w:left="0" w:right="0" w:hanging="0"/>
              <w:jc w:val="center"/>
              <w:rPr>
                <w:rFonts w:ascii="times new roman;times" w:hAnsi="times new roman;times"/>
                <w:b/>
                <w:sz w:val="16"/>
              </w:rPr>
            </w:pPr>
            <w:r>
              <w:rPr>
                <w:rFonts w:ascii="times new roman;times" w:hAnsi="times new roman;times"/>
                <w:b/>
                <w:sz w:val="16"/>
              </w:rPr>
              <w:t>June 30, 2023</w:t>
            </w:r>
          </w:p>
        </w:tc>
        <w:tc>
          <w:tcPr>
            <w:tcW w:w="43" w:type="dxa"/>
            <w:tcBorders/>
            <w:vAlign w:val="center"/>
          </w:tcPr>
          <w:p>
            <w:pPr>
              <w:pStyle w:val="TableContents"/>
              <w:bidi w:val="0"/>
              <w:spacing w:before="0" w:after="283"/>
              <w:jc w:val="left"/>
              <w:rPr/>
            </w:pPr>
            <w:r>
              <w:rPr/>
            </w:r>
          </w:p>
        </w:tc>
      </w:tr>
      <w:tr>
        <w:trPr/>
        <w:tc>
          <w:tcPr>
            <w:tcW w:w="2208"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Operating lease expense</w:t>
            </w:r>
          </w:p>
        </w:tc>
        <w:tc>
          <w:tcPr>
            <w:tcW w:w="3431" w:type="dxa"/>
            <w:tcBorders/>
            <w:shd w:fill="CCEEFF" w:val="clear"/>
            <w:vAlign w:val="center"/>
          </w:tcPr>
          <w:p>
            <w:pPr>
              <w:pStyle w:val="TableContents"/>
              <w:bidi w:val="0"/>
              <w:spacing w:before="0" w:after="0"/>
              <w:jc w:val="center"/>
              <w:rPr>
                <w:rFonts w:ascii="times new roman;times" w:hAnsi="times new roman;times"/>
                <w:sz w:val="20"/>
              </w:rPr>
            </w:pPr>
            <w:r>
              <w:rPr>
                <w:rFonts w:ascii="times new roman;times" w:hAnsi="times new roman;times"/>
                <w:sz w:val="20"/>
              </w:rPr>
              <w:t>Selling, general and administrative and Direct operating costs</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276" w:type="dxa"/>
            <w:tcBorders/>
            <w:shd w:fill="CCEEFF" w:val="clear"/>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845" w:type="dxa"/>
            <w:tcBorders/>
            <w:shd w:fill="CCEEFF" w:val="clear"/>
            <w:vAlign w:val="center"/>
          </w:tcPr>
          <w:p>
            <w:pPr>
              <w:pStyle w:val="TableContents"/>
              <w:bidi w:val="0"/>
              <w:spacing w:before="0" w:after="0"/>
              <w:ind w:left="0" w:right="0" w:hanging="0"/>
              <w:jc w:val="right"/>
              <w:rPr>
                <w:sz w:val="20"/>
              </w:rPr>
            </w:pPr>
            <w:r>
              <w:rPr>
                <w:sz w:val="20"/>
              </w:rPr>
              <w:t>12.9</w:t>
            </w:r>
          </w:p>
        </w:tc>
        <w:tc>
          <w:tcPr>
            <w:tcW w:w="23" w:type="dxa"/>
            <w:tcBorders/>
            <w:shd w:fill="CCEEFF" w:val="clear"/>
            <w:vAlign w:val="center"/>
          </w:tcPr>
          <w:p>
            <w:pPr>
              <w:pStyle w:val="TableContents"/>
              <w:bidi w:val="0"/>
              <w:spacing w:before="0" w:after="283"/>
              <w:ind w:left="0" w:right="0" w:hanging="0"/>
              <w:jc w:val="left"/>
              <w:rPr/>
            </w:pPr>
            <w:r>
              <w:rPr/>
            </w:r>
          </w:p>
        </w:tc>
        <w:tc>
          <w:tcPr>
            <w:tcW w:w="23"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276" w:type="dxa"/>
            <w:tcBorders/>
            <w:shd w:fill="CCEEFF" w:val="clear"/>
            <w:vAlign w:val="center"/>
          </w:tcPr>
          <w:p>
            <w:pPr>
              <w:pStyle w:val="TableContents"/>
              <w:bidi w:val="0"/>
              <w:spacing w:before="0" w:after="0"/>
              <w:ind w:left="0" w:right="0" w:hanging="0"/>
              <w:jc w:val="left"/>
              <w:rPr>
                <w:sz w:val="20"/>
              </w:rPr>
            </w:pPr>
            <w:r>
              <w:rPr>
                <w:sz w:val="20"/>
              </w:rPr>
              <w:t>$</w:t>
            </w:r>
          </w:p>
        </w:tc>
        <w:tc>
          <w:tcPr>
            <w:tcW w:w="845" w:type="dxa"/>
            <w:tcBorders/>
            <w:shd w:fill="CCEEFF" w:val="clear"/>
            <w:vAlign w:val="center"/>
          </w:tcPr>
          <w:p>
            <w:pPr>
              <w:pStyle w:val="TableContents"/>
              <w:bidi w:val="0"/>
              <w:spacing w:before="0" w:after="0"/>
              <w:ind w:left="0" w:right="0" w:hanging="0"/>
              <w:jc w:val="right"/>
              <w:rPr>
                <w:sz w:val="20"/>
              </w:rPr>
            </w:pPr>
            <w:r>
              <w:rPr>
                <w:sz w:val="20"/>
              </w:rPr>
              <w:t>12.5</w:t>
            </w:r>
          </w:p>
        </w:tc>
        <w:tc>
          <w:tcPr>
            <w:tcW w:w="23"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23" w:type="dxa"/>
            <w:tcBorders/>
            <w:shd w:fill="CCEEFF" w:val="clear"/>
            <w:vAlign w:val="center"/>
          </w:tcPr>
          <w:p>
            <w:pPr>
              <w:pStyle w:val="TableContents"/>
              <w:bidi w:val="0"/>
              <w:spacing w:before="0" w:after="283"/>
              <w:ind w:left="0" w:right="0" w:hanging="0"/>
              <w:jc w:val="left"/>
              <w:rPr/>
            </w:pPr>
            <w:r>
              <w:rPr/>
            </w:r>
          </w:p>
        </w:tc>
        <w:tc>
          <w:tcPr>
            <w:tcW w:w="237"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25.5</w:t>
            </w:r>
          </w:p>
        </w:tc>
        <w:tc>
          <w:tcPr>
            <w:tcW w:w="23" w:type="dxa"/>
            <w:tcBorders/>
            <w:shd w:fill="CCEEFF" w:val="clear"/>
            <w:vAlign w:val="center"/>
          </w:tcPr>
          <w:p>
            <w:pPr>
              <w:pStyle w:val="TableContents"/>
              <w:bidi w:val="0"/>
              <w:spacing w:before="0" w:after="283"/>
              <w:ind w:left="0" w:right="0" w:hanging="0"/>
              <w:jc w:val="left"/>
              <w:rPr/>
            </w:pPr>
            <w:r>
              <w:rPr/>
            </w:r>
          </w:p>
        </w:tc>
        <w:tc>
          <w:tcPr>
            <w:tcW w:w="23" w:type="dxa"/>
            <w:tcBorders/>
            <w:shd w:fill="CCEEFF" w:val="clear"/>
            <w:vAlign w:val="center"/>
          </w:tcPr>
          <w:p>
            <w:pPr>
              <w:pStyle w:val="TableContents"/>
              <w:bidi w:val="0"/>
              <w:spacing w:before="0" w:after="283"/>
              <w:ind w:left="0" w:right="0" w:hanging="0"/>
              <w:jc w:val="left"/>
              <w:rPr/>
            </w:pPr>
            <w:r>
              <w:rPr/>
            </w:r>
          </w:p>
        </w:tc>
        <w:tc>
          <w:tcPr>
            <w:tcW w:w="237"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25.0</w:t>
            </w:r>
          </w:p>
        </w:tc>
        <w:tc>
          <w:tcPr>
            <w:tcW w:w="43" w:type="dxa"/>
            <w:tcBorders/>
            <w:shd w:fill="CCEEFF" w:val="clear"/>
            <w:vAlign w:val="center"/>
          </w:tcPr>
          <w:p>
            <w:pPr>
              <w:pStyle w:val="TableContents"/>
              <w:bidi w:val="0"/>
              <w:spacing w:before="0" w:after="283"/>
              <w:jc w:val="left"/>
              <w:rPr/>
            </w:pPr>
            <w:r>
              <w:rPr/>
            </w:r>
          </w:p>
        </w:tc>
      </w:tr>
      <w:tr>
        <w:trPr/>
        <w:tc>
          <w:tcPr>
            <w:tcW w:w="2208"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Short-term and variable lease expense </w:t>
            </w:r>
          </w:p>
        </w:tc>
        <w:tc>
          <w:tcPr>
            <w:tcW w:w="3431" w:type="dxa"/>
            <w:tcBorders/>
            <w:vAlign w:val="center"/>
          </w:tcPr>
          <w:p>
            <w:pPr>
              <w:pStyle w:val="TableContents"/>
              <w:bidi w:val="0"/>
              <w:spacing w:before="0" w:after="0"/>
              <w:jc w:val="center"/>
              <w:rPr>
                <w:rFonts w:ascii="times new roman;times" w:hAnsi="times new roman;times"/>
                <w:sz w:val="20"/>
              </w:rPr>
            </w:pPr>
            <w:r>
              <w:rPr>
                <w:rFonts w:ascii="times new roman;times" w:hAnsi="times new roman;times"/>
                <w:sz w:val="20"/>
              </w:rPr>
              <w:t>Selling, general and administrative and Direct operating costs</w:t>
            </w:r>
          </w:p>
        </w:tc>
        <w:tc>
          <w:tcPr>
            <w:tcW w:w="2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0"/>
              <w:ind w:left="0" w:right="0" w:hanging="0"/>
              <w:jc w:val="left"/>
              <w:rPr/>
            </w:pPr>
            <w:r>
              <w:rPr/>
              <w:t> </w:t>
            </w:r>
          </w:p>
        </w:tc>
        <w:tc>
          <w:tcPr>
            <w:tcW w:w="845" w:type="dxa"/>
            <w:tcBorders/>
            <w:vAlign w:val="center"/>
          </w:tcPr>
          <w:p>
            <w:pPr>
              <w:pStyle w:val="TableContents"/>
              <w:bidi w:val="0"/>
              <w:spacing w:before="0" w:after="0"/>
              <w:ind w:left="0" w:right="0" w:hanging="0"/>
              <w:jc w:val="right"/>
              <w:rPr>
                <w:sz w:val="20"/>
              </w:rPr>
            </w:pPr>
            <w:r>
              <w:rPr>
                <w:sz w:val="20"/>
              </w:rPr>
              <w:t>43.2</w:t>
            </w:r>
          </w:p>
        </w:tc>
        <w:tc>
          <w:tcPr>
            <w:tcW w:w="23" w:type="dxa"/>
            <w:tcBorders/>
            <w:vAlign w:val="center"/>
          </w:tcPr>
          <w:p>
            <w:pPr>
              <w:pStyle w:val="TableContents"/>
              <w:bidi w:val="0"/>
              <w:spacing w:before="0" w:after="283"/>
              <w:ind w:left="0" w:right="0" w:hanging="0"/>
              <w:jc w:val="left"/>
              <w:rPr/>
            </w:pPr>
            <w:r>
              <w:rPr/>
            </w:r>
          </w:p>
        </w:tc>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276" w:type="dxa"/>
            <w:tcBorders/>
            <w:vAlign w:val="center"/>
          </w:tcPr>
          <w:p>
            <w:pPr>
              <w:pStyle w:val="TableContents"/>
              <w:bidi w:val="0"/>
              <w:spacing w:before="0" w:after="283"/>
              <w:ind w:left="0" w:right="0" w:hanging="0"/>
              <w:jc w:val="left"/>
              <w:rPr>
                <w:sz w:val="4"/>
                <w:szCs w:val="4"/>
              </w:rPr>
            </w:pPr>
            <w:r>
              <w:rPr>
                <w:sz w:val="4"/>
                <w:szCs w:val="4"/>
              </w:rPr>
            </w:r>
          </w:p>
        </w:tc>
        <w:tc>
          <w:tcPr>
            <w:tcW w:w="845" w:type="dxa"/>
            <w:tcBorders/>
            <w:vAlign w:val="center"/>
          </w:tcPr>
          <w:p>
            <w:pPr>
              <w:pStyle w:val="TableContents"/>
              <w:bidi w:val="0"/>
              <w:spacing w:before="0" w:after="0"/>
              <w:ind w:left="0" w:right="0" w:hanging="0"/>
              <w:jc w:val="right"/>
              <w:rPr>
                <w:sz w:val="20"/>
              </w:rPr>
            </w:pPr>
            <w:r>
              <w:rPr>
                <w:sz w:val="20"/>
              </w:rPr>
              <w:t>42.5</w:t>
            </w:r>
          </w:p>
        </w:tc>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ind w:left="0" w:right="0" w:hanging="0"/>
              <w:jc w:val="left"/>
              <w:rPr/>
            </w:pPr>
            <w:r>
              <w:rPr/>
            </w:r>
          </w:p>
        </w:tc>
        <w:tc>
          <w:tcPr>
            <w:tcW w:w="237" w:type="dxa"/>
            <w:tcBorders/>
            <w:vAlign w:val="center"/>
          </w:tcPr>
          <w:p>
            <w:pPr>
              <w:pStyle w:val="TableContents"/>
              <w:bidi w:val="0"/>
              <w:spacing w:before="0" w:after="283"/>
              <w:ind w:left="0" w:right="0" w:hanging="0"/>
              <w:jc w:val="left"/>
              <w:rPr/>
            </w:pPr>
            <w:r>
              <w:rPr/>
            </w:r>
          </w:p>
        </w:tc>
        <w:tc>
          <w:tcPr>
            <w:tcW w:w="823"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80.0</w:t>
            </w:r>
          </w:p>
        </w:tc>
        <w:tc>
          <w:tcPr>
            <w:tcW w:w="23" w:type="dxa"/>
            <w:tcBorders/>
            <w:vAlign w:val="center"/>
          </w:tcPr>
          <w:p>
            <w:pPr>
              <w:pStyle w:val="TableContents"/>
              <w:bidi w:val="0"/>
              <w:spacing w:before="0" w:after="283"/>
              <w:ind w:left="0" w:right="0" w:hanging="0"/>
              <w:jc w:val="left"/>
              <w:rPr/>
            </w:pPr>
            <w:r>
              <w:rPr/>
            </w:r>
          </w:p>
        </w:tc>
        <w:tc>
          <w:tcPr>
            <w:tcW w:w="23" w:type="dxa"/>
            <w:tcBorders/>
            <w:vAlign w:val="center"/>
          </w:tcPr>
          <w:p>
            <w:pPr>
              <w:pStyle w:val="TableContents"/>
              <w:bidi w:val="0"/>
              <w:spacing w:before="0" w:after="283"/>
              <w:ind w:left="0" w:right="0" w:hanging="0"/>
              <w:jc w:val="left"/>
              <w:rPr/>
            </w:pPr>
            <w:r>
              <w:rPr/>
            </w:r>
          </w:p>
        </w:tc>
        <w:tc>
          <w:tcPr>
            <w:tcW w:w="237" w:type="dxa"/>
            <w:tcBorders/>
            <w:vAlign w:val="center"/>
          </w:tcPr>
          <w:p>
            <w:pPr>
              <w:pStyle w:val="TableContents"/>
              <w:bidi w:val="0"/>
              <w:spacing w:before="0" w:after="283"/>
              <w:ind w:left="0" w:right="0" w:hanging="0"/>
              <w:jc w:val="left"/>
              <w:rPr/>
            </w:pPr>
            <w:r>
              <w:rPr/>
            </w:r>
          </w:p>
        </w:tc>
        <w:tc>
          <w:tcPr>
            <w:tcW w:w="823"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77.8</w:t>
            </w:r>
          </w:p>
        </w:tc>
        <w:tc>
          <w:tcPr>
            <w:tcW w:w="43" w:type="dxa"/>
            <w:tcBorders/>
            <w:vAlign w:val="center"/>
          </w:tcPr>
          <w:p>
            <w:pPr>
              <w:pStyle w:val="TableContents"/>
              <w:bidi w:val="0"/>
              <w:spacing w:before="0" w:after="283"/>
              <w:jc w:val="left"/>
              <w:rPr/>
            </w:pPr>
            <w:r>
              <w:rPr/>
            </w:r>
          </w:p>
        </w:tc>
      </w:tr>
      <w:tr>
        <w:trPr/>
        <w:tc>
          <w:tcPr>
            <w:tcW w:w="2208"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Total lease expense</w:t>
            </w:r>
          </w:p>
        </w:tc>
        <w:tc>
          <w:tcPr>
            <w:tcW w:w="3431" w:type="dxa"/>
            <w:tcBorders/>
            <w:shd w:fill="CCEEFF" w:val="clear"/>
            <w:vAlign w:val="center"/>
          </w:tcPr>
          <w:p>
            <w:pPr>
              <w:pStyle w:val="TableContents"/>
              <w:bidi w:val="0"/>
              <w:spacing w:before="0" w:after="0"/>
              <w:jc w:val="left"/>
              <w:rPr/>
            </w:pPr>
            <w:r>
              <w:rPr/>
              <w:t> </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276" w:type="dxa"/>
            <w:tcBorders/>
            <w:shd w:fill="CCEEFF" w:val="clear"/>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845" w:type="dxa"/>
            <w:tcBorders/>
            <w:shd w:fill="CCEEFF" w:val="clear"/>
            <w:vAlign w:val="center"/>
          </w:tcPr>
          <w:p>
            <w:pPr>
              <w:pStyle w:val="TableContents"/>
              <w:bidi w:val="0"/>
              <w:spacing w:before="0" w:after="0"/>
              <w:ind w:left="0" w:right="0" w:hanging="0"/>
              <w:jc w:val="right"/>
              <w:rPr>
                <w:sz w:val="20"/>
              </w:rPr>
            </w:pPr>
            <w:r>
              <w:rPr>
                <w:sz w:val="20"/>
              </w:rPr>
              <w:t>56.1</w:t>
            </w:r>
          </w:p>
        </w:tc>
        <w:tc>
          <w:tcPr>
            <w:tcW w:w="23" w:type="dxa"/>
            <w:tcBorders/>
            <w:shd w:fill="CCEEFF" w:val="clear"/>
            <w:vAlign w:val="center"/>
          </w:tcPr>
          <w:p>
            <w:pPr>
              <w:pStyle w:val="TableContents"/>
              <w:bidi w:val="0"/>
              <w:spacing w:before="0" w:after="283"/>
              <w:ind w:left="0" w:right="0" w:hanging="0"/>
              <w:jc w:val="left"/>
              <w:rPr/>
            </w:pPr>
            <w:r>
              <w:rPr/>
            </w:r>
          </w:p>
        </w:tc>
        <w:tc>
          <w:tcPr>
            <w:tcW w:w="23"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276" w:type="dxa"/>
            <w:tcBorders/>
            <w:shd w:fill="CCEEFF" w:val="clear"/>
            <w:vAlign w:val="center"/>
          </w:tcPr>
          <w:p>
            <w:pPr>
              <w:pStyle w:val="TableContents"/>
              <w:bidi w:val="0"/>
              <w:spacing w:before="0" w:after="0"/>
              <w:ind w:left="0" w:right="0" w:hanging="0"/>
              <w:jc w:val="left"/>
              <w:rPr>
                <w:sz w:val="20"/>
              </w:rPr>
            </w:pPr>
            <w:r>
              <w:rPr>
                <w:sz w:val="20"/>
              </w:rPr>
              <w:t>$</w:t>
            </w:r>
          </w:p>
        </w:tc>
        <w:tc>
          <w:tcPr>
            <w:tcW w:w="845" w:type="dxa"/>
            <w:tcBorders/>
            <w:shd w:fill="CCEEFF" w:val="clear"/>
            <w:vAlign w:val="center"/>
          </w:tcPr>
          <w:p>
            <w:pPr>
              <w:pStyle w:val="TableContents"/>
              <w:bidi w:val="0"/>
              <w:spacing w:before="0" w:after="0"/>
              <w:ind w:left="0" w:right="0" w:hanging="0"/>
              <w:jc w:val="right"/>
              <w:rPr>
                <w:sz w:val="20"/>
              </w:rPr>
            </w:pPr>
            <w:r>
              <w:rPr>
                <w:sz w:val="20"/>
              </w:rPr>
              <w:t>55.0</w:t>
            </w:r>
          </w:p>
        </w:tc>
        <w:tc>
          <w:tcPr>
            <w:tcW w:w="23"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23" w:type="dxa"/>
            <w:tcBorders/>
            <w:shd w:fill="CCEEFF" w:val="clear"/>
            <w:vAlign w:val="center"/>
          </w:tcPr>
          <w:p>
            <w:pPr>
              <w:pStyle w:val="TableContents"/>
              <w:bidi w:val="0"/>
              <w:spacing w:before="0" w:after="283"/>
              <w:ind w:left="0" w:right="0" w:hanging="0"/>
              <w:jc w:val="left"/>
              <w:rPr/>
            </w:pPr>
            <w:r>
              <w:rPr/>
            </w:r>
          </w:p>
        </w:tc>
        <w:tc>
          <w:tcPr>
            <w:tcW w:w="237"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105.5</w:t>
            </w:r>
          </w:p>
        </w:tc>
        <w:tc>
          <w:tcPr>
            <w:tcW w:w="23" w:type="dxa"/>
            <w:tcBorders/>
            <w:shd w:fill="CCEEFF" w:val="clear"/>
            <w:vAlign w:val="center"/>
          </w:tcPr>
          <w:p>
            <w:pPr>
              <w:pStyle w:val="TableContents"/>
              <w:bidi w:val="0"/>
              <w:spacing w:before="0" w:after="283"/>
              <w:ind w:left="0" w:right="0" w:hanging="0"/>
              <w:jc w:val="left"/>
              <w:rPr/>
            </w:pPr>
            <w:r>
              <w:rPr/>
            </w:r>
          </w:p>
        </w:tc>
        <w:tc>
          <w:tcPr>
            <w:tcW w:w="23" w:type="dxa"/>
            <w:tcBorders/>
            <w:shd w:fill="CCEEFF" w:val="clear"/>
            <w:vAlign w:val="center"/>
          </w:tcPr>
          <w:p>
            <w:pPr>
              <w:pStyle w:val="TableContents"/>
              <w:bidi w:val="0"/>
              <w:spacing w:before="0" w:after="283"/>
              <w:ind w:left="0" w:right="0" w:hanging="0"/>
              <w:jc w:val="left"/>
              <w:rPr/>
            </w:pPr>
            <w:r>
              <w:rPr/>
            </w:r>
          </w:p>
        </w:tc>
        <w:tc>
          <w:tcPr>
            <w:tcW w:w="237"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102.8</w:t>
            </w:r>
          </w:p>
        </w:tc>
        <w:tc>
          <w:tcPr>
            <w:tcW w:w="43" w:type="dxa"/>
            <w:tcBorders/>
            <w:shd w:fill="CCEEFF" w:val="clear"/>
            <w:vAlign w:val="center"/>
          </w:tcPr>
          <w:p>
            <w:pPr>
              <w:pStyle w:val="TableContents"/>
              <w:bidi w:val="0"/>
              <w:spacing w:before="0" w:after="283"/>
              <w:jc w:val="left"/>
              <w:rPr/>
            </w:pPr>
            <w:r>
              <w:rPr/>
            </w:r>
          </w:p>
        </w:tc>
      </w:tr>
    </w:tbl>
    <w:p>
      <w:pPr>
        <w:pStyle w:val="TextBody"/>
        <w:widowControl/>
        <w:bidi w:val="0"/>
        <w:spacing w:lineRule="atLeast" w:line="240"/>
        <w:jc w:val="center"/>
        <w:rPr>
          <w:caps w:val="false"/>
          <w:smallCaps w:val="false"/>
          <w:color w:val="000000"/>
          <w:spacing w:val="0"/>
          <w:sz w:val="20"/>
          <w:szCs w:val="20"/>
        </w:rPr>
      </w:pPr>
      <w:r>
        <w:rPr>
          <w:caps w:val="false"/>
          <w:smallCaps w:val="false"/>
          <w:color w:val="000000"/>
          <w:spacing w:val="0"/>
          <w:sz w:val="20"/>
          <w:szCs w:val="20"/>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widowControl/>
        <w:bidi w:val="0"/>
        <w:spacing w:lineRule="atLeast" w:line="240" w:before="0" w:after="0"/>
        <w:jc w:val="left"/>
        <w:rPr>
          <w:caps w:val="false"/>
          <w:smallCaps w:val="false"/>
          <w:color w:val="000000"/>
          <w:spacing w:val="0"/>
          <w:sz w:val="20"/>
          <w:szCs w:val="20"/>
        </w:rPr>
      </w:pPr>
      <w:r>
        <w:rPr>
          <w:caps w:val="false"/>
          <w:smallCaps w:val="false"/>
          <w:color w:val="000000"/>
          <w:spacing w:val="0"/>
          <w:sz w:val="20"/>
          <w:szCs w:val="20"/>
        </w:rPr>
      </w:r>
    </w:p>
    <w:p>
      <w:pPr>
        <w:pStyle w:val="TextBody"/>
        <w:widowControl/>
        <w:bidi w:val="0"/>
        <w:spacing w:lineRule="atLeast" w:line="240" w:before="0" w:after="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Other information about lease amounts recognized in the consolidated financial statements is summarized as follows: </w:t>
      </w:r>
    </w:p>
    <w:p>
      <w:pPr>
        <w:sectPr>
          <w:type w:val="continuous"/>
          <w:pgSz w:w="11906" w:h="16838"/>
          <w:pgMar w:left="1134" w:right="567" w:gutter="0" w:header="0" w:top="567" w:footer="0" w:bottom="567"/>
          <w:formProt w:val="false"/>
          <w:textDirection w:val="lrTb"/>
          <w:docGrid w:type="default" w:linePitch="600" w:charSpace="32768"/>
        </w:sectPr>
      </w:pPr>
    </w:p>
    <w:tbl>
      <w:tblPr>
        <w:tblW w:w="5904" w:type="dxa"/>
        <w:jc w:val="center"/>
        <w:tblInd w:w="0" w:type="dxa"/>
        <w:tblLayout w:type="fixed"/>
        <w:tblCellMar>
          <w:top w:w="0" w:type="dxa"/>
          <w:left w:w="0" w:type="dxa"/>
          <w:bottom w:w="0" w:type="dxa"/>
          <w:right w:w="0" w:type="dxa"/>
        </w:tblCellMar>
      </w:tblPr>
      <w:tblGrid>
        <w:gridCol w:w="4370"/>
        <w:gridCol w:w="60"/>
        <w:gridCol w:w="853"/>
        <w:gridCol w:w="621"/>
      </w:tblGrid>
      <w:tr>
        <w:trPr/>
        <w:tc>
          <w:tcPr>
            <w:tcW w:w="4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4370" w:type="dxa"/>
            <w:tcBorders/>
            <w:vAlign w:val="center"/>
          </w:tcPr>
          <w:p>
            <w:pPr>
              <w:pStyle w:val="TableContents"/>
              <w:bidi w:val="0"/>
              <w:spacing w:before="0" w:after="0"/>
              <w:jc w:val="left"/>
              <w:rPr>
                <w:rFonts w:ascii="times new roman;times" w:hAnsi="times new roman;times"/>
                <w:b/>
                <w:sz w:val="20"/>
              </w:rPr>
            </w:pPr>
            <w:r>
              <w:rPr>
                <w:rFonts w:ascii="times new roman;times" w:hAnsi="times new roman;times"/>
                <w:b/>
                <w:sz w:val="20"/>
              </w:rPr>
              <w:t>Lease Term and Discount Rate of Operating Leases</w:t>
            </w:r>
          </w:p>
        </w:tc>
        <w:tc>
          <w:tcPr>
            <w:tcW w:w="60" w:type="dxa"/>
            <w:tcBorders/>
            <w:vAlign w:val="center"/>
          </w:tcPr>
          <w:p>
            <w:pPr>
              <w:pStyle w:val="TableContents"/>
              <w:bidi w:val="0"/>
              <w:spacing w:before="0" w:after="0"/>
              <w:jc w:val="left"/>
              <w:rPr/>
            </w:pPr>
            <w:r>
              <w:rPr/>
              <w:t> </w:t>
            </w:r>
          </w:p>
        </w:tc>
        <w:tc>
          <w:tcPr>
            <w:tcW w:w="1474" w:type="dxa"/>
            <w:gridSpan w:val="2"/>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As of June 30, 2024</w:t>
            </w:r>
          </w:p>
        </w:tc>
      </w:tr>
      <w:tr>
        <w:trPr/>
        <w:tc>
          <w:tcPr>
            <w:tcW w:w="4370"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Weighted- average remaining lease term (years)</w:t>
            </w:r>
          </w:p>
        </w:tc>
        <w:tc>
          <w:tcPr>
            <w:tcW w:w="60" w:type="dxa"/>
            <w:tcBorders/>
            <w:shd w:fill="CCEEFF" w:val="clear"/>
            <w:vAlign w:val="center"/>
          </w:tcPr>
          <w:p>
            <w:pPr>
              <w:pStyle w:val="TableContents"/>
              <w:bidi w:val="0"/>
              <w:spacing w:before="0" w:after="0"/>
              <w:jc w:val="left"/>
              <w:rPr/>
            </w:pPr>
            <w:r>
              <w:rPr/>
              <w:t> </w:t>
            </w:r>
          </w:p>
        </w:tc>
        <w:tc>
          <w:tcPr>
            <w:tcW w:w="853"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4.3</w:t>
            </w:r>
          </w:p>
        </w:tc>
        <w:tc>
          <w:tcPr>
            <w:tcW w:w="621" w:type="dxa"/>
            <w:tcBorders/>
            <w:shd w:fill="CCEEFF" w:val="clear"/>
            <w:vAlign w:val="center"/>
          </w:tcPr>
          <w:p>
            <w:pPr>
              <w:pStyle w:val="TableContents"/>
              <w:bidi w:val="0"/>
              <w:spacing w:before="0" w:after="283"/>
              <w:jc w:val="left"/>
              <w:rPr>
                <w:sz w:val="4"/>
                <w:szCs w:val="4"/>
              </w:rPr>
            </w:pPr>
            <w:r>
              <w:rPr>
                <w:sz w:val="4"/>
                <w:szCs w:val="4"/>
              </w:rPr>
            </w:r>
          </w:p>
        </w:tc>
      </w:tr>
      <w:tr>
        <w:trPr/>
        <w:tc>
          <w:tcPr>
            <w:tcW w:w="4370"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Weighted- average discount rate</w:t>
            </w:r>
          </w:p>
        </w:tc>
        <w:tc>
          <w:tcPr>
            <w:tcW w:w="60" w:type="dxa"/>
            <w:tcBorders/>
            <w:vAlign w:val="center"/>
          </w:tcPr>
          <w:p>
            <w:pPr>
              <w:pStyle w:val="TableContents"/>
              <w:bidi w:val="0"/>
              <w:spacing w:before="0" w:after="0"/>
              <w:jc w:val="left"/>
              <w:rPr/>
            </w:pPr>
            <w:r>
              <w:rPr/>
              <w:t> </w:t>
            </w:r>
          </w:p>
        </w:tc>
        <w:tc>
          <w:tcPr>
            <w:tcW w:w="853"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2.9</w:t>
            </w:r>
          </w:p>
        </w:tc>
        <w:tc>
          <w:tcPr>
            <w:tcW w:w="621"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r>
    </w:tbl>
    <w:p>
      <w:pPr>
        <w:pStyle w:val="TextBody"/>
        <w:widowControl/>
        <w:bidi w:val="0"/>
        <w:spacing w:lineRule="atLeast" w:line="240"/>
        <w:jc w:val="center"/>
        <w:rPr>
          <w:caps w:val="false"/>
          <w:smallCaps w:val="false"/>
          <w:color w:val="000000"/>
          <w:spacing w:val="0"/>
          <w:sz w:val="20"/>
          <w:szCs w:val="20"/>
        </w:rPr>
      </w:pPr>
      <w:r>
        <w:rPr>
          <w:caps w:val="false"/>
          <w:smallCaps w:val="false"/>
          <w:color w:val="000000"/>
          <w:spacing w:val="0"/>
          <w:sz w:val="20"/>
          <w:szCs w:val="20"/>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widowControl/>
        <w:bidi w:val="0"/>
        <w:spacing w:lineRule="auto" w:line="288" w:before="0" w:after="0"/>
        <w:jc w:val="left"/>
        <w:rPr>
          <w:caps w:val="false"/>
          <w:smallCaps w:val="false"/>
          <w:color w:val="000000"/>
          <w:spacing w:val="0"/>
          <w:sz w:val="20"/>
          <w:szCs w:val="20"/>
        </w:rPr>
      </w:pPr>
      <w:r>
        <w:rPr>
          <w:caps w:val="false"/>
          <w:smallCaps w:val="false"/>
          <w:color w:val="000000"/>
          <w:spacing w:val="0"/>
          <w:sz w:val="20"/>
          <w:szCs w:val="20"/>
        </w:rPr>
      </w:r>
    </w:p>
    <w:p>
      <w:pPr>
        <w:pStyle w:val="TextBody"/>
        <w:widowControl/>
        <w:bidi w:val="0"/>
        <w:spacing w:lineRule="atLeast" w:line="240" w:before="0" w:after="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following table presents supplemental cash flow and non-cash information related to 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10124" w:type="dxa"/>
        <w:jc w:val="center"/>
        <w:tblInd w:w="0" w:type="dxa"/>
        <w:tblLayout w:type="fixed"/>
        <w:tblCellMar>
          <w:top w:w="0" w:type="dxa"/>
          <w:left w:w="0" w:type="dxa"/>
          <w:bottom w:w="0" w:type="dxa"/>
          <w:right w:w="0" w:type="dxa"/>
        </w:tblCellMar>
      </w:tblPr>
      <w:tblGrid>
        <w:gridCol w:w="7355"/>
        <w:gridCol w:w="60"/>
        <w:gridCol w:w="312"/>
        <w:gridCol w:w="953"/>
        <w:gridCol w:w="59"/>
        <w:gridCol w:w="23"/>
        <w:gridCol w:w="326"/>
        <w:gridCol w:w="998"/>
        <w:gridCol w:w="38"/>
      </w:tblGrid>
      <w:tr>
        <w:trPr/>
        <w:tc>
          <w:tcPr>
            <w:tcW w:w="73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pPr>
            <w:r>
              <w:rPr/>
            </w:r>
          </w:p>
        </w:tc>
      </w:tr>
      <w:tr>
        <w:trPr/>
        <w:tc>
          <w:tcPr>
            <w:tcW w:w="7355"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b/>
                <w:sz w:val="20"/>
              </w:rPr>
              <w:t>Other Information </w:t>
            </w:r>
            <w:r>
              <w:rPr>
                <w:rFonts w:ascii="times new roman;times" w:hAnsi="times new roman;times"/>
                <w:i/>
                <w:sz w:val="16"/>
              </w:rPr>
              <w:t>(in millions)</w:t>
            </w:r>
          </w:p>
        </w:tc>
        <w:tc>
          <w:tcPr>
            <w:tcW w:w="60" w:type="dxa"/>
            <w:tcBorders/>
            <w:vAlign w:val="center"/>
          </w:tcPr>
          <w:p>
            <w:pPr>
              <w:pStyle w:val="TableContents"/>
              <w:bidi w:val="0"/>
              <w:spacing w:before="0" w:after="0"/>
              <w:jc w:val="left"/>
              <w:rPr/>
            </w:pPr>
            <w:r>
              <w:rPr/>
              <w:t> </w:t>
            </w:r>
          </w:p>
        </w:tc>
        <w:tc>
          <w:tcPr>
            <w:tcW w:w="1324" w:type="dxa"/>
            <w:gridSpan w:val="3"/>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Six Months Ended</w:t>
            </w:r>
          </w:p>
          <w:p>
            <w:pPr>
              <w:pStyle w:val="TableContents"/>
              <w:bidi w:val="0"/>
              <w:spacing w:before="0" w:after="0"/>
              <w:jc w:val="center"/>
              <w:rPr>
                <w:rFonts w:ascii="times new roman;times" w:hAnsi="times new roman;times"/>
                <w:b/>
                <w:sz w:val="16"/>
              </w:rPr>
            </w:pPr>
            <w:r>
              <w:rPr>
                <w:rFonts w:ascii="times new roman;times" w:hAnsi="times new roman;times"/>
                <w:b/>
                <w:sz w:val="16"/>
              </w:rPr>
              <w:t>June 30, 2024</w:t>
            </w:r>
          </w:p>
        </w:tc>
        <w:tc>
          <w:tcPr>
            <w:tcW w:w="23" w:type="dxa"/>
            <w:tcBorders/>
            <w:vAlign w:val="center"/>
          </w:tcPr>
          <w:p>
            <w:pPr>
              <w:pStyle w:val="TableContents"/>
              <w:bidi w:val="0"/>
              <w:spacing w:before="0" w:after="283"/>
              <w:jc w:val="left"/>
              <w:rPr>
                <w:sz w:val="4"/>
                <w:szCs w:val="4"/>
              </w:rPr>
            </w:pPr>
            <w:r>
              <w:rPr>
                <w:sz w:val="4"/>
                <w:szCs w:val="4"/>
              </w:rPr>
            </w:r>
          </w:p>
        </w:tc>
        <w:tc>
          <w:tcPr>
            <w:tcW w:w="1324" w:type="dxa"/>
            <w:gridSpan w:val="2"/>
            <w:tcBorders/>
            <w:vAlign w:val="center"/>
          </w:tcPr>
          <w:p>
            <w:pPr>
              <w:pStyle w:val="TableContents"/>
              <w:widowControl/>
              <w:bidi w:val="0"/>
              <w:spacing w:before="0" w:after="0"/>
              <w:ind w:left="0" w:right="0" w:hanging="0"/>
              <w:jc w:val="center"/>
              <w:rPr>
                <w:rFonts w:ascii="times new roman;times" w:hAnsi="times new roman;times"/>
                <w:b/>
                <w:i w:val="false"/>
                <w:caps w:val="false"/>
                <w:smallCaps w:val="false"/>
                <w:color w:val="000000"/>
                <w:spacing w:val="0"/>
                <w:sz w:val="16"/>
              </w:rPr>
            </w:pPr>
            <w:r>
              <w:rPr>
                <w:rFonts w:ascii="times new roman;times" w:hAnsi="times new roman;times"/>
                <w:b/>
                <w:i w:val="false"/>
                <w:caps w:val="false"/>
                <w:smallCaps w:val="false"/>
                <w:color w:val="000000"/>
                <w:spacing w:val="0"/>
                <w:sz w:val="16"/>
              </w:rPr>
              <w:t>Six Months Ended</w:t>
            </w:r>
          </w:p>
          <w:p>
            <w:pPr>
              <w:pStyle w:val="TableContents"/>
              <w:widowControl/>
              <w:bidi w:val="0"/>
              <w:spacing w:before="0" w:after="0"/>
              <w:ind w:left="0" w:right="0" w:hanging="0"/>
              <w:jc w:val="center"/>
              <w:rPr>
                <w:rFonts w:ascii="times new roman;times" w:hAnsi="times new roman;times"/>
                <w:b/>
                <w:i w:val="false"/>
                <w:caps w:val="false"/>
                <w:smallCaps w:val="false"/>
                <w:color w:val="000000"/>
                <w:spacing w:val="0"/>
                <w:sz w:val="16"/>
              </w:rPr>
            </w:pPr>
            <w:r>
              <w:rPr>
                <w:rFonts w:ascii="times new roman;times" w:hAnsi="times new roman;times"/>
                <w:b/>
                <w:i w:val="false"/>
                <w:caps w:val="false"/>
                <w:smallCaps w:val="false"/>
                <w:color w:val="000000"/>
                <w:spacing w:val="0"/>
                <w:sz w:val="16"/>
              </w:rPr>
              <w:t>June 30, 2023</w:t>
            </w:r>
          </w:p>
        </w:tc>
        <w:tc>
          <w:tcPr>
            <w:tcW w:w="38" w:type="dxa"/>
            <w:tcBorders/>
            <w:vAlign w:val="center"/>
          </w:tcPr>
          <w:p>
            <w:pPr>
              <w:pStyle w:val="TableContents"/>
              <w:widowControl/>
              <w:bidi w:val="0"/>
              <w:spacing w:before="0" w:after="0"/>
              <w:ind w:left="0" w:right="0" w:hanging="0"/>
              <w:jc w:val="center"/>
              <w:rPr>
                <w:rFonts w:ascii="times new roman" w:hAnsi="times new roman"/>
                <w:b w:val="false"/>
                <w:i w:val="false"/>
                <w:caps w:val="false"/>
                <w:smallCaps w:val="false"/>
                <w:color w:val="000000"/>
                <w:spacing w:val="0"/>
              </w:rPr>
            </w:pPr>
            <w:r>
              <w:rPr>
                <w:rFonts w:ascii="times new roman" w:hAnsi="times new roman"/>
                <w:b w:val="false"/>
                <w:i w:val="false"/>
                <w:caps w:val="false"/>
                <w:smallCaps w:val="false"/>
                <w:color w:val="000000"/>
                <w:spacing w:val="0"/>
              </w:rPr>
            </w:r>
          </w:p>
        </w:tc>
      </w:tr>
      <w:tr>
        <w:trPr/>
        <w:tc>
          <w:tcPr>
            <w:tcW w:w="7355"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Cash paid for amounts included in the measurement of lease liabilities </w:t>
            </w:r>
            <w:r>
              <w:rPr>
                <w:rFonts w:ascii="times new roman;times" w:hAnsi="times new roman;times"/>
                <w:i/>
                <w:sz w:val="20"/>
              </w:rPr>
              <w:t>(a)</w:t>
            </w:r>
          </w:p>
        </w:tc>
        <w:tc>
          <w:tcPr>
            <w:tcW w:w="60" w:type="dxa"/>
            <w:tcBorders/>
            <w:shd w:fill="CCEEFF" w:val="clear"/>
            <w:vAlign w:val="center"/>
          </w:tcPr>
          <w:p>
            <w:pPr>
              <w:pStyle w:val="TableContents"/>
              <w:bidi w:val="0"/>
              <w:spacing w:before="0" w:after="0"/>
              <w:jc w:val="left"/>
              <w:rPr/>
            </w:pPr>
            <w:r>
              <w:rPr/>
              <w:t> </w:t>
            </w:r>
          </w:p>
        </w:tc>
        <w:tc>
          <w:tcPr>
            <w:tcW w:w="312"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953"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25.5</w:t>
            </w:r>
          </w:p>
        </w:tc>
        <w:tc>
          <w:tcPr>
            <w:tcW w:w="59" w:type="dxa"/>
            <w:tcBorders/>
            <w:shd w:fill="CCEEFF" w:val="clear"/>
            <w:vAlign w:val="center"/>
          </w:tcPr>
          <w:p>
            <w:pPr>
              <w:pStyle w:val="TableContents"/>
              <w:bidi w:val="0"/>
              <w:spacing w:before="0" w:after="283"/>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326" w:type="dxa"/>
            <w:tcBorders/>
            <w:shd w:fill="CCEEFF" w:val="clear"/>
            <w:vAlign w:val="center"/>
          </w:tcPr>
          <w:p>
            <w:pPr>
              <w:pStyle w:val="TableContents"/>
              <w:bidi w:val="0"/>
              <w:spacing w:before="0" w:after="0"/>
              <w:jc w:val="left"/>
              <w:rPr>
                <w:sz w:val="20"/>
              </w:rPr>
            </w:pPr>
            <w:r>
              <w:rPr>
                <w:sz w:val="20"/>
              </w:rPr>
              <w:t>$</w:t>
            </w:r>
          </w:p>
        </w:tc>
        <w:tc>
          <w:tcPr>
            <w:tcW w:w="998" w:type="dxa"/>
            <w:tcBorders/>
            <w:shd w:fill="CCEEFF" w:val="clear"/>
            <w:vAlign w:val="center"/>
          </w:tcPr>
          <w:p>
            <w:pPr>
              <w:pStyle w:val="TableContents"/>
              <w:bidi w:val="0"/>
              <w:spacing w:before="0" w:after="0"/>
              <w:jc w:val="right"/>
              <w:rPr>
                <w:sz w:val="20"/>
              </w:rPr>
            </w:pPr>
            <w:r>
              <w:rPr>
                <w:sz w:val="20"/>
              </w:rPr>
              <w:t>25.1</w:t>
            </w:r>
          </w:p>
        </w:tc>
        <w:tc>
          <w:tcPr>
            <w:tcW w:w="38" w:type="dxa"/>
            <w:tcBorders/>
            <w:shd w:fill="CCEEFF" w:val="clear"/>
            <w:vAlign w:val="center"/>
          </w:tcPr>
          <w:p>
            <w:pPr>
              <w:pStyle w:val="TableContents"/>
              <w:bidi w:val="0"/>
              <w:spacing w:before="0" w:after="0"/>
              <w:jc w:val="right"/>
              <w:rPr>
                <w:sz w:val="20"/>
              </w:rPr>
            </w:pPr>
            <w:r>
              <w:rPr>
                <w:sz w:val="20"/>
              </w:rPr>
            </w:r>
          </w:p>
        </w:tc>
      </w:tr>
      <w:tr>
        <w:trPr/>
        <w:tc>
          <w:tcPr>
            <w:tcW w:w="7355"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Supplemental non-cash information on lease liabilities arising from obtaining ROU assets:</w:t>
            </w:r>
          </w:p>
        </w:tc>
        <w:tc>
          <w:tcPr>
            <w:tcW w:w="60" w:type="dxa"/>
            <w:tcBorders/>
            <w:vAlign w:val="center"/>
          </w:tcPr>
          <w:p>
            <w:pPr>
              <w:pStyle w:val="TableContents"/>
              <w:bidi w:val="0"/>
              <w:spacing w:before="0" w:after="0"/>
              <w:jc w:val="left"/>
              <w:rPr/>
            </w:pPr>
            <w:r>
              <w:rPr/>
              <w:t> </w:t>
            </w:r>
          </w:p>
        </w:tc>
        <w:tc>
          <w:tcPr>
            <w:tcW w:w="1324" w:type="dxa"/>
            <w:gridSpan w:val="3"/>
            <w:tcBorders/>
            <w:vAlign w:val="center"/>
          </w:tcPr>
          <w:p>
            <w:pPr>
              <w:pStyle w:val="TableContents"/>
              <w:bidi w:val="0"/>
              <w:spacing w:before="0" w:after="0"/>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pPr>
            <w:r>
              <w:rPr/>
            </w:r>
          </w:p>
        </w:tc>
      </w:tr>
      <w:tr>
        <w:trPr/>
        <w:tc>
          <w:tcPr>
            <w:tcW w:w="7355"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ROU assets obtained in exchange for new operating lease liabilities</w:t>
            </w:r>
          </w:p>
        </w:tc>
        <w:tc>
          <w:tcPr>
            <w:tcW w:w="60" w:type="dxa"/>
            <w:tcBorders/>
            <w:shd w:fill="CCEEFF" w:val="clear"/>
            <w:vAlign w:val="center"/>
          </w:tcPr>
          <w:p>
            <w:pPr>
              <w:pStyle w:val="TableContents"/>
              <w:bidi w:val="0"/>
              <w:spacing w:before="0" w:after="0"/>
              <w:jc w:val="left"/>
              <w:rPr/>
            </w:pPr>
            <w:r>
              <w:rPr/>
              <w:t> </w:t>
            </w:r>
          </w:p>
        </w:tc>
        <w:tc>
          <w:tcPr>
            <w:tcW w:w="312"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953"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39.2</w:t>
            </w:r>
          </w:p>
        </w:tc>
        <w:tc>
          <w:tcPr>
            <w:tcW w:w="59" w:type="dxa"/>
            <w:tcBorders/>
            <w:shd w:fill="CCEEFF" w:val="clear"/>
            <w:vAlign w:val="center"/>
          </w:tcPr>
          <w:p>
            <w:pPr>
              <w:pStyle w:val="TableContents"/>
              <w:bidi w:val="0"/>
              <w:spacing w:before="0" w:after="283"/>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326" w:type="dxa"/>
            <w:tcBorders/>
            <w:shd w:fill="CCEEFF" w:val="clear"/>
            <w:vAlign w:val="center"/>
          </w:tcPr>
          <w:p>
            <w:pPr>
              <w:pStyle w:val="TableContents"/>
              <w:bidi w:val="0"/>
              <w:spacing w:before="0" w:after="0"/>
              <w:jc w:val="left"/>
              <w:rPr>
                <w:sz w:val="20"/>
              </w:rPr>
            </w:pPr>
            <w:r>
              <w:rPr>
                <w:sz w:val="20"/>
              </w:rPr>
              <w:t>$</w:t>
            </w:r>
          </w:p>
        </w:tc>
        <w:tc>
          <w:tcPr>
            <w:tcW w:w="998" w:type="dxa"/>
            <w:tcBorders/>
            <w:shd w:fill="CCEEFF" w:val="clear"/>
            <w:vAlign w:val="center"/>
          </w:tcPr>
          <w:p>
            <w:pPr>
              <w:pStyle w:val="TableContents"/>
              <w:bidi w:val="0"/>
              <w:spacing w:before="0" w:after="0"/>
              <w:jc w:val="right"/>
              <w:rPr>
                <w:sz w:val="20"/>
              </w:rPr>
            </w:pPr>
            <w:r>
              <w:rPr>
                <w:sz w:val="20"/>
              </w:rPr>
              <w:t>48.0</w:t>
            </w:r>
          </w:p>
        </w:tc>
        <w:tc>
          <w:tcPr>
            <w:tcW w:w="38" w:type="dxa"/>
            <w:tcBorders/>
            <w:shd w:fill="CCEEFF" w:val="clear"/>
            <w:vAlign w:val="center"/>
          </w:tcPr>
          <w:p>
            <w:pPr>
              <w:pStyle w:val="TableContents"/>
              <w:bidi w:val="0"/>
              <w:spacing w:before="0" w:after="0"/>
              <w:jc w:val="right"/>
              <w:rPr>
                <w:sz w:val="20"/>
              </w:rPr>
            </w:pPr>
            <w:r>
              <w:rPr>
                <w:sz w:val="20"/>
              </w:rPr>
            </w:r>
          </w:p>
        </w:tc>
      </w:tr>
    </w:tbl>
    <w:p>
      <w:pPr>
        <w:pStyle w:val="TextBody"/>
        <w:widowControl/>
        <w:bidi w:val="0"/>
        <w:spacing w:lineRule="atLeast" w:line="240"/>
        <w:jc w:val="center"/>
        <w:rPr>
          <w:caps w:val="false"/>
          <w:smallCaps w:val="false"/>
          <w:color w:val="000000"/>
          <w:spacing w:val="0"/>
          <w:sz w:val="20"/>
          <w:szCs w:val="20"/>
        </w:rPr>
      </w:pPr>
      <w:r>
        <w:rPr>
          <w:caps w:val="false"/>
          <w:smallCaps w:val="false"/>
          <w:color w:val="000000"/>
          <w:spacing w:val="0"/>
          <w:sz w:val="20"/>
          <w:szCs w:val="20"/>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widowControl/>
        <w:bidi w:val="0"/>
        <w:spacing w:lineRule="atLeast" w:line="240"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lineRule="atLeast" w:line="240"/>
        <w:ind w:left="0" w:right="0" w:hanging="0"/>
        <w:jc w:val="left"/>
        <w:rPr>
          <w:caps w:val="false"/>
          <w:smallCaps w:val="false"/>
          <w:color w:val="000000"/>
          <w:spacing w:val="0"/>
        </w:rPr>
      </w:pPr>
      <w:r>
        <w:rPr>
          <w:caps w:val="false"/>
          <w:smallCaps w:val="false"/>
          <w:color w:val="000000"/>
          <w:spacing w:val="0"/>
        </w:rPr>
        <w:t>         </w:t>
      </w:r>
      <w:r>
        <w:rPr>
          <w:rFonts w:ascii="times new roman;times" w:hAnsi="times new roman;times"/>
          <w:b w:val="false"/>
          <w:i/>
          <w:caps w:val="false"/>
          <w:smallCaps w:val="false"/>
          <w:color w:val="000000"/>
          <w:spacing w:val="0"/>
          <w:sz w:val="20"/>
        </w:rPr>
        <w:t>(a) Included in Net cash provided by operating activities on the Company's Consolidated Statements of Cash Flows.</w:t>
      </w:r>
    </w:p>
    <w:p>
      <w:pPr>
        <w:pStyle w:val="TextBody"/>
        <w:bidi w:val="0"/>
        <w:spacing w:before="0" w:after="0"/>
        <w:ind w:left="0" w:right="0" w:hanging="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23</w:t>
            </w:r>
          </w:p>
        </w:tc>
      </w:tr>
    </w:tbl>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0" w:after="0"/>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widowControl/>
        <w:bidi w:val="0"/>
        <w:spacing w:before="0" w:after="0"/>
        <w:ind w:left="0" w:right="0" w:hanging="0"/>
        <w:jc w:val="left"/>
        <w:rPr/>
      </w:pPr>
      <w:hyperlink r:id="rId7">
        <w:bookmarkStart w:id="45" w:name="BI_YBM69S5UGG00000000000000000000"/>
        <w:bookmarkEnd w:id="45"/>
        <w:r>
          <w:rPr>
            <w:rStyle w:val="InternetLink"/>
            <w:rFonts w:ascii="Times New Roman" w:hAnsi="Times New Roman"/>
            <w:b/>
            <w:i w:val="false"/>
            <w:caps w:val="false"/>
            <w:smallCaps w:val="false"/>
            <w:strike w:val="false"/>
            <w:dstrike w:val="false"/>
            <w:color w:val="000000"/>
            <w:spacing w:val="0"/>
            <w:sz w:val="20"/>
            <w:u w:val="none"/>
            <w:effect w:val="none"/>
          </w:rPr>
          <w:t>ITEM 2. MANAGEMENT’S DISCUSSION AND ANALYSIS OF FINANCIAL CONDITION AND RESULTS OF OPERATIONS</w:t>
        </w:r>
      </w:hyperlink>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terms "Euronet," the "Company," "we" and "us" as used herein refer to Euronet Worldwide, Inc. and its subsidiaries.</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bidi w:val="0"/>
        <w:spacing w:before="0" w:after="0"/>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CAUTIONARY STATEMENT REGARDING FORWARD-LOOKING STATEMENTS</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This report contains statements that constitute forward-looking statements within the meaning of section 27A of the Securities Act of 1933 and section 21E of the Securities Exchange Act of 1934 (“Exchange Act”). Generally, the words "believe," "expect," "anticipate," "intend," "estimate," "will" and similar expressions identify forward-looking statements. However, the absence of these words or similar expressions does not mean the statement is not forward-looking. All statements other than statements of historical facts included in this document are forward-looking statements, including, but not limited to, statements regarding the following: </w:t>
      </w:r>
    </w:p>
    <w:p>
      <w:pPr>
        <w:pStyle w:val="TextBody"/>
        <w:widowControl/>
        <w:numPr>
          <w:ilvl w:val="0"/>
          <w:numId w:val="4"/>
        </w:numPr>
        <w:tabs>
          <w:tab w:val="clear" w:pos="1134"/>
          <w:tab w:val="left" w:pos="709" w:leader="none"/>
        </w:tabs>
        <w:bidi w:val="0"/>
        <w:spacing w:before="0" w:after="0"/>
        <w:ind w:left="709" w:right="0" w:hanging="283"/>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our business plans and financing plans and requirements;</w:t>
      </w:r>
    </w:p>
    <w:p>
      <w:pPr>
        <w:pStyle w:val="TextBody"/>
        <w:widowControl/>
        <w:numPr>
          <w:ilvl w:val="0"/>
          <w:numId w:val="4"/>
        </w:numPr>
        <w:tabs>
          <w:tab w:val="clear" w:pos="1134"/>
          <w:tab w:val="left" w:pos="709" w:leader="none"/>
        </w:tabs>
        <w:bidi w:val="0"/>
        <w:spacing w:before="0" w:after="0"/>
        <w:ind w:left="709" w:right="0" w:hanging="283"/>
        <w:jc w:val="both"/>
        <w:rPr/>
      </w:pPr>
      <w:r>
        <w:rPr>
          <w:rFonts w:ascii="times new roman;times" w:hAnsi="times new roman;times"/>
          <w:b w:val="false"/>
          <w:i w:val="false"/>
          <w:caps w:val="false"/>
          <w:smallCaps w:val="false"/>
          <w:color w:val="000000"/>
          <w:spacing w:val="0"/>
          <w:sz w:val="20"/>
        </w:rPr>
        <w:t>trends affecting our business plans and financing plans and requirements;</w:t>
      </w:r>
      <w:r>
        <w:rPr/>
        <w:t xml:space="preserve"> </w:t>
      </w:r>
    </w:p>
    <w:p>
      <w:pPr>
        <w:pStyle w:val="TextBody"/>
        <w:widowControl/>
        <w:numPr>
          <w:ilvl w:val="0"/>
          <w:numId w:val="4"/>
        </w:numPr>
        <w:tabs>
          <w:tab w:val="clear" w:pos="1134"/>
          <w:tab w:val="left" w:pos="709" w:leader="none"/>
        </w:tabs>
        <w:bidi w:val="0"/>
        <w:spacing w:before="0" w:after="0"/>
        <w:ind w:left="709" w:right="0" w:hanging="283"/>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trends affecting our business;</w:t>
      </w:r>
    </w:p>
    <w:p>
      <w:pPr>
        <w:pStyle w:val="TextBody"/>
        <w:widowControl/>
        <w:numPr>
          <w:ilvl w:val="0"/>
          <w:numId w:val="4"/>
        </w:numPr>
        <w:tabs>
          <w:tab w:val="clear" w:pos="1134"/>
          <w:tab w:val="left" w:pos="709" w:leader="none"/>
        </w:tabs>
        <w:bidi w:val="0"/>
        <w:spacing w:before="0" w:after="0"/>
        <w:ind w:left="709" w:right="0" w:hanging="283"/>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adequacy of capital to meet our capital requirements and expansion plans;</w:t>
      </w:r>
    </w:p>
    <w:p>
      <w:pPr>
        <w:pStyle w:val="TextBody"/>
        <w:widowControl/>
        <w:numPr>
          <w:ilvl w:val="0"/>
          <w:numId w:val="4"/>
        </w:numPr>
        <w:tabs>
          <w:tab w:val="clear" w:pos="1134"/>
          <w:tab w:val="left" w:pos="709" w:leader="none"/>
        </w:tabs>
        <w:bidi w:val="0"/>
        <w:spacing w:before="0" w:after="0"/>
        <w:ind w:left="709" w:right="0" w:hanging="283"/>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assumptions underlying our business plans;</w:t>
      </w:r>
    </w:p>
    <w:p>
      <w:pPr>
        <w:pStyle w:val="TextBody"/>
        <w:widowControl/>
        <w:numPr>
          <w:ilvl w:val="0"/>
          <w:numId w:val="4"/>
        </w:numPr>
        <w:tabs>
          <w:tab w:val="clear" w:pos="1134"/>
          <w:tab w:val="left" w:pos="709" w:leader="none"/>
        </w:tabs>
        <w:bidi w:val="0"/>
        <w:spacing w:before="0" w:after="0"/>
        <w:ind w:left="709" w:right="0" w:hanging="283"/>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our ability to repay indebtedness;</w:t>
      </w:r>
    </w:p>
    <w:p>
      <w:pPr>
        <w:pStyle w:val="TextBody"/>
        <w:widowControl/>
        <w:numPr>
          <w:ilvl w:val="0"/>
          <w:numId w:val="4"/>
        </w:numPr>
        <w:tabs>
          <w:tab w:val="clear" w:pos="1134"/>
          <w:tab w:val="left" w:pos="709" w:leader="none"/>
        </w:tabs>
        <w:bidi w:val="0"/>
        <w:spacing w:before="0" w:after="0"/>
        <w:ind w:left="709" w:right="0" w:hanging="283"/>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our estimated capital expenditures;</w:t>
      </w:r>
    </w:p>
    <w:p>
      <w:pPr>
        <w:pStyle w:val="TextBody"/>
        <w:widowControl/>
        <w:numPr>
          <w:ilvl w:val="0"/>
          <w:numId w:val="4"/>
        </w:numPr>
        <w:tabs>
          <w:tab w:val="clear" w:pos="1134"/>
          <w:tab w:val="left" w:pos="709" w:leader="none"/>
        </w:tabs>
        <w:bidi w:val="0"/>
        <w:spacing w:before="0" w:after="0"/>
        <w:ind w:left="709" w:right="0" w:hanging="283"/>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potential outcome of loss contingencies;</w:t>
      </w:r>
    </w:p>
    <w:p>
      <w:pPr>
        <w:pStyle w:val="TextBody"/>
        <w:widowControl/>
        <w:numPr>
          <w:ilvl w:val="0"/>
          <w:numId w:val="4"/>
        </w:numPr>
        <w:tabs>
          <w:tab w:val="clear" w:pos="1134"/>
          <w:tab w:val="left" w:pos="709" w:leader="none"/>
        </w:tabs>
        <w:bidi w:val="0"/>
        <w:spacing w:before="0" w:after="0"/>
        <w:ind w:left="709" w:right="0" w:hanging="283"/>
        <w:jc w:val="both"/>
        <w:rPr>
          <w:rFonts w:ascii="times new roman;times" w:hAnsi="times new roman;times"/>
          <w:b w:val="false"/>
          <w:i w:val="false"/>
          <w:caps w:val="false"/>
          <w:smallCaps w:val="false"/>
          <w:spacing w:val="0"/>
          <w:sz w:val="20"/>
        </w:rPr>
      </w:pPr>
      <w:r>
        <w:rPr>
          <w:rFonts w:ascii="times new roman;times" w:hAnsi="times new roman;times"/>
          <w:b w:val="false"/>
          <w:i w:val="false"/>
          <w:caps w:val="false"/>
          <w:smallCaps w:val="false"/>
          <w:color w:val="000000"/>
          <w:spacing w:val="0"/>
          <w:sz w:val="20"/>
        </w:rPr>
        <w:t>our expectations regarding the closing of any pending acqu</w:t>
      </w:r>
      <w:r>
        <w:rPr>
          <w:rFonts w:ascii="times new roman;times" w:hAnsi="times new roman;times"/>
          <w:b w:val="false"/>
          <w:i w:val="false"/>
          <w:caps w:val="false"/>
          <w:smallCaps w:val="false"/>
          <w:spacing w:val="0"/>
          <w:sz w:val="20"/>
        </w:rPr>
        <w:t>isitions;</w:t>
      </w:r>
    </w:p>
    <w:p>
      <w:pPr>
        <w:pStyle w:val="TextBody"/>
        <w:widowControl/>
        <w:numPr>
          <w:ilvl w:val="0"/>
          <w:numId w:val="4"/>
        </w:numPr>
        <w:tabs>
          <w:tab w:val="clear" w:pos="1134"/>
          <w:tab w:val="left" w:pos="709" w:leader="none"/>
        </w:tabs>
        <w:bidi w:val="0"/>
        <w:spacing w:before="0" w:after="0"/>
        <w:ind w:left="709" w:right="0" w:hanging="283"/>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business strategy;</w:t>
      </w:r>
    </w:p>
    <w:p>
      <w:pPr>
        <w:pStyle w:val="TextBody"/>
        <w:widowControl/>
        <w:numPr>
          <w:ilvl w:val="0"/>
          <w:numId w:val="4"/>
        </w:numPr>
        <w:tabs>
          <w:tab w:val="clear" w:pos="1134"/>
          <w:tab w:val="left" w:pos="709" w:leader="none"/>
        </w:tabs>
        <w:bidi w:val="0"/>
        <w:spacing w:before="0" w:after="0"/>
        <w:ind w:left="709" w:right="0" w:hanging="283"/>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government regulatory action;</w:t>
      </w:r>
    </w:p>
    <w:p>
      <w:pPr>
        <w:pStyle w:val="TextBody"/>
        <w:widowControl/>
        <w:numPr>
          <w:ilvl w:val="0"/>
          <w:numId w:val="4"/>
        </w:numPr>
        <w:tabs>
          <w:tab w:val="clear" w:pos="1134"/>
          <w:tab w:val="left" w:pos="709" w:leader="none"/>
        </w:tabs>
        <w:bidi w:val="0"/>
        <w:spacing w:before="0" w:after="0"/>
        <w:ind w:left="709" w:right="0" w:hanging="283"/>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expected effects of changes in laws or accounting standards;</w:t>
      </w:r>
    </w:p>
    <w:p>
      <w:pPr>
        <w:pStyle w:val="TextBody"/>
        <w:widowControl/>
        <w:numPr>
          <w:ilvl w:val="0"/>
          <w:numId w:val="4"/>
        </w:numPr>
        <w:tabs>
          <w:tab w:val="clear" w:pos="1134"/>
          <w:tab w:val="left" w:pos="709" w:leader="none"/>
        </w:tabs>
        <w:bidi w:val="0"/>
        <w:spacing w:before="0" w:after="0"/>
        <w:ind w:left="709" w:right="0" w:hanging="283"/>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technological advances; and</w:t>
      </w:r>
    </w:p>
    <w:p>
      <w:pPr>
        <w:pStyle w:val="TextBody"/>
        <w:widowControl/>
        <w:numPr>
          <w:ilvl w:val="0"/>
          <w:numId w:val="4"/>
        </w:numPr>
        <w:tabs>
          <w:tab w:val="clear" w:pos="1134"/>
          <w:tab w:val="left" w:pos="709" w:leader="none"/>
        </w:tabs>
        <w:bidi w:val="0"/>
        <w:ind w:left="709" w:right="0" w:hanging="283"/>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projected costs and revenues.</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Although we believe that the expectations reflected in these forward-looking statements are reasonable, we can give no assurance that these expectations will prove to be correct.</w:t>
        <w:br/>
      </w:r>
      <w:r>
        <w:rPr>
          <w:rFonts w:ascii="Times New Roman" w:hAnsi="Times New Roman"/>
          <w:b w:val="false"/>
          <w:i w:val="false"/>
          <w:caps w:val="false"/>
          <w:smallCaps w:val="false"/>
          <w:color w:val="000000"/>
          <w:spacing w:val="0"/>
          <w:sz w:val="20"/>
        </w:rPr>
        <w:br/>
      </w:r>
      <w:r>
        <w:rPr>
          <w:rFonts w:ascii="times new roman;times" w:hAnsi="times new roman;times"/>
          <w:b w:val="false"/>
          <w:i w:val="false"/>
          <w:caps w:val="false"/>
          <w:smallCaps w:val="false"/>
          <w:color w:val="000000"/>
          <w:spacing w:val="0"/>
          <w:sz w:val="20"/>
        </w:rPr>
        <w:t>Investors are cautioned that any forward-looking statements are not guarantees of future performance and involve risks and uncertainties. Actual results may materially differ from those in the forward-looking statements as a result of various factors, including, but not limited to, conditions in world financial markets and general economic conditions, including impacts from the COVID-19 or other pandemics; inflation; the war in the Ukraine, and related economic sanctions; military conflicts in the Middle East; our ability to successfully integrate any acquired operations; economic conditions in specific countries and regions; technological developments affecting the market for our products and services; our ability to successfully introduce new products and services; foreign currency exchange rate fluctuations; the effects of any breach of our computer systems or those of our customers or vendors, including our financial processing networks or those of other third parties; interruptions in any of our systems or those of our vendors or other third parties; our ability to renew existing contracts at profitable rates; changes in fees payable for transactions performed for cards bearing international logos or over switching networks such as card transactions on ATMs; our ability to comply with increasingly stringent regulatory requirements, including anti-money laundering, anti-terrorism, anti-bribery, sanctions, consumer and data protection and privacy and the European Union's General Data Protection Regulation, and Second Revised Payment Service Directive requirements; changes in laws and regulations affecting our business, including tax and immigration laws and any laws regulating payments, including Dynamic Currency Conversion (DCC) transactions</w:t>
      </w:r>
      <w:r>
        <w:rPr>
          <w:rFonts w:ascii="times new roman;times" w:hAnsi="times new roman;times"/>
          <w:b w:val="false"/>
          <w:i w:val="false"/>
          <w:caps w:val="false"/>
          <w:smallCaps w:val="false"/>
          <w:color w:val="008080"/>
          <w:spacing w:val="0"/>
          <w:sz w:val="20"/>
          <w:u w:val="single"/>
        </w:rPr>
        <w:t>;</w:t>
      </w:r>
      <w:r>
        <w:rPr>
          <w:rFonts w:ascii="times new roman;times" w:hAnsi="times new roman;times"/>
          <w:b w:val="false"/>
          <w:i w:val="false"/>
          <w:caps w:val="false"/>
          <w:smallCaps w:val="false"/>
          <w:color w:val="000000"/>
          <w:spacing w:val="0"/>
          <w:sz w:val="20"/>
        </w:rPr>
        <w:t xml:space="preserve"> changes in our relationships with, or in fees charged by, our business partners; competition; the outcome of claims and other loss contingencies affecting Euronet; the cost of borrowing (including fluctuations in interest rates), availability of credit and terms of and compliance with debt covenants; and renewal of sources of funding as they expire and the availability of replacement funding and those factors referred to above and as set forth and more fully described in Part I, Item 1A — Risk Factors of our Annual Report on Form 10-K for the year ended December 31, 2023.  Our Annual Report on Form 10-K is available on the SEC's EDGAR website at www.sec.gov, and copies may also be obtained by contacting the Company. Any forward-looking statements made in this Form 10-Q speak only as of the date of this report. Except as required by law, we do not intend, and do not undertake any obligation, to update any forward-looking statements to reflect future events or circumstances after the date of such statements.</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16" w:type="dxa"/>
        <w:jc w:val="left"/>
        <w:tblInd w:w="0" w:type="dxa"/>
        <w:tblLayout w:type="fixed"/>
        <w:tblCellMar>
          <w:top w:w="0" w:type="dxa"/>
          <w:left w:w="0" w:type="dxa"/>
          <w:bottom w:w="0" w:type="dxa"/>
          <w:right w:w="0" w:type="dxa"/>
        </w:tblCellMar>
      </w:tblPr>
      <w:tblGrid>
        <w:gridCol w:w="316"/>
      </w:tblGrid>
      <w:tr>
        <w:trPr/>
        <w:tc>
          <w:tcPr>
            <w:tcW w:w="31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24</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jc w:val="left"/>
        <w:rPr>
          <w:sz w:val="20"/>
        </w:rPr>
      </w:pPr>
      <w:r>
        <w:rPr>
          <w:sz w:val="20"/>
        </w:rPr>
      </w:r>
    </w:p>
    <w:p>
      <w:pPr>
        <w:pStyle w:val="TextBody"/>
        <w:bidi w:val="0"/>
        <w:spacing w:lineRule="auto" w:line="288" w:before="0" w:after="0"/>
        <w:ind w:left="0" w:right="0" w:hanging="0"/>
        <w:jc w:val="left"/>
        <w:rPr/>
      </w:pPr>
      <w:r>
        <w:rPr/>
        <w:t> </w:t>
      </w:r>
    </w:p>
    <w:p>
      <w:pPr>
        <w:pStyle w:val="TextBody"/>
        <w:widowControl/>
        <w:bidi w:val="0"/>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OVERVIEW</w:t>
      </w:r>
    </w:p>
    <w:p>
      <w:pPr>
        <w:pStyle w:val="TextBody"/>
        <w:bidi w:val="0"/>
        <w:spacing w:lineRule="auto" w:line="288" w:before="0" w:after="0"/>
        <w:ind w:left="0" w:right="0" w:hanging="0"/>
        <w:jc w:val="left"/>
        <w:rPr/>
      </w:pPr>
      <w:r>
        <w:rPr/>
        <w:t> </w:t>
      </w:r>
    </w:p>
    <w:p>
      <w:pPr>
        <w:pStyle w:val="TextBody"/>
        <w:widowControl/>
        <w:bidi w:val="0"/>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COMPANY OVERVIEW, GEOGRAPHIC LOCATIONS AND PRINCIPAL PRODUCTS AND SERVICES</w:t>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Euronet is a leading global financial technology solutions and payments provider. We offer payment and transaction processing and distribution solutions to financial institutions, retailers, service providers and individual consumers. Our primary product offerings include comprehensive ATM, point-of-sale ("POS"), card outsourcing, card issuing and merchant acquiring services, software solutions, electronic distribution of prepaid mobile airtime, managed services and other electronic payment products, foreign currency exchange services and global money transfer services. We operate in the following three segments:</w:t>
      </w:r>
    </w:p>
    <w:p>
      <w:pPr>
        <w:pStyle w:val="TextBody"/>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br/>
        <w:t xml:space="preserve">1)  </w:t>
      </w:r>
      <w:r>
        <w:rPr>
          <w:rFonts w:ascii="Times New Roman;serif" w:hAnsi="Times New Roman;serif"/>
          <w:b w:val="false"/>
          <w:i w:val="false"/>
          <w:caps w:val="false"/>
          <w:smallCaps w:val="false"/>
          <w:color w:val="000000"/>
          <w:spacing w:val="0"/>
          <w:sz w:val="20"/>
        </w:rPr>
        <w:t xml:space="preserve">The EFT Processing Segment meets the needs of financial institutions and consumers through Euronet-owned and outsourced ATMs and POS terminals combined with value added and transaction processing services. We deploy and operate our own ATMs, providing ATM services for financial institutions and providing electronic payment processing solutions. EFT offers a suite of integrated electronic financial transaction software solutions for electronic payment and transaction delivery systems. Transactions processed span a network of 54,005 active ATMs and approximately 833,000 POS terminals. </w:t>
      </w:r>
    </w:p>
    <w:p>
      <w:pPr>
        <w:pStyle w:val="TextBody"/>
        <w:widowControl/>
        <w:bidi w:val="0"/>
        <w:spacing w:before="0" w:after="283"/>
        <w:ind w:left="0" w:right="0" w:hanging="0"/>
        <w:jc w:val="left"/>
        <w:rPr>
          <w:rFonts w:ascii="times new roman;times" w:hAnsi="times new roman;times"/>
          <w:b w:val="false"/>
          <w:i w:val="false"/>
          <w:caps w:val="false"/>
          <w:smallCaps w:val="false"/>
          <w:color w:val="000000"/>
          <w:spacing w:val="0"/>
          <w:sz w:val="20"/>
          <w:shd w:fill="FFFFFF" w:val="clear"/>
        </w:rPr>
      </w:pPr>
      <w:r>
        <w:rPr>
          <w:rFonts w:ascii="times new roman;times" w:hAnsi="times new roman;times"/>
          <w:b w:val="false"/>
          <w:i w:val="false"/>
          <w:caps w:val="false"/>
          <w:smallCaps w:val="false"/>
          <w:color w:val="000000"/>
          <w:spacing w:val="0"/>
          <w:sz w:val="20"/>
          <w:shd w:fill="FFFFFF" w:val="clear"/>
        </w:rPr>
        <w:t xml:space="preserve">2)  </w:t>
      </w:r>
      <w:r>
        <w:rPr>
          <w:rFonts w:ascii="Times New Roman;serif" w:hAnsi="Times New Roman;serif"/>
          <w:b w:val="false"/>
          <w:i w:val="false"/>
          <w:caps w:val="false"/>
          <w:smallCaps w:val="false"/>
          <w:color w:val="000000"/>
          <w:spacing w:val="0"/>
          <w:sz w:val="20"/>
          <w:shd w:fill="FFFFFF" w:val="clear"/>
        </w:rPr>
        <w:t xml:space="preserve">The epay Segment </w:t>
      </w:r>
      <w:r>
        <w:rPr>
          <w:rFonts w:ascii="Times New Roman;serif" w:hAnsi="Times New Roman;serif"/>
          <w:b w:val="false"/>
          <w:i w:val="false"/>
          <w:caps w:val="false"/>
          <w:smallCaps w:val="false"/>
          <w:color w:val="000000"/>
          <w:spacing w:val="0"/>
          <w:sz w:val="20"/>
          <w:shd w:fill="FFFFFF" w:val="clear"/>
        </w:rPr>
        <w:t xml:space="preserve">provides retail payment solutions and delivers innovative connections between the digital content of the world’s leading brands and consumers. epay has one of the largest retail networks across Europe and Asia for the distribution of physical and digital third-party content, including branded payments, mobile, and alternative payments, partnering with 1,000+ of the world’s leading brands. In addition, through our own products, we have leveraged our technology to solve business challenges, delivering scalable solutions to drive efficiency and effectiveness. Our comprehensive range of consumer products simplifies transactions and provides financial convenience across a wide range of branded payments. epay operates in 60+ countries. We operate a network that includes approximately 794,000 POS terminals that enable electronic processing of prepaid mobile airtime "top-up" services and other digital media content. </w:t>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shd w:fill="FFFFFF" w:val="clear"/>
        </w:rPr>
      </w:pPr>
      <w:r>
        <w:rPr>
          <w:rFonts w:ascii="times new roman;times" w:hAnsi="times new roman;times"/>
          <w:b w:val="false"/>
          <w:i w:val="false"/>
          <w:caps w:val="false"/>
          <w:smallCaps w:val="false"/>
          <w:color w:val="000000"/>
          <w:spacing w:val="0"/>
          <w:sz w:val="20"/>
          <w:shd w:fill="FFFFFF" w:val="clear"/>
        </w:rPr>
        <w:t xml:space="preserve">3)  </w:t>
      </w:r>
      <w:r>
        <w:rPr>
          <w:rFonts w:ascii="Times New Roman;serif" w:hAnsi="Times New Roman;serif"/>
          <w:b w:val="false"/>
          <w:i w:val="false"/>
          <w:caps w:val="false"/>
          <w:smallCaps w:val="false"/>
          <w:color w:val="000000"/>
          <w:spacing w:val="0"/>
          <w:sz w:val="20"/>
          <w:shd w:fill="FFFFFF" w:val="clear"/>
        </w:rPr>
        <w:t xml:space="preserve">The Money Transfer Segment </w:t>
      </w:r>
      <w:r>
        <w:rPr>
          <w:rFonts w:ascii="Times New Roman;serif" w:hAnsi="Times New Roman;serif"/>
          <w:b w:val="false"/>
          <w:i w:val="false"/>
          <w:caps w:val="false"/>
          <w:smallCaps w:val="false"/>
          <w:color w:val="000000"/>
          <w:spacing w:val="0"/>
          <w:sz w:val="20"/>
          <w:shd w:fill="FFFFFF" w:val="clear"/>
        </w:rPr>
        <w:t>provides global money transfers and currency exchange information in retail stores, apps, and websites through Ria Money Transfer, Xe and the Dandelion cross-border real-time payments network. Euronet’s Money Transfer segment offers real-time, cross-border payments to consumers and businesses across 198 countries and territories, enabling banks, fintechs and big tech platforms to integrate an international payments solution into their own platforms. Ria Money Transfer offers real-time international money transfers with a special focus on emerging markets. In addition, Ria offers safe and affordable money transfers through a global network of cash locations and online, serving over 20 million customers annually. Xe offers web and app-based currency information and industry-leading consumer and business cross-border money transfer services. Customers can send money, buy property overseas, and execute other international payments via the Xe website or app. Dandelion offers consumer and business transaction processing and fulfillment with alternative payout channels like bank accounts, cash pick-up and mobile wallets. Dandelion powers cross-border payments for Xe and Ria, as well as third party banks, fintechs, and big tech platforms.</w:t>
      </w:r>
    </w:p>
    <w:p>
      <w:pPr>
        <w:pStyle w:val="TextBody"/>
        <w:widowControl/>
        <w:bidi w:val="0"/>
        <w:spacing w:lineRule="atLeast" w:line="240" w:before="0" w:after="0"/>
        <w:jc w:val="left"/>
        <w:rPr>
          <w:sz w:val="20"/>
        </w:rPr>
      </w:pPr>
      <w:r>
        <w:rPr>
          <w:sz w:val="20"/>
        </w:rPr>
      </w:r>
    </w:p>
    <w:p>
      <w:pPr>
        <w:pStyle w:val="TextBody"/>
        <w:widowControl/>
        <w:bidi w:val="0"/>
        <w:spacing w:before="0" w:after="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We have six processing centers in Europe, seven in Asia Pacific and two in North America. We have 36 principal offices in Europe, 14 in Asia Pacific, 10 in North America, three in the Middle East, two in South America and one in Africa. Our executive offices are located in Leawood, Kansas, USA. With approximately 74% of our revenues denominated in currencies other than the U.S. dollar, any significant changes in foreign currency exchange rates will likely have a significant impact on our results of operations (for a further discussion, see Item 1A - Risk Factors in our Annual Report on Form 10-K for the year ended December 31, 2023).</w:t>
      </w:r>
    </w:p>
    <w:p>
      <w:pPr>
        <w:pStyle w:val="TextBody"/>
        <w:widowControl/>
        <w:bidi w:val="0"/>
        <w:spacing w:lineRule="atLeast" w:line="240" w:before="0" w:after="0"/>
        <w:jc w:val="left"/>
        <w:rPr>
          <w:sz w:val="20"/>
        </w:rPr>
      </w:pPr>
      <w:r>
        <w:rPr>
          <w:sz w:val="20"/>
        </w:rPr>
      </w:r>
    </w:p>
    <w:p>
      <w:pPr>
        <w:pStyle w:val="TextBody"/>
        <w:widowControl/>
        <w:bidi w:val="0"/>
        <w:spacing w:before="0" w:after="0"/>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SOURCES OF REVENUES AND CASH FLOW</w:t>
      </w:r>
    </w:p>
    <w:p>
      <w:pPr>
        <w:pStyle w:val="TextBody"/>
        <w:widowControl/>
        <w:bidi w:val="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br/>
      </w:r>
      <w:r>
        <w:rPr>
          <w:rFonts w:ascii="times new roman;times" w:hAnsi="times new roman;times"/>
          <w:b w:val="false"/>
          <w:i w:val="false"/>
          <w:caps w:val="false"/>
          <w:smallCaps w:val="false"/>
          <w:color w:val="000000"/>
          <w:spacing w:val="0"/>
          <w:sz w:val="20"/>
          <w:shd w:fill="FFFFFF" w:val="clear"/>
        </w:rPr>
        <w:t>Euronet earns revenues and income primarily from ATM management fees, transaction fees, commissions and foreign currency exchange margin. Each operating segment’s sources of revenues are described below.</w:t>
        <w:br/>
      </w:r>
      <w:r>
        <w:rPr>
          <w:rFonts w:ascii="Times New Roman" w:hAnsi="Times New Roman"/>
          <w:b w:val="false"/>
          <w:i w:val="false"/>
          <w:caps w:val="false"/>
          <w:smallCaps w:val="false"/>
          <w:color w:val="000000"/>
          <w:spacing w:val="0"/>
          <w:sz w:val="20"/>
        </w:rPr>
        <w:br/>
      </w:r>
      <w:r>
        <w:rPr>
          <w:rFonts w:ascii="times new roman;times" w:hAnsi="times new roman;times"/>
          <w:b w:val="false"/>
          <w:i/>
          <w:caps w:val="false"/>
          <w:smallCaps w:val="false"/>
          <w:color w:val="000000"/>
          <w:spacing w:val="0"/>
          <w:sz w:val="20"/>
          <w:shd w:fill="FFFFFF" w:val="clear"/>
        </w:rPr>
        <w:t>EFT Processing Segment</w:t>
      </w:r>
      <w:r>
        <w:rPr>
          <w:rFonts w:ascii="times new roman;times" w:hAnsi="times new roman;times"/>
          <w:b w:val="false"/>
          <w:i w:val="false"/>
          <w:caps w:val="false"/>
          <w:smallCaps w:val="false"/>
          <w:color w:val="000000"/>
          <w:spacing w:val="0"/>
          <w:sz w:val="20"/>
          <w:shd w:fill="FFFFFF" w:val="clear"/>
        </w:rPr>
        <w:t> — Revenues in the EFT Processing Segment, which represented approximately 31% and 28% of total consolidated revenues for the three and six months ended June 30, 2024 are derived from fees charged for transactions made by cardholders on our proprietary network of ATMs, fixed management fees and transaction fees we charge to customers for operating ATMs and processing debit and credit cards under outsourcing and cross-border acquiring agreements, foreign currency exchange margin on DCC transactions, domestic and international surcharge, foreign currency dispensing and other value added services such as advertising, prepaid telecommunication recharges, bill payment, and money transfers provided over ATMs. Revenues in this segment are also derived from cardless payment, banknote recycling, tax refund services, license fees, professional services and maintenance fees for proprietary application software and sales of related hardware.</w:t>
      </w:r>
      <w:r>
        <w:rPr>
          <w:rFonts w:ascii="Times New Roman" w:hAnsi="Times New Roman"/>
          <w:b w:val="false"/>
          <w:i w:val="false"/>
          <w:caps w:val="false"/>
          <w:smallCaps w:val="false"/>
          <w:color w:val="000000"/>
          <w:spacing w:val="0"/>
          <w:sz w:val="20"/>
        </w:rPr>
        <w:t xml:space="preserve"> </w:t>
      </w:r>
    </w:p>
    <w:p>
      <w:pPr>
        <w:pStyle w:val="TextBody"/>
        <w:widowControl/>
        <w:bidi w:val="0"/>
        <w:spacing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16" w:type="dxa"/>
        <w:jc w:val="left"/>
        <w:tblInd w:w="0" w:type="dxa"/>
        <w:tblLayout w:type="fixed"/>
        <w:tblCellMar>
          <w:top w:w="0" w:type="dxa"/>
          <w:left w:w="0" w:type="dxa"/>
          <w:bottom w:w="0" w:type="dxa"/>
          <w:right w:w="0" w:type="dxa"/>
        </w:tblCellMar>
      </w:tblPr>
      <w:tblGrid>
        <w:gridCol w:w="316"/>
      </w:tblGrid>
      <w:tr>
        <w:trPr/>
        <w:tc>
          <w:tcPr>
            <w:tcW w:w="31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25</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before="0" w:after="0"/>
        <w:jc w:val="left"/>
        <w:rPr>
          <w:sz w:val="20"/>
        </w:rPr>
      </w:pPr>
      <w:r>
        <w:rPr>
          <w:sz w:val="20"/>
        </w:rPr>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caps w:val="false"/>
          <w:smallCaps w:val="false"/>
          <w:color w:val="000000"/>
          <w:spacing w:val="0"/>
          <w:sz w:val="20"/>
        </w:rPr>
        <w:br/>
        <w:t>epay Segment</w:t>
      </w:r>
      <w:r>
        <w:rPr>
          <w:rFonts w:ascii="times new roman;times" w:hAnsi="times new roman;times"/>
          <w:b w:val="false"/>
          <w:i w:val="false"/>
          <w:caps w:val="false"/>
          <w:smallCaps w:val="false"/>
          <w:color w:val="000000"/>
          <w:spacing w:val="0"/>
          <w:sz w:val="20"/>
        </w:rPr>
        <w:t xml:space="preserve"> —  </w:t>
      </w:r>
      <w:r>
        <w:rPr>
          <w:rFonts w:ascii="Times New Roman;serif" w:hAnsi="Times New Roman;serif"/>
          <w:b w:val="false"/>
          <w:i w:val="false"/>
          <w:caps w:val="false"/>
          <w:smallCaps w:val="false"/>
          <w:color w:val="000000"/>
          <w:spacing w:val="0"/>
          <w:sz w:val="20"/>
        </w:rPr>
        <w:t>Revenues in the epay Segment, which represented approximately 26% and 28% of total consolidated revenues for the three and six months ended June 30, 2024 are primarily derived from commissions or processing fees received from mobile phone operators for the processing and distribution of prepaid mobile airtime and commissions earned from the distribution of other electronic content, vouchers, and physical gifts. The proportion of epay Segment revenues earned from the distribution of prepaid mobile phone time as compared with other electronic products has decreased over time, and digital media content now produces approximately 66% of epay Segment revenues. Other electronic content offered by this segment includes digital content such as music, games, and software, as well as other products including prepaid long distance calling card plans, prepaid Internet plans, prepaid debit cards, gift cards, vouchers, transport payments, lottery payments, bill payment, and money transfer.</w:t>
      </w:r>
      <w:r>
        <w:rPr>
          <w:rFonts w:ascii="times new roman;times" w:hAnsi="times new roman;times"/>
          <w:b w:val="false"/>
          <w:i w:val="false"/>
          <w:caps w:val="false"/>
          <w:smallCaps w:val="false"/>
          <w:color w:val="000000"/>
          <w:spacing w:val="0"/>
          <w:sz w:val="20"/>
        </w:rPr>
        <w:t xml:space="preserve"> </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caps w:val="false"/>
          <w:smallCaps w:val="false"/>
          <w:color w:val="000000"/>
          <w:spacing w:val="0"/>
          <w:sz w:val="20"/>
        </w:rPr>
        <w:t>Money Transfer Segment</w:t>
      </w:r>
      <w:r>
        <w:rPr>
          <w:rFonts w:ascii="times new roman;times" w:hAnsi="times new roman;times"/>
          <w:b w:val="false"/>
          <w:i w:val="false"/>
          <w:caps w:val="false"/>
          <w:smallCaps w:val="false"/>
          <w:color w:val="000000"/>
          <w:spacing w:val="0"/>
          <w:sz w:val="20"/>
        </w:rPr>
        <w:t xml:space="preserve"> — </w:t>
      </w:r>
      <w:r>
        <w:rPr>
          <w:rFonts w:ascii="Times New Roman;serif" w:hAnsi="Times New Roman;serif"/>
          <w:b w:val="false"/>
          <w:i w:val="false"/>
          <w:caps w:val="false"/>
          <w:smallCaps w:val="false"/>
          <w:color w:val="000000"/>
          <w:spacing w:val="0"/>
          <w:sz w:val="20"/>
        </w:rPr>
        <w:t>Revenues in the Money Transfer Segment, which represented approximately 43% and 44% of total consolidated revenues for the three and six months ended June 30, 2024, respectively, are primarily derived from transaction fees, as well as the margin earned from purchasing foreign currency at wholesale exchange rates and selling the foreign currency to customers at retail exchange rates. We have a sending agent network in place comprised of agents, customer service representatives, Company-owned stores, primarily in North America, Europe and Malaysia, Ria, and xe branded websites, along with a worldwide network of correspondent agents, consisting primarily of financial institutions in the transfer destination countries. Under the brand "Dandelion", Ria offers payment processing services to third party partners. The Dandelion cross-border payments platform provides financial institutions, fintechs such as digital wallets and banks, and enterprise software companies access to Euronet's money transfer network through an API connection. Sending and correspondent agents each earn fees for cash collection and distribution services, which are recognized as direct operating costs at the time of sale.</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times" w:hAnsi="times new roman;times"/>
          <w:b w:val="false"/>
          <w:i/>
          <w:caps w:val="false"/>
          <w:smallCaps w:val="false"/>
          <w:color w:val="000000"/>
          <w:spacing w:val="0"/>
          <w:sz w:val="20"/>
        </w:rPr>
        <w:t>Corporate Services, Eliminations and Other</w:t>
      </w:r>
      <w:r>
        <w:rPr>
          <w:rFonts w:ascii="times new roman;times" w:hAnsi="times new roman;times"/>
          <w:b w:val="false"/>
          <w:i w:val="false"/>
          <w:caps w:val="false"/>
          <w:smallCaps w:val="false"/>
          <w:color w:val="000000"/>
          <w:spacing w:val="0"/>
          <w:sz w:val="20"/>
        </w:rPr>
        <w:t> — In addition to operating in our principal operating segments described above, our “Corporate Services, Eliminations and Other” category includes non-operating activity, certain inter-segment eliminations and the cost of providing corporate and other administrative services to the operating segments, including most share-based compensation expense. These services are not directly identifiable with our reportable operating segments.</w:t>
        <w:br/>
        <w:t> </w:t>
      </w:r>
      <w:r>
        <w:rPr>
          <w:rFonts w:ascii="Times New Roman" w:hAnsi="Times New Roman"/>
          <w:b w:val="false"/>
          <w:i w:val="false"/>
          <w:caps w:val="false"/>
          <w:smallCaps w:val="false"/>
          <w:color w:val="000000"/>
          <w:spacing w:val="0"/>
          <w:sz w:val="20"/>
        </w:rPr>
        <w:br/>
      </w:r>
      <w:r>
        <w:rPr>
          <w:rFonts w:ascii="times new roman;times" w:hAnsi="times new roman;times"/>
          <w:b/>
          <w:i w:val="false"/>
          <w:caps w:val="false"/>
          <w:smallCaps w:val="false"/>
          <w:color w:val="000000"/>
          <w:spacing w:val="0"/>
          <w:sz w:val="20"/>
        </w:rPr>
        <w:t>Opportunities and Challenges</w:t>
        <w:br/>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br/>
      </w:r>
      <w:r>
        <w:rPr>
          <w:rFonts w:ascii="times new roman;times" w:hAnsi="times new roman;times"/>
          <w:b w:val="false"/>
          <w:i w:val="false"/>
          <w:caps w:val="false"/>
          <w:smallCaps w:val="false"/>
          <w:color w:val="000000"/>
          <w:spacing w:val="0"/>
          <w:sz w:val="20"/>
        </w:rPr>
        <w:t>The global product markets in which we operate are large and fragmented, which poses both opportunities and challenges for our technology to disrupt new and existing competition. As an organization, our focus is on increasing our market presence through both physical (ATMs, POS terminals, Company stores and agent correspondents) and digital assets and providing new and improved products and services for customers through all of our channels, which may in turn drive an increase in the number of transactions on our networks. Each of these opportunities also presents us with challenges, including differentiating our portfolio of products and services in highly competitive markets, the successful development and implementation of our software products and access to financing for expansion.</w:t>
        <w:br/>
        <w:t> </w:t>
      </w:r>
      <w:r>
        <w:rPr>
          <w:rFonts w:ascii="Times New Roman" w:hAnsi="Times New Roman"/>
          <w:b w:val="false"/>
          <w:i w:val="false"/>
          <w:caps w:val="false"/>
          <w:smallCaps w:val="false"/>
          <w:color w:val="000000"/>
          <w:spacing w:val="0"/>
          <w:sz w:val="20"/>
        </w:rPr>
        <w:br/>
      </w:r>
      <w:r>
        <w:rPr>
          <w:rFonts w:ascii="times new roman;times" w:hAnsi="times new roman;times"/>
          <w:b w:val="false"/>
          <w:i w:val="false"/>
          <w:caps w:val="false"/>
          <w:smallCaps w:val="false"/>
          <w:color w:val="000000"/>
          <w:spacing w:val="0"/>
          <w:sz w:val="20"/>
        </w:rPr>
        <w:t>1</w:t>
      </w:r>
      <w:r>
        <w:rPr>
          <w:rFonts w:ascii="times new roman;times" w:hAnsi="times new roman;times"/>
          <w:b w:val="false"/>
          <w:i w:val="false"/>
          <w:caps w:val="false"/>
          <w:smallCaps w:val="false"/>
          <w:color w:val="000000"/>
          <w:spacing w:val="0"/>
          <w:sz w:val="20"/>
        </w:rPr>
        <w:t>) The EFT Processing Segment opportunities include physical expansion into target markets, developing value-added products or services, increasing high value DCC and surcharge transactions and efficiently leveraging our portfolio of software solutions. Our opportunities are dependent on renewing and expanding our card acceptance, ATM, POS and merchant acquiring services, cash supply and other commercial agreements with customers and financial institutions. Operational challenges in the EFT Processing Segment include obtaining and maintaining the required licenses and sponsorship agreements in markets in which we operate and navigating frequently changing rules imposed by international card organizations, such as Visa</w:t>
      </w:r>
      <w:r>
        <w:rPr>
          <w:rFonts w:ascii="times new roman;times" w:hAnsi="times new roman;times"/>
          <w:b w:val="false"/>
          <w:i w:val="false"/>
          <w:caps w:val="false"/>
          <w:smallCaps w:val="false"/>
          <w:color w:val="000000"/>
          <w:spacing w:val="0"/>
          <w:sz w:val="16"/>
        </w:rPr>
        <w:t>®</w:t>
      </w:r>
      <w:r>
        <w:rPr>
          <w:rFonts w:ascii="times new roman;times" w:hAnsi="times new roman;times"/>
          <w:b w:val="false"/>
          <w:i w:val="false"/>
          <w:caps w:val="false"/>
          <w:smallCaps w:val="false"/>
          <w:color w:val="000000"/>
          <w:spacing w:val="0"/>
          <w:sz w:val="20"/>
        </w:rPr>
        <w:t> and Mastercard</w:t>
      </w:r>
      <w:r>
        <w:rPr>
          <w:rFonts w:ascii="times new roman;times" w:hAnsi="times new roman;times"/>
          <w:b w:val="false"/>
          <w:i w:val="false"/>
          <w:caps w:val="false"/>
          <w:smallCaps w:val="false"/>
          <w:color w:val="000000"/>
          <w:spacing w:val="0"/>
          <w:sz w:val="16"/>
        </w:rPr>
        <w:t>®,</w:t>
      </w:r>
      <w:r>
        <w:rPr>
          <w:rFonts w:ascii="times new roman;times" w:hAnsi="times new roman;times"/>
          <w:b w:val="false"/>
          <w:i w:val="false"/>
          <w:caps w:val="false"/>
          <w:smallCaps w:val="false"/>
          <w:color w:val="000000"/>
          <w:spacing w:val="0"/>
          <w:sz w:val="20"/>
        </w:rPr>
        <w:t xml:space="preserve"> that govern ATM interchange fees, direct access fees and other restrictions. Our profitability is dependent on the laws and regulations that govern DCC transactions, specifically in the E.U., as well as the laws and regulations of each country in which we operate. These laws and regulations may impact our cross-border and cross-currency transactions. The timing and amount of revenues in the EFT Processing Segment is uncertain and unpredictable due to inherent limitations in managing our estate of ATMs. Our ATM estate is dependent on contracts that cover large numbers of ATMs, and management is complicated by legal and regulatory considerations of local countries, as well as customers' decisions whether to outsource ATMs. Inflationary pressure may impact our business as travelers have less cash available to spend on vacations. </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16" w:type="dxa"/>
        <w:jc w:val="left"/>
        <w:tblInd w:w="0" w:type="dxa"/>
        <w:tblLayout w:type="fixed"/>
        <w:tblCellMar>
          <w:top w:w="0" w:type="dxa"/>
          <w:left w:w="0" w:type="dxa"/>
          <w:bottom w:w="0" w:type="dxa"/>
          <w:right w:w="0" w:type="dxa"/>
        </w:tblCellMar>
      </w:tblPr>
      <w:tblGrid>
        <w:gridCol w:w="316"/>
      </w:tblGrid>
      <w:tr>
        <w:trPr/>
        <w:tc>
          <w:tcPr>
            <w:tcW w:w="31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26</w:t>
            </w:r>
          </w:p>
        </w:tc>
      </w:tr>
    </w:tbl>
    <w:p>
      <w:pPr>
        <w:pStyle w:val="TextBody"/>
        <w:widowControl/>
        <w:bidi w:val="0"/>
        <w:jc w:val="left"/>
        <w:rPr>
          <w:caps w:val="false"/>
          <w:smallCaps w:val="false"/>
          <w:color w:val="000000"/>
          <w:spacing w:val="0"/>
        </w:rPr>
      </w:pPr>
      <w:r>
        <w:rPr>
          <w:caps w:val="false"/>
          <w:smallCaps w:val="false"/>
          <w:color w:val="000000"/>
          <w:spacing w:val="0"/>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widowControl/>
        <w:bidi w:val="0"/>
        <w:jc w:val="left"/>
        <w:rPr/>
      </w:pPr>
      <w:r>
        <w:rPr/>
      </w:r>
    </w:p>
    <w:p>
      <w:pPr>
        <w:pStyle w:val="TextBody"/>
        <w:widowControl/>
        <w:bidi w:val="0"/>
        <w:spacing w:before="0" w:after="0"/>
        <w:jc w:val="left"/>
        <w:rPr>
          <w:sz w:val="20"/>
        </w:rPr>
      </w:pPr>
      <w:r>
        <w:rPr>
          <w:sz w:val="20"/>
        </w:rPr>
      </w:r>
    </w:p>
    <w:p>
      <w:pPr>
        <w:pStyle w:val="TextBody"/>
        <w:widowControl/>
        <w:bidi w:val="0"/>
        <w:ind w:left="0" w:right="0" w:hanging="36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br/>
        <w:t>2) The epay Segment opportunities include renewing existing and negotiating new agreements in target markets in which we operate, primarily with digital content providers, mobile operators, financial institutions and retailers. The overall growth rate in the digital media content and prepaid mobile phone markets shifts between prepaid and postpaid services, and our market share in those respective markets will have a significant impact on our ability to maintain and grow the epay Segment revenues. There is significant competition in these markets that may impact our ability to grow organically and increase the margin we earn and the margin that we pay to retailers. The profitability of the epay Segment is dependent on our ability to adapt to new technologies that may compete with POS distribution of digital content and prepaid mobile airtime, as well as our ability to leverage cross-selling opportunities with our EFT and Money Transfer Segments. The epay Segment opportunities may be impacted by government-imposed restrictions on retailers and/or content providers with whom we partner in countries in which we have a presence, and corresponding licensure requirements mandated upon such parties to legally operate in such countries. </w:t>
      </w:r>
    </w:p>
    <w:p>
      <w:pPr>
        <w:pStyle w:val="TextBody"/>
        <w:bidi w:val="0"/>
        <w:spacing w:lineRule="auto" w:line="288" w:before="0" w:after="0"/>
        <w:ind w:left="0" w:right="0" w:hanging="0"/>
        <w:jc w:val="both"/>
        <w:rPr/>
      </w:pPr>
      <w:r>
        <w:rPr/>
        <w:t> </w:t>
      </w:r>
    </w:p>
    <w:p>
      <w:pPr>
        <w:pStyle w:val="TextBody"/>
        <w:widowControl/>
        <w:bidi w:val="0"/>
        <w:spacing w:before="0" w:after="0"/>
        <w:ind w:left="0" w:right="0" w:hanging="360"/>
        <w:jc w:val="left"/>
        <w:rPr>
          <w:rFonts w:ascii="Times New Roman" w:hAnsi="Times New Roman"/>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3) The Money Transfer Segment opportunities include expanding our portfolio of products and services to new and existing customers around the globe, which in turn may lead to an increase in transaction volumes. The opportunities to expand are contingent on our ability to effectively leverage our network of bank accounts for digital money transfer delivery, maintaining our physical agent network, cross selling opportunities with our EFT and epay Segments and our penetration into high growth money transfer corridors. The challenges inherent in these opportunities include maintaining compliance with all regulatory requirements, maintaining all required licenses, ensuring the recoverability of funds advanced to agents and the continued reliance on the technologies required to operate our business. The volume of transactions processed on our network is impacted by shifts in our customer base, which can change rapidly with worker migration patterns and changes in unbanked populations across the globe. Foreign regulations that impact cross-border migration patterns and the money transfer markets can significantly impact our ability to grow the number of transactions on our network. </w:t>
        <w:br/>
      </w:r>
      <w:r>
        <w:rPr>
          <w:rFonts w:ascii="Times New Roman" w:hAnsi="Times New Roman"/>
          <w:b w:val="false"/>
          <w:i w:val="false"/>
          <w:caps w:val="false"/>
          <w:smallCaps w:val="false"/>
          <w:color w:val="000000"/>
          <w:spacing w:val="0"/>
          <w:sz w:val="20"/>
        </w:rPr>
        <w:br/>
      </w:r>
      <w:r>
        <w:rPr>
          <w:rFonts w:ascii="times new roman;times" w:hAnsi="times new roman;times"/>
          <w:b w:val="false"/>
          <w:i w:val="false"/>
          <w:caps w:val="false"/>
          <w:smallCaps w:val="false"/>
          <w:color w:val="000000"/>
          <w:spacing w:val="0"/>
          <w:sz w:val="20"/>
        </w:rPr>
        <w:t>For all segments, our continued expansion may involve additional acquisitions that could divert our resources and management time and require integration of new assets with our existing networks and services. Our ability to effectively manage our growth has required us to expand our operating systems and employee base, particularly at the management level, which has added incremental operating costs. An inability to continue to effectively manage expansion could have a material adverse effect on our business, growth, financial condition or results of operations. Inadequate technology and resources would impair our ability to maintain current processing technology and efficiencies, as well as deliver new and innovative services to compete in the marketplace. Recently, inflation has been increasing our cost structure in many parts of the world in which we operate.</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16" w:type="dxa"/>
        <w:jc w:val="left"/>
        <w:tblInd w:w="0" w:type="dxa"/>
        <w:tblLayout w:type="fixed"/>
        <w:tblCellMar>
          <w:top w:w="0" w:type="dxa"/>
          <w:left w:w="0" w:type="dxa"/>
          <w:bottom w:w="0" w:type="dxa"/>
          <w:right w:w="0" w:type="dxa"/>
        </w:tblCellMar>
      </w:tblPr>
      <w:tblGrid>
        <w:gridCol w:w="316"/>
      </w:tblGrid>
      <w:tr>
        <w:trPr/>
        <w:tc>
          <w:tcPr>
            <w:tcW w:w="31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27</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before="0" w:after="0"/>
        <w:jc w:val="left"/>
        <w:rPr>
          <w:sz w:val="20"/>
        </w:rPr>
      </w:pPr>
      <w:r>
        <w:rPr>
          <w:sz w:val="20"/>
        </w:rPr>
      </w:r>
    </w:p>
    <w:p>
      <w:pPr>
        <w:pStyle w:val="TextBody"/>
        <w:widowControl/>
        <w:bidi w:val="0"/>
        <w:spacing w:lineRule="atLeast" w:line="240" w:before="0" w:after="0"/>
        <w:ind w:left="0" w:right="0" w:hanging="0"/>
        <w:jc w:val="left"/>
        <w:rPr>
          <w:sz w:val="20"/>
        </w:rPr>
      </w:pPr>
      <w:r>
        <w:rPr>
          <w:sz w:val="20"/>
        </w:rPr>
      </w:r>
    </w:p>
    <w:p>
      <w:pPr>
        <w:pStyle w:val="TextBody"/>
        <w:widowControl/>
        <w:bidi w:val="0"/>
        <w:ind w:left="0" w:right="0" w:hanging="0"/>
        <w:jc w:val="left"/>
        <w:rPr>
          <w:rFonts w:ascii="Times New Roman" w:hAnsi="Times New Roman"/>
          <w:b w:val="false"/>
          <w:i w:val="false"/>
          <w:caps w:val="false"/>
          <w:smallCaps w:val="false"/>
          <w:color w:val="000000"/>
          <w:spacing w:val="0"/>
          <w:sz w:val="20"/>
        </w:rPr>
      </w:pPr>
      <w:r>
        <w:rPr>
          <w:rFonts w:ascii="times new roman;times" w:hAnsi="times new roman;times"/>
          <w:b/>
          <w:i w:val="false"/>
          <w:caps w:val="false"/>
          <w:smallCaps w:val="false"/>
          <w:color w:val="000000"/>
          <w:spacing w:val="0"/>
          <w:sz w:val="20"/>
        </w:rPr>
        <w:t>SEGMENT SUMMARY RESULTS OF OPERATIONS</w:t>
        <w:br/>
      </w:r>
      <w:r>
        <w:rPr>
          <w:rFonts w:ascii="Times New Roman" w:hAnsi="Times New Roman"/>
          <w:b w:val="false"/>
          <w:i w:val="false"/>
          <w:caps w:val="false"/>
          <w:smallCaps w:val="false"/>
          <w:color w:val="000000"/>
          <w:spacing w:val="0"/>
          <w:sz w:val="20"/>
        </w:rPr>
        <w:br/>
      </w:r>
      <w:r>
        <w:rPr>
          <w:rFonts w:ascii="times new roman;times" w:hAnsi="times new roman;times"/>
          <w:b w:val="false"/>
          <w:i w:val="false"/>
          <w:caps w:val="false"/>
          <w:smallCaps w:val="false"/>
          <w:color w:val="000000"/>
          <w:spacing w:val="0"/>
          <w:sz w:val="20"/>
        </w:rPr>
        <w:t>Revenues and operating income by segment for the </w:t>
      </w:r>
      <w:r>
        <w:rPr>
          <w:rFonts w:ascii="times new roman;times" w:hAnsi="times new roman;times"/>
          <w:b w:val="false"/>
          <w:i w:val="false"/>
          <w:caps w:val="false"/>
          <w:smallCaps w:val="false"/>
          <w:color w:val="000000"/>
          <w:spacing w:val="0"/>
          <w:sz w:val="20"/>
        </w:rPr>
        <w:t>three and six</w:t>
      </w:r>
      <w:r>
        <w:rPr>
          <w:rFonts w:ascii="times new roman;times" w:hAnsi="times new roman;times"/>
          <w:b w:val="false"/>
          <w:i w:val="false"/>
          <w:caps w:val="false"/>
          <w:smallCaps w:val="false"/>
          <w:color w:val="000000"/>
          <w:spacing w:val="0"/>
          <w:sz w:val="20"/>
        </w:rPr>
        <w:t> months ended </w:t>
      </w:r>
      <w:r>
        <w:rPr>
          <w:rFonts w:ascii="times new roman;times" w:hAnsi="times new roman;times"/>
          <w:b w:val="false"/>
          <w:i w:val="false"/>
          <w:caps w:val="false"/>
          <w:smallCaps w:val="false"/>
          <w:strike w:val="false"/>
          <w:dstrike w:val="false"/>
          <w:color w:val="000000"/>
          <w:spacing w:val="0"/>
          <w:sz w:val="20"/>
          <w:u w:val="none"/>
          <w:effect w:val="none"/>
        </w:rPr>
        <w:t>June 30, 2024</w:t>
      </w:r>
      <w:r>
        <w:rPr>
          <w:rFonts w:ascii="times new roman;times" w:hAnsi="times new roman;times"/>
          <w:b w:val="false"/>
          <w:i w:val="false"/>
          <w:caps w:val="false"/>
          <w:smallCaps w:val="false"/>
          <w:color w:val="000000"/>
          <w:spacing w:val="0"/>
          <w:sz w:val="20"/>
        </w:rPr>
        <w:t> and </w:t>
      </w:r>
      <w:r>
        <w:rPr>
          <w:rFonts w:ascii="times new roman;times" w:hAnsi="times new roman;times"/>
          <w:b w:val="false"/>
          <w:i w:val="false"/>
          <w:caps w:val="false"/>
          <w:smallCaps w:val="false"/>
          <w:strike w:val="false"/>
          <w:dstrike w:val="false"/>
          <w:color w:val="000000"/>
          <w:spacing w:val="0"/>
          <w:sz w:val="20"/>
          <w:u w:val="none"/>
          <w:effect w:val="none"/>
        </w:rPr>
        <w:t>2023</w:t>
      </w:r>
      <w:r>
        <w:rPr>
          <w:rFonts w:ascii="times new roman;times" w:hAnsi="times new roman;times"/>
          <w:b w:val="false"/>
          <w:i w:val="false"/>
          <w:caps w:val="false"/>
          <w:smallCaps w:val="false"/>
          <w:color w:val="000000"/>
          <w:spacing w:val="0"/>
          <w:sz w:val="20"/>
        </w:rPr>
        <w:t> are summarized in the tables below:</w:t>
      </w:r>
    </w:p>
    <w:p>
      <w:pPr>
        <w:pStyle w:val="TextBody"/>
        <w:bidi w:val="0"/>
        <w:spacing w:lineRule="auto" w:line="288" w:before="0" w:after="0"/>
        <w:ind w:left="0" w:right="0" w:hanging="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10205" w:type="dxa"/>
        <w:jc w:val="left"/>
        <w:tblInd w:w="0" w:type="dxa"/>
        <w:tblLayout w:type="fixed"/>
        <w:tblCellMar>
          <w:top w:w="0" w:type="dxa"/>
          <w:left w:w="0" w:type="dxa"/>
          <w:bottom w:w="0" w:type="dxa"/>
          <w:right w:w="0" w:type="dxa"/>
        </w:tblCellMar>
      </w:tblPr>
      <w:tblGrid>
        <w:gridCol w:w="1941"/>
        <w:gridCol w:w="60"/>
        <w:gridCol w:w="171"/>
        <w:gridCol w:w="666"/>
        <w:gridCol w:w="130"/>
        <w:gridCol w:w="82"/>
        <w:gridCol w:w="171"/>
        <w:gridCol w:w="666"/>
        <w:gridCol w:w="130"/>
        <w:gridCol w:w="60"/>
        <w:gridCol w:w="239"/>
        <w:gridCol w:w="619"/>
        <w:gridCol w:w="151"/>
        <w:gridCol w:w="77"/>
        <w:gridCol w:w="588"/>
        <w:gridCol w:w="422"/>
        <w:gridCol w:w="23"/>
        <w:gridCol w:w="23"/>
        <w:gridCol w:w="157"/>
        <w:gridCol w:w="833"/>
        <w:gridCol w:w="106"/>
        <w:gridCol w:w="25"/>
        <w:gridCol w:w="157"/>
        <w:gridCol w:w="833"/>
        <w:gridCol w:w="106"/>
        <w:gridCol w:w="23"/>
        <w:gridCol w:w="185"/>
        <w:gridCol w:w="742"/>
        <w:gridCol w:w="125"/>
        <w:gridCol w:w="24"/>
        <w:gridCol w:w="339"/>
        <w:gridCol w:w="281"/>
        <w:gridCol w:w="50"/>
      </w:tblGrid>
      <w:tr>
        <w:trPr/>
        <w:tc>
          <w:tcPr>
            <w:tcW w:w="1941"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0"/>
              <w:jc w:val="left"/>
              <w:rPr/>
            </w:pPr>
            <w:r>
              <w:rPr/>
              <w:t> </w:t>
            </w:r>
          </w:p>
        </w:tc>
        <w:tc>
          <w:tcPr>
            <w:tcW w:w="2016" w:type="dxa"/>
            <w:gridSpan w:val="7"/>
            <w:tcBorders/>
            <w:vAlign w:val="bottom"/>
          </w:tcPr>
          <w:p>
            <w:pPr>
              <w:pStyle w:val="TableContents"/>
              <w:bidi w:val="0"/>
              <w:spacing w:lineRule="auto" w:line="288" w:before="0" w:after="0"/>
              <w:ind w:left="0" w:right="0" w:hanging="0"/>
              <w:jc w:val="center"/>
              <w:rPr>
                <w:rFonts w:ascii="times new roman;times" w:hAnsi="times new roman;times"/>
                <w:b/>
                <w:sz w:val="16"/>
              </w:rPr>
            </w:pPr>
            <w:r>
              <w:rPr>
                <w:rFonts w:ascii="times new roman;times" w:hAnsi="times new roman;times"/>
                <w:b/>
                <w:sz w:val="16"/>
              </w:rPr>
              <w:t xml:space="preserve">Revenues for the </w:t>
            </w:r>
            <w:r>
              <w:rPr>
                <w:rFonts w:ascii="times new roman;times" w:hAnsi="times new roman;times"/>
                <w:b/>
                <w:sz w:val="16"/>
              </w:rPr>
              <w:t>Three Months Ended</w:t>
            </w:r>
            <w:r>
              <w:rPr>
                <w:rFonts w:ascii="times new roman;times" w:hAnsi="times new roman;times"/>
                <w:b/>
                <w:sz w:val="16"/>
              </w:rPr>
              <w:t xml:space="preserve"> </w:t>
            </w:r>
          </w:p>
          <w:p>
            <w:pPr>
              <w:pStyle w:val="TableContents"/>
              <w:bidi w:val="0"/>
              <w:spacing w:lineRule="auto" w:line="288" w:before="0" w:after="0"/>
              <w:ind w:left="0" w:right="0" w:hanging="0"/>
              <w:jc w:val="center"/>
              <w:rPr>
                <w:rFonts w:ascii="times new roman;times" w:hAnsi="times new roman;times"/>
                <w:b/>
                <w:sz w:val="16"/>
              </w:rPr>
            </w:pPr>
            <w:r>
              <w:rPr>
                <w:rFonts w:ascii="times new roman;times" w:hAnsi="times new roman;times"/>
                <w:b/>
                <w:sz w:val="16"/>
              </w:rPr>
              <w:t>June 30,</w:t>
            </w:r>
          </w:p>
        </w:tc>
        <w:tc>
          <w:tcPr>
            <w:tcW w:w="60" w:type="dxa"/>
            <w:tcBorders/>
            <w:vAlign w:val="bottom"/>
          </w:tcPr>
          <w:p>
            <w:pPr>
              <w:pStyle w:val="TableContents"/>
              <w:bidi w:val="0"/>
              <w:spacing w:before="0" w:after="0"/>
              <w:jc w:val="left"/>
              <w:rPr/>
            </w:pPr>
            <w:r>
              <w:rPr/>
              <w:t> </w:t>
            </w:r>
          </w:p>
        </w:tc>
        <w:tc>
          <w:tcPr>
            <w:tcW w:w="2096" w:type="dxa"/>
            <w:gridSpan w:val="6"/>
            <w:tcBorders/>
            <w:vAlign w:val="bottom"/>
          </w:tcPr>
          <w:p>
            <w:pPr>
              <w:pStyle w:val="TableContents"/>
              <w:bidi w:val="0"/>
              <w:spacing w:before="0" w:after="0"/>
              <w:jc w:val="center"/>
              <w:rPr>
                <w:rFonts w:ascii="times new roman;times" w:hAnsi="times new roman;times"/>
                <w:b/>
                <w:sz w:val="16"/>
              </w:rPr>
            </w:pPr>
            <w:r>
              <w:rPr>
                <w:rFonts w:ascii="times new roman;times" w:hAnsi="times new roman;times"/>
                <w:b/>
                <w:sz w:val="16"/>
              </w:rPr>
              <w:t>Year-over-Year Change</w:t>
            </w:r>
          </w:p>
        </w:tc>
        <w:tc>
          <w:tcPr>
            <w:tcW w:w="23"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pPr>
            <w:r>
              <w:rPr/>
            </w:r>
          </w:p>
        </w:tc>
        <w:tc>
          <w:tcPr>
            <w:tcW w:w="2217" w:type="dxa"/>
            <w:gridSpan w:val="7"/>
            <w:tcBorders/>
            <w:vAlign w:val="center"/>
          </w:tcPr>
          <w:p>
            <w:pPr>
              <w:pStyle w:val="TableContents"/>
              <w:bidi w:val="0"/>
              <w:spacing w:lineRule="auto" w:line="288" w:before="0" w:after="0"/>
              <w:ind w:left="0" w:right="0" w:hanging="0"/>
              <w:jc w:val="center"/>
              <w:rPr>
                <w:rFonts w:ascii="times new roman;times" w:hAnsi="times new roman;times"/>
                <w:b/>
                <w:sz w:val="16"/>
              </w:rPr>
            </w:pPr>
            <w:r>
              <w:rPr>
                <w:rFonts w:ascii="times new roman;times" w:hAnsi="times new roman;times"/>
                <w:b/>
                <w:sz w:val="16"/>
              </w:rPr>
              <w:t>Revenues for the Six Months Ended</w:t>
            </w:r>
          </w:p>
          <w:p>
            <w:pPr>
              <w:pStyle w:val="TableContents"/>
              <w:bidi w:val="0"/>
              <w:spacing w:lineRule="auto" w:line="288" w:before="0" w:after="0"/>
              <w:ind w:left="0" w:right="0" w:hanging="0"/>
              <w:jc w:val="center"/>
              <w:rPr>
                <w:rFonts w:ascii="times new roman;times" w:hAnsi="times new roman;times"/>
                <w:b/>
                <w:sz w:val="16"/>
              </w:rPr>
            </w:pPr>
            <w:r>
              <w:rPr>
                <w:rFonts w:ascii="times new roman;times" w:hAnsi="times new roman;times"/>
                <w:b/>
                <w:sz w:val="16"/>
              </w:rPr>
              <w:t>June 30,</w:t>
            </w:r>
          </w:p>
        </w:tc>
        <w:tc>
          <w:tcPr>
            <w:tcW w:w="23" w:type="dxa"/>
            <w:tcBorders/>
            <w:vAlign w:val="center"/>
          </w:tcPr>
          <w:p>
            <w:pPr>
              <w:pStyle w:val="TableContents"/>
              <w:bidi w:val="0"/>
              <w:spacing w:before="0" w:after="283"/>
              <w:jc w:val="left"/>
              <w:rPr/>
            </w:pPr>
            <w:r>
              <w:rPr/>
            </w:r>
          </w:p>
        </w:tc>
        <w:tc>
          <w:tcPr>
            <w:tcW w:w="1696" w:type="dxa"/>
            <w:gridSpan w:val="6"/>
            <w:tcBorders/>
            <w:vAlign w:val="center"/>
          </w:tcPr>
          <w:p>
            <w:pPr>
              <w:pStyle w:val="TableContents"/>
              <w:widowControl/>
              <w:bidi w:val="0"/>
              <w:spacing w:before="0" w:after="283"/>
              <w:ind w:left="0" w:right="0" w:hanging="0"/>
              <w:jc w:val="center"/>
              <w:rPr>
                <w:rFonts w:ascii="times new roman;times" w:hAnsi="times new roman;times"/>
                <w:b/>
                <w:color w:val="000000"/>
                <w:spacing w:val="0"/>
                <w:sz w:val="15"/>
              </w:rPr>
            </w:pPr>
            <w:r>
              <w:rPr>
                <w:rFonts w:ascii="times new roman;times" w:hAnsi="times new roman;times"/>
                <w:b/>
                <w:color w:val="000000"/>
                <w:spacing w:val="0"/>
                <w:sz w:val="15"/>
              </w:rPr>
              <w:t>Year-over-Year Change</w:t>
            </w:r>
          </w:p>
        </w:tc>
        <w:tc>
          <w:tcPr>
            <w:tcW w:w="50" w:type="dxa"/>
            <w:tcBorders/>
            <w:vAlign w:val="center"/>
          </w:tcPr>
          <w:p>
            <w:pPr>
              <w:pStyle w:val="TableContents"/>
              <w:bidi w:val="0"/>
              <w:spacing w:before="0" w:after="283"/>
              <w:jc w:val="left"/>
              <w:rPr/>
            </w:pPr>
            <w:r>
              <w:rPr/>
            </w:r>
          </w:p>
        </w:tc>
      </w:tr>
      <w:tr>
        <w:trPr/>
        <w:tc>
          <w:tcPr>
            <w:tcW w:w="1941" w:type="dxa"/>
            <w:tcBorders/>
            <w:vAlign w:val="bottom"/>
          </w:tcPr>
          <w:p>
            <w:pPr>
              <w:pStyle w:val="TableContents"/>
              <w:bidi w:val="0"/>
              <w:spacing w:before="0" w:after="0"/>
              <w:jc w:val="left"/>
              <w:rPr>
                <w:rFonts w:ascii="times new roman;times" w:hAnsi="times new roman;times"/>
                <w:sz w:val="16"/>
              </w:rPr>
            </w:pPr>
            <w:r>
              <w:rPr>
                <w:rFonts w:ascii="times new roman;times" w:hAnsi="times new roman;times"/>
                <w:sz w:val="16"/>
              </w:rPr>
              <w:t>(dollar amounts in millions)</w:t>
            </w:r>
          </w:p>
        </w:tc>
        <w:tc>
          <w:tcPr>
            <w:tcW w:w="60" w:type="dxa"/>
            <w:tcBorders/>
            <w:vAlign w:val="bottom"/>
          </w:tcPr>
          <w:p>
            <w:pPr>
              <w:pStyle w:val="TableContents"/>
              <w:bidi w:val="0"/>
              <w:spacing w:before="0" w:after="0"/>
              <w:jc w:val="left"/>
              <w:rPr/>
            </w:pPr>
            <w:r>
              <w:rPr/>
              <w:t> </w:t>
            </w:r>
          </w:p>
        </w:tc>
        <w:tc>
          <w:tcPr>
            <w:tcW w:w="967" w:type="dxa"/>
            <w:gridSpan w:val="3"/>
            <w:tcBorders/>
            <w:vAlign w:val="bottom"/>
          </w:tcPr>
          <w:p>
            <w:pPr>
              <w:pStyle w:val="TableContents"/>
              <w:bidi w:val="0"/>
              <w:spacing w:before="0" w:after="0"/>
              <w:jc w:val="center"/>
              <w:rPr>
                <w:rFonts w:ascii="times new roman;times" w:hAnsi="times new roman;times"/>
                <w:b/>
                <w:sz w:val="16"/>
              </w:rPr>
            </w:pPr>
            <w:r>
              <w:rPr>
                <w:rFonts w:ascii="times new roman;times" w:hAnsi="times new roman;times"/>
                <w:b/>
                <w:sz w:val="16"/>
              </w:rPr>
              <w:t>2024</w:t>
            </w:r>
          </w:p>
        </w:tc>
        <w:tc>
          <w:tcPr>
            <w:tcW w:w="82" w:type="dxa"/>
            <w:tcBorders/>
            <w:vAlign w:val="bottom"/>
          </w:tcPr>
          <w:p>
            <w:pPr>
              <w:pStyle w:val="TableContents"/>
              <w:bidi w:val="0"/>
              <w:spacing w:before="0" w:after="0"/>
              <w:jc w:val="center"/>
              <w:rPr/>
            </w:pPr>
            <w:r>
              <w:rPr/>
              <w:t> </w:t>
            </w:r>
          </w:p>
        </w:tc>
        <w:tc>
          <w:tcPr>
            <w:tcW w:w="967" w:type="dxa"/>
            <w:gridSpan w:val="3"/>
            <w:tcBorders/>
            <w:vAlign w:val="bottom"/>
          </w:tcPr>
          <w:p>
            <w:pPr>
              <w:pStyle w:val="TableContents"/>
              <w:bidi w:val="0"/>
              <w:spacing w:before="0" w:after="0"/>
              <w:jc w:val="center"/>
              <w:rPr>
                <w:rFonts w:ascii="times new roman;times" w:hAnsi="times new roman;times"/>
                <w:b/>
                <w:sz w:val="16"/>
              </w:rPr>
            </w:pPr>
            <w:r>
              <w:rPr>
                <w:rFonts w:ascii="times new roman;times" w:hAnsi="times new roman;times"/>
                <w:b/>
                <w:sz w:val="16"/>
              </w:rPr>
              <w:t>2023</w:t>
            </w:r>
          </w:p>
        </w:tc>
        <w:tc>
          <w:tcPr>
            <w:tcW w:w="60" w:type="dxa"/>
            <w:tcBorders/>
            <w:vAlign w:val="bottom"/>
          </w:tcPr>
          <w:p>
            <w:pPr>
              <w:pStyle w:val="TableContents"/>
              <w:bidi w:val="0"/>
              <w:spacing w:before="0" w:after="0"/>
              <w:jc w:val="left"/>
              <w:rPr/>
            </w:pPr>
            <w:r>
              <w:rPr/>
              <w:t> </w:t>
            </w:r>
          </w:p>
        </w:tc>
        <w:tc>
          <w:tcPr>
            <w:tcW w:w="1009" w:type="dxa"/>
            <w:gridSpan w:val="3"/>
            <w:tcBorders/>
            <w:vAlign w:val="bottom"/>
          </w:tcPr>
          <w:p>
            <w:pPr>
              <w:pStyle w:val="TableContents"/>
              <w:bidi w:val="0"/>
              <w:spacing w:before="0" w:after="0"/>
              <w:jc w:val="center"/>
              <w:rPr>
                <w:rFonts w:ascii="times new roman;times" w:hAnsi="times new roman;times"/>
                <w:b/>
                <w:sz w:val="16"/>
              </w:rPr>
            </w:pPr>
            <w:r>
              <w:rPr>
                <w:rFonts w:ascii="times new roman;times" w:hAnsi="times new roman;times"/>
                <w:b/>
                <w:sz w:val="16"/>
              </w:rPr>
              <w:t>Increase (Decrease)</w:t>
            </w:r>
          </w:p>
          <w:p>
            <w:pPr>
              <w:pStyle w:val="TableContents"/>
              <w:bidi w:val="0"/>
              <w:spacing w:before="0" w:after="0"/>
              <w:jc w:val="center"/>
              <w:rPr>
                <w:rFonts w:ascii="times new roman;times" w:hAnsi="times new roman;times"/>
                <w:b/>
                <w:sz w:val="16"/>
              </w:rPr>
            </w:pPr>
            <w:r>
              <w:rPr>
                <w:rFonts w:ascii="times new roman;times" w:hAnsi="times new roman;times"/>
                <w:b/>
                <w:sz w:val="16"/>
              </w:rPr>
              <w:t>Amount</w:t>
            </w:r>
          </w:p>
        </w:tc>
        <w:tc>
          <w:tcPr>
            <w:tcW w:w="77" w:type="dxa"/>
            <w:tcBorders/>
            <w:vAlign w:val="bottom"/>
          </w:tcPr>
          <w:p>
            <w:pPr>
              <w:pStyle w:val="TableContents"/>
              <w:bidi w:val="0"/>
              <w:spacing w:before="0" w:after="0"/>
              <w:jc w:val="left"/>
              <w:rPr/>
            </w:pPr>
            <w:r>
              <w:rPr/>
              <w:t> </w:t>
            </w:r>
          </w:p>
        </w:tc>
        <w:tc>
          <w:tcPr>
            <w:tcW w:w="1010" w:type="dxa"/>
            <w:gridSpan w:val="2"/>
            <w:tcBorders/>
            <w:vAlign w:val="bottom"/>
          </w:tcPr>
          <w:p>
            <w:pPr>
              <w:pStyle w:val="TableContents"/>
              <w:bidi w:val="0"/>
              <w:spacing w:before="0" w:after="0"/>
              <w:jc w:val="center"/>
              <w:rPr>
                <w:rFonts w:ascii="times new roman;times" w:hAnsi="times new roman;times"/>
                <w:b/>
                <w:sz w:val="16"/>
              </w:rPr>
            </w:pPr>
            <w:r>
              <w:rPr>
                <w:rFonts w:ascii="times new roman;times" w:hAnsi="times new roman;times"/>
                <w:b/>
                <w:sz w:val="16"/>
              </w:rPr>
              <w:t>Increase (Decrease)</w:t>
            </w:r>
          </w:p>
          <w:p>
            <w:pPr>
              <w:pStyle w:val="TableContents"/>
              <w:bidi w:val="0"/>
              <w:spacing w:before="0" w:after="0"/>
              <w:jc w:val="center"/>
              <w:rPr>
                <w:rFonts w:ascii="times new roman;times" w:hAnsi="times new roman;times"/>
                <w:b/>
                <w:sz w:val="16"/>
              </w:rPr>
            </w:pPr>
            <w:r>
              <w:rPr>
                <w:rFonts w:ascii="times new roman;times" w:hAnsi="times new roman;times"/>
                <w:b/>
                <w:sz w:val="16"/>
              </w:rPr>
              <w:t>Percent</w:t>
            </w:r>
          </w:p>
        </w:tc>
        <w:tc>
          <w:tcPr>
            <w:tcW w:w="23"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pPr>
            <w:r>
              <w:rPr/>
            </w:r>
          </w:p>
        </w:tc>
        <w:tc>
          <w:tcPr>
            <w:tcW w:w="1096" w:type="dxa"/>
            <w:gridSpan w:val="3"/>
            <w:tcBorders/>
            <w:vAlign w:val="center"/>
          </w:tcPr>
          <w:p>
            <w:pPr>
              <w:pStyle w:val="TableContents"/>
              <w:bidi w:val="0"/>
              <w:spacing w:before="0" w:after="283"/>
              <w:jc w:val="center"/>
              <w:rPr>
                <w:b/>
                <w:sz w:val="16"/>
              </w:rPr>
            </w:pPr>
            <w:r>
              <w:rPr>
                <w:b/>
                <w:sz w:val="16"/>
              </w:rPr>
              <w:t>2024</w:t>
            </w:r>
          </w:p>
        </w:tc>
        <w:tc>
          <w:tcPr>
            <w:tcW w:w="25" w:type="dxa"/>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center"/>
              <w:rPr>
                <w:b/>
                <w:sz w:val="16"/>
              </w:rPr>
            </w:pPr>
            <w:r>
              <w:rPr>
                <w:b/>
                <w:sz w:val="16"/>
              </w:rPr>
              <w:t>2023</w:t>
            </w:r>
          </w:p>
        </w:tc>
        <w:tc>
          <w:tcPr>
            <w:tcW w:w="23" w:type="dxa"/>
            <w:tcBorders/>
            <w:vAlign w:val="center"/>
          </w:tcPr>
          <w:p>
            <w:pPr>
              <w:pStyle w:val="TableContents"/>
              <w:bidi w:val="0"/>
              <w:spacing w:before="0" w:after="283"/>
              <w:jc w:val="left"/>
              <w:rPr/>
            </w:pPr>
            <w:r>
              <w:rPr/>
            </w:r>
          </w:p>
        </w:tc>
        <w:tc>
          <w:tcPr>
            <w:tcW w:w="1052" w:type="dxa"/>
            <w:gridSpan w:val="3"/>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Increase (Decrease)</w:t>
            </w:r>
          </w:p>
          <w:p>
            <w:pPr>
              <w:pStyle w:val="TableContents"/>
              <w:bidi w:val="0"/>
              <w:spacing w:before="0" w:after="0"/>
              <w:jc w:val="center"/>
              <w:rPr>
                <w:rFonts w:ascii="times new roman;times" w:hAnsi="times new roman;times"/>
                <w:b/>
                <w:sz w:val="16"/>
              </w:rPr>
            </w:pPr>
            <w:r>
              <w:rPr>
                <w:rFonts w:ascii="times new roman;times" w:hAnsi="times new roman;times"/>
                <w:b/>
                <w:sz w:val="16"/>
              </w:rPr>
              <w:t>Amount</w:t>
            </w:r>
          </w:p>
        </w:tc>
        <w:tc>
          <w:tcPr>
            <w:tcW w:w="24" w:type="dxa"/>
            <w:tcBorders/>
            <w:vAlign w:val="center"/>
          </w:tcPr>
          <w:p>
            <w:pPr>
              <w:pStyle w:val="TableContents"/>
              <w:bidi w:val="0"/>
              <w:spacing w:before="0" w:after="283"/>
              <w:jc w:val="left"/>
              <w:rPr/>
            </w:pPr>
            <w:r>
              <w:rPr/>
            </w:r>
          </w:p>
        </w:tc>
        <w:tc>
          <w:tcPr>
            <w:tcW w:w="620" w:type="dxa"/>
            <w:gridSpan w:val="2"/>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Increase</w:t>
            </w:r>
          </w:p>
          <w:p>
            <w:pPr>
              <w:pStyle w:val="TableContents"/>
              <w:bidi w:val="0"/>
              <w:spacing w:before="0" w:after="0"/>
              <w:jc w:val="center"/>
              <w:rPr>
                <w:rFonts w:ascii="times new roman;times" w:hAnsi="times new roman;times"/>
                <w:b/>
                <w:sz w:val="16"/>
              </w:rPr>
            </w:pPr>
            <w:r>
              <w:rPr>
                <w:rFonts w:ascii="times new roman;times" w:hAnsi="times new roman;times"/>
                <w:b/>
                <w:sz w:val="16"/>
              </w:rPr>
              <w:t>Percent</w:t>
            </w:r>
          </w:p>
        </w:tc>
        <w:tc>
          <w:tcPr>
            <w:tcW w:w="50" w:type="dxa"/>
            <w:tcBorders/>
            <w:vAlign w:val="center"/>
          </w:tcPr>
          <w:p>
            <w:pPr>
              <w:pStyle w:val="TableContents"/>
              <w:bidi w:val="0"/>
              <w:spacing w:before="0" w:after="283"/>
              <w:jc w:val="left"/>
              <w:rPr/>
            </w:pPr>
            <w:r>
              <w:rPr/>
            </w:r>
          </w:p>
        </w:tc>
      </w:tr>
      <w:tr>
        <w:trPr/>
        <w:tc>
          <w:tcPr>
            <w:tcW w:w="1941" w:type="dxa"/>
            <w:tcBorders/>
            <w:shd w:fill="CCEEFF" w:val="clear"/>
            <w:vAlign w:val="bottom"/>
          </w:tcPr>
          <w:p>
            <w:pPr>
              <w:pStyle w:val="TableContents"/>
              <w:bidi w:val="0"/>
              <w:spacing w:before="0" w:after="0"/>
              <w:jc w:val="left"/>
              <w:rPr>
                <w:rFonts w:ascii="times new roman;times" w:hAnsi="times new roman;times"/>
                <w:sz w:val="20"/>
              </w:rPr>
            </w:pPr>
            <w:r>
              <w:rPr>
                <w:rFonts w:ascii="times new roman;times" w:hAnsi="times new roman;times"/>
                <w:sz w:val="20"/>
              </w:rPr>
              <w:t>EFT Processing</w:t>
            </w:r>
          </w:p>
        </w:tc>
        <w:tc>
          <w:tcPr>
            <w:tcW w:w="60" w:type="dxa"/>
            <w:tcBorders/>
            <w:shd w:fill="CCEEFF" w:val="clear"/>
            <w:vAlign w:val="bottom"/>
          </w:tcPr>
          <w:p>
            <w:pPr>
              <w:pStyle w:val="TableContents"/>
              <w:bidi w:val="0"/>
              <w:spacing w:before="0" w:after="0"/>
              <w:jc w:val="left"/>
              <w:rPr/>
            </w:pPr>
            <w:r>
              <w:rPr/>
              <w:t> </w:t>
            </w:r>
          </w:p>
        </w:tc>
        <w:tc>
          <w:tcPr>
            <w:tcW w:w="171" w:type="dxa"/>
            <w:tcBorders/>
            <w:shd w:fill="CCEEFF" w:val="clear"/>
            <w:vAlign w:val="bottom"/>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666" w:type="dxa"/>
            <w:tcBorders/>
            <w:shd w:fill="CCEEFF" w:val="clear"/>
            <w:vAlign w:val="bottom"/>
          </w:tcPr>
          <w:p>
            <w:pPr>
              <w:pStyle w:val="TableContents"/>
              <w:bidi w:val="0"/>
              <w:spacing w:before="0" w:after="0"/>
              <w:jc w:val="right"/>
              <w:rPr>
                <w:rFonts w:ascii="times new roman;times" w:hAnsi="times new roman;times"/>
                <w:sz w:val="20"/>
              </w:rPr>
            </w:pPr>
            <w:r>
              <w:rPr>
                <w:rFonts w:ascii="times new roman;times" w:hAnsi="times new roman;times"/>
                <w:sz w:val="20"/>
              </w:rPr>
              <w:t>305.4</w:t>
            </w:r>
          </w:p>
        </w:tc>
        <w:tc>
          <w:tcPr>
            <w:tcW w:w="130" w:type="dxa"/>
            <w:tcBorders/>
            <w:shd w:fill="CCEEFF" w:val="clear"/>
            <w:vAlign w:val="bottom"/>
          </w:tcPr>
          <w:p>
            <w:pPr>
              <w:pStyle w:val="TableContents"/>
              <w:bidi w:val="0"/>
              <w:spacing w:before="0" w:after="283"/>
              <w:jc w:val="left"/>
              <w:rPr>
                <w:sz w:val="4"/>
                <w:szCs w:val="4"/>
              </w:rPr>
            </w:pPr>
            <w:r>
              <w:rPr>
                <w:sz w:val="4"/>
                <w:szCs w:val="4"/>
              </w:rPr>
            </w:r>
          </w:p>
        </w:tc>
        <w:tc>
          <w:tcPr>
            <w:tcW w:w="82" w:type="dxa"/>
            <w:tcBorders/>
            <w:shd w:fill="CCEEFF" w:val="clear"/>
            <w:vAlign w:val="bottom"/>
          </w:tcPr>
          <w:p>
            <w:pPr>
              <w:pStyle w:val="TableContents"/>
              <w:bidi w:val="0"/>
              <w:spacing w:before="0" w:after="0"/>
              <w:jc w:val="left"/>
              <w:rPr/>
            </w:pPr>
            <w:r>
              <w:rPr/>
              <w:t> </w:t>
            </w:r>
          </w:p>
        </w:tc>
        <w:tc>
          <w:tcPr>
            <w:tcW w:w="171" w:type="dxa"/>
            <w:tcBorders/>
            <w:shd w:fill="CCEEFF" w:val="clear"/>
            <w:vAlign w:val="bottom"/>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666" w:type="dxa"/>
            <w:tcBorders/>
            <w:shd w:fill="CCEEFF" w:val="clear"/>
            <w:vAlign w:val="bottom"/>
          </w:tcPr>
          <w:p>
            <w:pPr>
              <w:pStyle w:val="TableContents"/>
              <w:bidi w:val="0"/>
              <w:spacing w:before="0" w:after="0"/>
              <w:jc w:val="right"/>
              <w:rPr>
                <w:rFonts w:ascii="times new roman;times" w:hAnsi="times new roman;times"/>
                <w:sz w:val="20"/>
              </w:rPr>
            </w:pPr>
            <w:r>
              <w:rPr>
                <w:rFonts w:ascii="times new roman;times" w:hAnsi="times new roman;times"/>
                <w:sz w:val="20"/>
              </w:rPr>
              <w:t>282.4</w:t>
            </w:r>
          </w:p>
        </w:tc>
        <w:tc>
          <w:tcPr>
            <w:tcW w:w="1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0"/>
              <w:jc w:val="left"/>
              <w:rPr/>
            </w:pPr>
            <w:r>
              <w:rPr/>
              <w:t> </w:t>
            </w:r>
          </w:p>
        </w:tc>
        <w:tc>
          <w:tcPr>
            <w:tcW w:w="239" w:type="dxa"/>
            <w:tcBorders/>
            <w:shd w:fill="CCEEFF" w:val="clear"/>
            <w:vAlign w:val="bottom"/>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619" w:type="dxa"/>
            <w:tcBorders/>
            <w:shd w:fill="CCEEFF" w:val="clear"/>
            <w:vAlign w:val="bottom"/>
          </w:tcPr>
          <w:p>
            <w:pPr>
              <w:pStyle w:val="TableContents"/>
              <w:bidi w:val="0"/>
              <w:spacing w:before="0" w:after="0"/>
              <w:jc w:val="right"/>
              <w:rPr>
                <w:rFonts w:ascii="times new roman;times" w:hAnsi="times new roman;times"/>
                <w:sz w:val="20"/>
              </w:rPr>
            </w:pPr>
            <w:r>
              <w:rPr>
                <w:rFonts w:ascii="times new roman;times" w:hAnsi="times new roman;times"/>
                <w:sz w:val="20"/>
              </w:rPr>
              <w:t>23.0</w:t>
            </w:r>
          </w:p>
        </w:tc>
        <w:tc>
          <w:tcPr>
            <w:tcW w:w="151"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0"/>
              <w:jc w:val="left"/>
              <w:rPr/>
            </w:pPr>
            <w:r>
              <w:rPr/>
              <w:t> </w:t>
            </w:r>
          </w:p>
        </w:tc>
        <w:tc>
          <w:tcPr>
            <w:tcW w:w="588" w:type="dxa"/>
            <w:tcBorders/>
            <w:shd w:fill="CCEEFF" w:val="clear"/>
            <w:vAlign w:val="bottom"/>
          </w:tcPr>
          <w:p>
            <w:pPr>
              <w:pStyle w:val="TableContents"/>
              <w:bidi w:val="0"/>
              <w:spacing w:before="0" w:after="0"/>
              <w:jc w:val="right"/>
              <w:rPr>
                <w:rFonts w:ascii="times new roman;times" w:hAnsi="times new roman;times"/>
                <w:sz w:val="20"/>
              </w:rPr>
            </w:pPr>
            <w:r>
              <w:rPr>
                <w:rFonts w:ascii="times new roman;times" w:hAnsi="times new roman;times"/>
                <w:sz w:val="20"/>
              </w:rPr>
              <w:t>8</w:t>
            </w:r>
          </w:p>
        </w:tc>
        <w:tc>
          <w:tcPr>
            <w:tcW w:w="422" w:type="dxa"/>
            <w:tcBorders/>
            <w:shd w:fill="CCEE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23" w:type="dxa"/>
            <w:tcBorders/>
            <w:shd w:fill="CCEEFF" w:val="clear"/>
            <w:vAlign w:val="bottom"/>
          </w:tcPr>
          <w:p>
            <w:pPr>
              <w:pStyle w:val="TableContents"/>
              <w:bidi w:val="0"/>
              <w:spacing w:before="0" w:after="283"/>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pPr>
            <w:r>
              <w:rPr/>
            </w:r>
          </w:p>
        </w:tc>
        <w:tc>
          <w:tcPr>
            <w:tcW w:w="157" w:type="dxa"/>
            <w:tcBorders/>
            <w:shd w:fill="CCEEFF" w:val="clear"/>
            <w:vAlign w:val="center"/>
          </w:tcPr>
          <w:p>
            <w:pPr>
              <w:pStyle w:val="TableContents"/>
              <w:bidi w:val="0"/>
              <w:spacing w:before="0" w:after="283"/>
              <w:jc w:val="left"/>
              <w:rPr/>
            </w:pPr>
            <w:r>
              <w:rPr/>
              <w:t>$</w:t>
            </w:r>
          </w:p>
        </w:tc>
        <w:tc>
          <w:tcPr>
            <w:tcW w:w="833" w:type="dxa"/>
            <w:tcBorders/>
            <w:shd w:fill="CCEEFF" w:val="clear"/>
            <w:vAlign w:val="center"/>
          </w:tcPr>
          <w:p>
            <w:pPr>
              <w:pStyle w:val="TableContents"/>
              <w:bidi w:val="0"/>
              <w:spacing w:before="0" w:after="283"/>
              <w:jc w:val="right"/>
              <w:rPr/>
            </w:pPr>
            <w:r>
              <w:rPr/>
              <w:t>522.6</w:t>
            </w:r>
          </w:p>
        </w:tc>
        <w:tc>
          <w:tcPr>
            <w:tcW w:w="106" w:type="dxa"/>
            <w:tcBorders/>
            <w:shd w:fill="CCEEFF" w:val="clear"/>
            <w:vAlign w:val="center"/>
          </w:tcPr>
          <w:p>
            <w:pPr>
              <w:pStyle w:val="TableContents"/>
              <w:bidi w:val="0"/>
              <w:spacing w:before="0" w:after="283"/>
              <w:jc w:val="left"/>
              <w:rPr/>
            </w:pPr>
            <w:r>
              <w:rPr/>
            </w:r>
          </w:p>
        </w:tc>
        <w:tc>
          <w:tcPr>
            <w:tcW w:w="25" w:type="dxa"/>
            <w:tcBorders/>
            <w:shd w:fill="CCEEFF" w:val="clear"/>
            <w:vAlign w:val="center"/>
          </w:tcPr>
          <w:p>
            <w:pPr>
              <w:pStyle w:val="TableContents"/>
              <w:bidi w:val="0"/>
              <w:spacing w:before="0" w:after="283"/>
              <w:jc w:val="left"/>
              <w:rPr/>
            </w:pPr>
            <w:r>
              <w:rPr/>
            </w:r>
          </w:p>
        </w:tc>
        <w:tc>
          <w:tcPr>
            <w:tcW w:w="157" w:type="dxa"/>
            <w:tcBorders/>
            <w:shd w:fill="CCEEFF" w:val="clear"/>
            <w:vAlign w:val="center"/>
          </w:tcPr>
          <w:p>
            <w:pPr>
              <w:pStyle w:val="TableContents"/>
              <w:bidi w:val="0"/>
              <w:spacing w:before="0" w:after="283"/>
              <w:jc w:val="left"/>
              <w:rPr/>
            </w:pPr>
            <w:r>
              <w:rPr/>
              <w:t>$</w:t>
            </w:r>
          </w:p>
        </w:tc>
        <w:tc>
          <w:tcPr>
            <w:tcW w:w="833" w:type="dxa"/>
            <w:tcBorders/>
            <w:shd w:fill="CCEEFF" w:val="clear"/>
            <w:vAlign w:val="center"/>
          </w:tcPr>
          <w:p>
            <w:pPr>
              <w:pStyle w:val="TableContents"/>
              <w:bidi w:val="0"/>
              <w:spacing w:before="0" w:after="283"/>
              <w:jc w:val="right"/>
              <w:rPr/>
            </w:pPr>
            <w:r>
              <w:rPr/>
              <w:t>474.6</w:t>
            </w:r>
          </w:p>
        </w:tc>
        <w:tc>
          <w:tcPr>
            <w:tcW w:w="106"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185" w:type="dxa"/>
            <w:tcBorders/>
            <w:shd w:fill="CCEEFF" w:val="clear"/>
            <w:vAlign w:val="center"/>
          </w:tcPr>
          <w:p>
            <w:pPr>
              <w:pStyle w:val="TableContents"/>
              <w:bidi w:val="0"/>
              <w:spacing w:before="0" w:after="283"/>
              <w:jc w:val="left"/>
              <w:rPr/>
            </w:pPr>
            <w:r>
              <w:rPr/>
              <w:t>$</w:t>
            </w:r>
          </w:p>
        </w:tc>
        <w:tc>
          <w:tcPr>
            <w:tcW w:w="742" w:type="dxa"/>
            <w:tcBorders/>
            <w:shd w:fill="CCEEFF" w:val="clear"/>
            <w:vAlign w:val="center"/>
          </w:tcPr>
          <w:p>
            <w:pPr>
              <w:pStyle w:val="TableContents"/>
              <w:bidi w:val="0"/>
              <w:spacing w:before="0" w:after="283"/>
              <w:jc w:val="right"/>
              <w:rPr/>
            </w:pPr>
            <w:r>
              <w:rPr/>
              <w:t>48.0</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24" w:type="dxa"/>
            <w:tcBorders/>
            <w:shd w:fill="CCEEFF" w:val="clear"/>
            <w:vAlign w:val="center"/>
          </w:tcPr>
          <w:p>
            <w:pPr>
              <w:pStyle w:val="TableContents"/>
              <w:bidi w:val="0"/>
              <w:spacing w:before="0" w:after="283"/>
              <w:jc w:val="left"/>
              <w:rPr/>
            </w:pPr>
            <w:r>
              <w:rPr/>
            </w:r>
          </w:p>
        </w:tc>
        <w:tc>
          <w:tcPr>
            <w:tcW w:w="339" w:type="dxa"/>
            <w:tcBorders/>
            <w:shd w:fill="CCEEFF" w:val="clear"/>
            <w:vAlign w:val="center"/>
          </w:tcPr>
          <w:p>
            <w:pPr>
              <w:pStyle w:val="TableContents"/>
              <w:bidi w:val="0"/>
              <w:spacing w:before="0" w:after="283"/>
              <w:jc w:val="right"/>
              <w:rPr/>
            </w:pPr>
            <w:r>
              <w:rPr/>
              <w:t>10</w:t>
            </w:r>
          </w:p>
        </w:tc>
        <w:tc>
          <w:tcPr>
            <w:tcW w:w="281" w:type="dxa"/>
            <w:tcBorders/>
            <w:shd w:fill="CCEEFF" w:val="clear"/>
            <w:vAlign w:val="center"/>
          </w:tcPr>
          <w:p>
            <w:pPr>
              <w:pStyle w:val="TableContents"/>
              <w:bidi w:val="0"/>
              <w:spacing w:before="0" w:after="283"/>
              <w:jc w:val="left"/>
              <w:rPr/>
            </w:pPr>
            <w:r>
              <w:rPr/>
              <w:t>%</w:t>
            </w:r>
          </w:p>
        </w:tc>
        <w:tc>
          <w:tcPr>
            <w:tcW w:w="50" w:type="dxa"/>
            <w:tcBorders/>
            <w:shd w:fill="CCEEFF" w:val="clear"/>
            <w:vAlign w:val="center"/>
          </w:tcPr>
          <w:p>
            <w:pPr>
              <w:pStyle w:val="TableContents"/>
              <w:bidi w:val="0"/>
              <w:spacing w:before="0" w:after="283"/>
              <w:jc w:val="left"/>
              <w:rPr/>
            </w:pPr>
            <w:r>
              <w:rPr/>
            </w:r>
          </w:p>
        </w:tc>
      </w:tr>
      <w:tr>
        <w:trPr/>
        <w:tc>
          <w:tcPr>
            <w:tcW w:w="1941" w:type="dxa"/>
            <w:tcBorders/>
            <w:vAlign w:val="bottom"/>
          </w:tcPr>
          <w:p>
            <w:pPr>
              <w:pStyle w:val="TableContents"/>
              <w:bidi w:val="0"/>
              <w:spacing w:before="0" w:after="0"/>
              <w:jc w:val="left"/>
              <w:rPr>
                <w:rFonts w:ascii="times new roman;times" w:hAnsi="times new roman;times"/>
                <w:sz w:val="20"/>
              </w:rPr>
            </w:pPr>
            <w:r>
              <w:rPr>
                <w:rFonts w:ascii="times new roman;times" w:hAnsi="times new roman;times"/>
                <w:sz w:val="20"/>
              </w:rPr>
              <w:t>epay</w:t>
            </w:r>
          </w:p>
        </w:tc>
        <w:tc>
          <w:tcPr>
            <w:tcW w:w="60" w:type="dxa"/>
            <w:tcBorders/>
            <w:vAlign w:val="bottom"/>
          </w:tcPr>
          <w:p>
            <w:pPr>
              <w:pStyle w:val="TableContents"/>
              <w:bidi w:val="0"/>
              <w:spacing w:before="0" w:after="0"/>
              <w:jc w:val="left"/>
              <w:rPr/>
            </w:pPr>
            <w:r>
              <w:rPr/>
              <w:t> </w:t>
            </w:r>
          </w:p>
        </w:tc>
        <w:tc>
          <w:tcPr>
            <w:tcW w:w="837" w:type="dxa"/>
            <w:gridSpan w:val="2"/>
            <w:tcBorders/>
            <w:vAlign w:val="bottom"/>
          </w:tcPr>
          <w:p>
            <w:pPr>
              <w:pStyle w:val="TableContents"/>
              <w:bidi w:val="0"/>
              <w:spacing w:before="0" w:after="0"/>
              <w:jc w:val="right"/>
              <w:rPr>
                <w:rFonts w:ascii="times new roman;times" w:hAnsi="times new roman;times"/>
                <w:sz w:val="20"/>
              </w:rPr>
            </w:pPr>
            <w:r>
              <w:rPr>
                <w:rFonts w:ascii="times new roman;times" w:hAnsi="times new roman;times"/>
                <w:sz w:val="20"/>
              </w:rPr>
              <w:t>260.9</w:t>
            </w:r>
          </w:p>
        </w:tc>
        <w:tc>
          <w:tcPr>
            <w:tcW w:w="130"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0"/>
              <w:jc w:val="left"/>
              <w:rPr/>
            </w:pPr>
            <w:r>
              <w:rPr/>
              <w:t> </w:t>
            </w:r>
          </w:p>
        </w:tc>
        <w:tc>
          <w:tcPr>
            <w:tcW w:w="837" w:type="dxa"/>
            <w:gridSpan w:val="2"/>
            <w:tcBorders/>
            <w:vAlign w:val="bottom"/>
          </w:tcPr>
          <w:p>
            <w:pPr>
              <w:pStyle w:val="TableContents"/>
              <w:bidi w:val="0"/>
              <w:spacing w:before="0" w:after="0"/>
              <w:jc w:val="right"/>
              <w:rPr>
                <w:rFonts w:ascii="times new roman;times" w:hAnsi="times new roman;times"/>
                <w:sz w:val="20"/>
              </w:rPr>
            </w:pPr>
            <w:r>
              <w:rPr>
                <w:rFonts w:ascii="times new roman;times" w:hAnsi="times new roman;times"/>
                <w:sz w:val="20"/>
              </w:rPr>
              <w:t>263.8</w:t>
            </w:r>
          </w:p>
        </w:tc>
        <w:tc>
          <w:tcPr>
            <w:tcW w:w="1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0"/>
              <w:jc w:val="left"/>
              <w:rPr/>
            </w:pPr>
            <w:r>
              <w:rPr/>
              <w:t> </w:t>
            </w:r>
          </w:p>
        </w:tc>
        <w:tc>
          <w:tcPr>
            <w:tcW w:w="858" w:type="dxa"/>
            <w:gridSpan w:val="2"/>
            <w:tcBorders/>
            <w:vAlign w:val="bottom"/>
          </w:tcPr>
          <w:p>
            <w:pPr>
              <w:pStyle w:val="TableContents"/>
              <w:bidi w:val="0"/>
              <w:spacing w:before="0" w:after="0"/>
              <w:jc w:val="right"/>
              <w:rPr>
                <w:rFonts w:ascii="times new roman;times" w:hAnsi="times new roman;times"/>
                <w:sz w:val="20"/>
              </w:rPr>
            </w:pPr>
            <w:r>
              <w:rPr>
                <w:rFonts w:ascii="times new roman;times" w:hAnsi="times new roman;times"/>
                <w:sz w:val="20"/>
              </w:rPr>
              <w:t>(2.9</w:t>
            </w:r>
          </w:p>
        </w:tc>
        <w:tc>
          <w:tcPr>
            <w:tcW w:w="151" w:type="dxa"/>
            <w:tcBorders/>
            <w:vAlign w:val="bottom"/>
          </w:tcPr>
          <w:p>
            <w:pPr>
              <w:pStyle w:val="TableContents"/>
              <w:bidi w:val="0"/>
              <w:spacing w:before="0" w:after="283"/>
              <w:jc w:val="left"/>
              <w:rPr/>
            </w:pPr>
            <w:r>
              <w:rPr/>
              <w:t>)</w:t>
            </w:r>
          </w:p>
        </w:tc>
        <w:tc>
          <w:tcPr>
            <w:tcW w:w="77" w:type="dxa"/>
            <w:tcBorders/>
            <w:vAlign w:val="bottom"/>
          </w:tcPr>
          <w:p>
            <w:pPr>
              <w:pStyle w:val="TableContents"/>
              <w:bidi w:val="0"/>
              <w:spacing w:before="0" w:after="0"/>
              <w:jc w:val="left"/>
              <w:rPr/>
            </w:pPr>
            <w:r>
              <w:rPr/>
              <w:t> </w:t>
            </w:r>
          </w:p>
        </w:tc>
        <w:tc>
          <w:tcPr>
            <w:tcW w:w="588" w:type="dxa"/>
            <w:tcBorders/>
            <w:vAlign w:val="bottom"/>
          </w:tcPr>
          <w:p>
            <w:pPr>
              <w:pStyle w:val="TableContents"/>
              <w:bidi w:val="0"/>
              <w:spacing w:before="0" w:after="0"/>
              <w:jc w:val="right"/>
              <w:rPr>
                <w:rFonts w:ascii="times new roman;times" w:hAnsi="times new roman;times"/>
                <w:sz w:val="20"/>
              </w:rPr>
            </w:pPr>
            <w:r>
              <w:rPr>
                <w:rFonts w:ascii="times new roman;times" w:hAnsi="times new roman;times"/>
                <w:sz w:val="20"/>
              </w:rPr>
              <w:t>(1)</w:t>
            </w:r>
          </w:p>
        </w:tc>
        <w:tc>
          <w:tcPr>
            <w:tcW w:w="422" w:type="dxa"/>
            <w:tcBorders/>
            <w:vAlign w:val="bottom"/>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23"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pPr>
            <w:r>
              <w:rPr/>
            </w:r>
          </w:p>
        </w:tc>
        <w:tc>
          <w:tcPr>
            <w:tcW w:w="157" w:type="dxa"/>
            <w:tcBorders/>
            <w:vAlign w:val="center"/>
          </w:tcPr>
          <w:p>
            <w:pPr>
              <w:pStyle w:val="TableContents"/>
              <w:bidi w:val="0"/>
              <w:spacing w:before="0" w:after="283"/>
              <w:jc w:val="left"/>
              <w:rPr/>
            </w:pPr>
            <w:r>
              <w:rPr/>
            </w:r>
          </w:p>
        </w:tc>
        <w:tc>
          <w:tcPr>
            <w:tcW w:w="833" w:type="dxa"/>
            <w:tcBorders/>
            <w:vAlign w:val="center"/>
          </w:tcPr>
          <w:p>
            <w:pPr>
              <w:pStyle w:val="TableContents"/>
              <w:bidi w:val="0"/>
              <w:spacing w:before="0" w:after="283"/>
              <w:jc w:val="right"/>
              <w:rPr/>
            </w:pPr>
            <w:r>
              <w:rPr/>
              <w:t>518.0</w:t>
            </w:r>
          </w:p>
        </w:tc>
        <w:tc>
          <w:tcPr>
            <w:tcW w:w="106" w:type="dxa"/>
            <w:tcBorders/>
            <w:vAlign w:val="center"/>
          </w:tcPr>
          <w:p>
            <w:pPr>
              <w:pStyle w:val="TableContents"/>
              <w:bidi w:val="0"/>
              <w:spacing w:before="0" w:after="283"/>
              <w:jc w:val="left"/>
              <w:rPr/>
            </w:pPr>
            <w:r>
              <w:rPr/>
            </w:r>
          </w:p>
        </w:tc>
        <w:tc>
          <w:tcPr>
            <w:tcW w:w="25" w:type="dxa"/>
            <w:tcBorders/>
            <w:vAlign w:val="center"/>
          </w:tcPr>
          <w:p>
            <w:pPr>
              <w:pStyle w:val="TableContents"/>
              <w:bidi w:val="0"/>
              <w:spacing w:before="0" w:after="283"/>
              <w:jc w:val="left"/>
              <w:rPr/>
            </w:pPr>
            <w:r>
              <w:rPr/>
            </w:r>
          </w:p>
        </w:tc>
        <w:tc>
          <w:tcPr>
            <w:tcW w:w="157" w:type="dxa"/>
            <w:tcBorders/>
            <w:vAlign w:val="center"/>
          </w:tcPr>
          <w:p>
            <w:pPr>
              <w:pStyle w:val="TableContents"/>
              <w:bidi w:val="0"/>
              <w:spacing w:before="0" w:after="283"/>
              <w:jc w:val="left"/>
              <w:rPr/>
            </w:pPr>
            <w:r>
              <w:rPr/>
            </w:r>
          </w:p>
        </w:tc>
        <w:tc>
          <w:tcPr>
            <w:tcW w:w="833" w:type="dxa"/>
            <w:tcBorders/>
            <w:vAlign w:val="center"/>
          </w:tcPr>
          <w:p>
            <w:pPr>
              <w:pStyle w:val="TableContents"/>
              <w:bidi w:val="0"/>
              <w:spacing w:before="0" w:after="283"/>
              <w:jc w:val="right"/>
              <w:rPr/>
            </w:pPr>
            <w:r>
              <w:rPr/>
              <w:t>501.2</w:t>
            </w:r>
          </w:p>
        </w:tc>
        <w:tc>
          <w:tcPr>
            <w:tcW w:w="106"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pPr>
            <w:r>
              <w:rPr/>
            </w:r>
          </w:p>
        </w:tc>
        <w:tc>
          <w:tcPr>
            <w:tcW w:w="742" w:type="dxa"/>
            <w:tcBorders/>
            <w:vAlign w:val="center"/>
          </w:tcPr>
          <w:p>
            <w:pPr>
              <w:pStyle w:val="TableContents"/>
              <w:bidi w:val="0"/>
              <w:spacing w:before="0" w:after="283"/>
              <w:jc w:val="right"/>
              <w:rPr/>
            </w:pPr>
            <w:r>
              <w:rPr/>
              <w:t>16.8</w:t>
            </w:r>
          </w:p>
        </w:tc>
        <w:tc>
          <w:tcPr>
            <w:tcW w:w="125" w:type="dxa"/>
            <w:tcBorders/>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pPr>
            <w:r>
              <w:rPr/>
            </w:r>
          </w:p>
        </w:tc>
        <w:tc>
          <w:tcPr>
            <w:tcW w:w="339" w:type="dxa"/>
            <w:tcBorders/>
            <w:vAlign w:val="center"/>
          </w:tcPr>
          <w:p>
            <w:pPr>
              <w:pStyle w:val="TableContents"/>
              <w:bidi w:val="0"/>
              <w:spacing w:before="0" w:after="283"/>
              <w:jc w:val="right"/>
              <w:rPr/>
            </w:pPr>
            <w:r>
              <w:rPr/>
              <w:t>3</w:t>
            </w:r>
          </w:p>
        </w:tc>
        <w:tc>
          <w:tcPr>
            <w:tcW w:w="281" w:type="dxa"/>
            <w:tcBorders/>
            <w:vAlign w:val="center"/>
          </w:tcPr>
          <w:p>
            <w:pPr>
              <w:pStyle w:val="TableContents"/>
              <w:bidi w:val="0"/>
              <w:spacing w:before="0" w:after="283"/>
              <w:jc w:val="left"/>
              <w:rPr/>
            </w:pPr>
            <w:r>
              <w:rPr/>
              <w:t>%</w:t>
            </w:r>
          </w:p>
        </w:tc>
        <w:tc>
          <w:tcPr>
            <w:tcW w:w="50" w:type="dxa"/>
            <w:tcBorders/>
            <w:vAlign w:val="center"/>
          </w:tcPr>
          <w:p>
            <w:pPr>
              <w:pStyle w:val="TableContents"/>
              <w:bidi w:val="0"/>
              <w:spacing w:before="0" w:after="283"/>
              <w:jc w:val="left"/>
              <w:rPr/>
            </w:pPr>
            <w:r>
              <w:rPr/>
            </w:r>
          </w:p>
        </w:tc>
      </w:tr>
      <w:tr>
        <w:trPr/>
        <w:tc>
          <w:tcPr>
            <w:tcW w:w="1941" w:type="dxa"/>
            <w:tcBorders/>
            <w:shd w:fill="CCEEFF" w:val="clear"/>
            <w:vAlign w:val="bottom"/>
          </w:tcPr>
          <w:p>
            <w:pPr>
              <w:pStyle w:val="TableContents"/>
              <w:bidi w:val="0"/>
              <w:spacing w:before="0" w:after="0"/>
              <w:jc w:val="left"/>
              <w:rPr>
                <w:rFonts w:ascii="times new roman;times" w:hAnsi="times new roman;times"/>
                <w:sz w:val="20"/>
              </w:rPr>
            </w:pPr>
            <w:r>
              <w:rPr>
                <w:rFonts w:ascii="times new roman;times" w:hAnsi="times new roman;times"/>
                <w:sz w:val="20"/>
              </w:rPr>
              <w:t>Money Transfer </w:t>
            </w:r>
          </w:p>
        </w:tc>
        <w:tc>
          <w:tcPr>
            <w:tcW w:w="60" w:type="dxa"/>
            <w:tcBorders/>
            <w:shd w:fill="CCEEFF" w:val="clear"/>
            <w:vAlign w:val="bottom"/>
          </w:tcPr>
          <w:p>
            <w:pPr>
              <w:pStyle w:val="TableContents"/>
              <w:bidi w:val="0"/>
              <w:spacing w:before="0" w:after="0"/>
              <w:jc w:val="left"/>
              <w:rPr/>
            </w:pPr>
            <w:r>
              <w:rPr/>
              <w:t> </w:t>
            </w:r>
          </w:p>
        </w:tc>
        <w:tc>
          <w:tcPr>
            <w:tcW w:w="837" w:type="dxa"/>
            <w:gridSpan w:val="2"/>
            <w:tcBorders/>
            <w:shd w:fill="CCEEFF" w:val="clear"/>
            <w:vAlign w:val="bottom"/>
          </w:tcPr>
          <w:p>
            <w:pPr>
              <w:pStyle w:val="TableContents"/>
              <w:bidi w:val="0"/>
              <w:spacing w:before="0" w:after="0"/>
              <w:jc w:val="right"/>
              <w:rPr>
                <w:rFonts w:ascii="times new roman;times" w:hAnsi="times new roman;times"/>
                <w:sz w:val="20"/>
              </w:rPr>
            </w:pPr>
            <w:r>
              <w:rPr>
                <w:rFonts w:ascii="times new roman;times" w:hAnsi="times new roman;times"/>
                <w:sz w:val="20"/>
              </w:rPr>
              <w:t>421.8</w:t>
            </w:r>
          </w:p>
        </w:tc>
        <w:tc>
          <w:tcPr>
            <w:tcW w:w="130" w:type="dxa"/>
            <w:tcBorders/>
            <w:shd w:fill="CCEEFF" w:val="clear"/>
            <w:vAlign w:val="bottom"/>
          </w:tcPr>
          <w:p>
            <w:pPr>
              <w:pStyle w:val="TableContents"/>
              <w:bidi w:val="0"/>
              <w:spacing w:before="0" w:after="283"/>
              <w:jc w:val="left"/>
              <w:rPr>
                <w:sz w:val="4"/>
                <w:szCs w:val="4"/>
              </w:rPr>
            </w:pPr>
            <w:r>
              <w:rPr>
                <w:sz w:val="4"/>
                <w:szCs w:val="4"/>
              </w:rPr>
            </w:r>
          </w:p>
        </w:tc>
        <w:tc>
          <w:tcPr>
            <w:tcW w:w="82" w:type="dxa"/>
            <w:tcBorders/>
            <w:shd w:fill="CCEEFF" w:val="clear"/>
            <w:vAlign w:val="bottom"/>
          </w:tcPr>
          <w:p>
            <w:pPr>
              <w:pStyle w:val="TableContents"/>
              <w:bidi w:val="0"/>
              <w:spacing w:before="0" w:after="0"/>
              <w:jc w:val="left"/>
              <w:rPr/>
            </w:pPr>
            <w:r>
              <w:rPr/>
              <w:t> </w:t>
            </w:r>
          </w:p>
        </w:tc>
        <w:tc>
          <w:tcPr>
            <w:tcW w:w="837" w:type="dxa"/>
            <w:gridSpan w:val="2"/>
            <w:tcBorders/>
            <w:shd w:fill="CCEEFF" w:val="clear"/>
            <w:vAlign w:val="bottom"/>
          </w:tcPr>
          <w:p>
            <w:pPr>
              <w:pStyle w:val="TableContents"/>
              <w:bidi w:val="0"/>
              <w:spacing w:before="0" w:after="0"/>
              <w:jc w:val="right"/>
              <w:rPr>
                <w:rFonts w:ascii="times new roman;times" w:hAnsi="times new roman;times"/>
                <w:sz w:val="20"/>
              </w:rPr>
            </w:pPr>
            <w:r>
              <w:rPr>
                <w:rFonts w:ascii="times new roman;times" w:hAnsi="times new roman;times"/>
                <w:sz w:val="20"/>
              </w:rPr>
              <w:t>394.8</w:t>
            </w:r>
          </w:p>
        </w:tc>
        <w:tc>
          <w:tcPr>
            <w:tcW w:w="1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0"/>
              <w:jc w:val="left"/>
              <w:rPr/>
            </w:pPr>
            <w:r>
              <w:rPr/>
              <w:t> </w:t>
            </w:r>
          </w:p>
        </w:tc>
        <w:tc>
          <w:tcPr>
            <w:tcW w:w="858" w:type="dxa"/>
            <w:gridSpan w:val="2"/>
            <w:tcBorders/>
            <w:shd w:fill="CCEEFF" w:val="clear"/>
            <w:vAlign w:val="bottom"/>
          </w:tcPr>
          <w:p>
            <w:pPr>
              <w:pStyle w:val="TableContents"/>
              <w:bidi w:val="0"/>
              <w:spacing w:before="0" w:after="0"/>
              <w:jc w:val="right"/>
              <w:rPr>
                <w:rFonts w:ascii="times new roman;times" w:hAnsi="times new roman;times"/>
                <w:sz w:val="20"/>
              </w:rPr>
            </w:pPr>
            <w:r>
              <w:rPr>
                <w:rFonts w:ascii="times new roman;times" w:hAnsi="times new roman;times"/>
                <w:sz w:val="20"/>
              </w:rPr>
              <w:t>27.0</w:t>
            </w:r>
          </w:p>
        </w:tc>
        <w:tc>
          <w:tcPr>
            <w:tcW w:w="151"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0"/>
              <w:jc w:val="left"/>
              <w:rPr/>
            </w:pPr>
            <w:r>
              <w:rPr/>
              <w:t> </w:t>
            </w:r>
          </w:p>
        </w:tc>
        <w:tc>
          <w:tcPr>
            <w:tcW w:w="588" w:type="dxa"/>
            <w:tcBorders/>
            <w:shd w:fill="CCEEFF" w:val="clear"/>
            <w:vAlign w:val="bottom"/>
          </w:tcPr>
          <w:p>
            <w:pPr>
              <w:pStyle w:val="TableContents"/>
              <w:bidi w:val="0"/>
              <w:spacing w:before="0" w:after="0"/>
              <w:jc w:val="right"/>
              <w:rPr>
                <w:rFonts w:ascii="times new roman;times" w:hAnsi="times new roman;times"/>
                <w:sz w:val="20"/>
              </w:rPr>
            </w:pPr>
            <w:r>
              <w:rPr>
                <w:rFonts w:ascii="times new roman;times" w:hAnsi="times new roman;times"/>
                <w:sz w:val="20"/>
              </w:rPr>
              <w:t>7</w:t>
            </w:r>
          </w:p>
        </w:tc>
        <w:tc>
          <w:tcPr>
            <w:tcW w:w="422" w:type="dxa"/>
            <w:tcBorders/>
            <w:shd w:fill="CCEEFF" w:val="clear"/>
            <w:vAlign w:val="bottom"/>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23" w:type="dxa"/>
            <w:tcBorders/>
            <w:shd w:fill="CCEEFF" w:val="clear"/>
            <w:vAlign w:val="bottom"/>
          </w:tcPr>
          <w:p>
            <w:pPr>
              <w:pStyle w:val="TableContents"/>
              <w:bidi w:val="0"/>
              <w:spacing w:before="0" w:after="283"/>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pPr>
            <w:r>
              <w:rPr/>
            </w:r>
          </w:p>
        </w:tc>
        <w:tc>
          <w:tcPr>
            <w:tcW w:w="157" w:type="dxa"/>
            <w:tcBorders/>
            <w:shd w:fill="CCEEFF" w:val="clear"/>
            <w:vAlign w:val="center"/>
          </w:tcPr>
          <w:p>
            <w:pPr>
              <w:pStyle w:val="TableContents"/>
              <w:bidi w:val="0"/>
              <w:spacing w:before="0" w:after="283"/>
              <w:jc w:val="left"/>
              <w:rPr/>
            </w:pPr>
            <w:r>
              <w:rPr/>
            </w:r>
          </w:p>
        </w:tc>
        <w:tc>
          <w:tcPr>
            <w:tcW w:w="833" w:type="dxa"/>
            <w:tcBorders/>
            <w:shd w:fill="CCEEFF" w:val="clear"/>
            <w:vAlign w:val="center"/>
          </w:tcPr>
          <w:p>
            <w:pPr>
              <w:pStyle w:val="TableContents"/>
              <w:bidi w:val="0"/>
              <w:spacing w:before="0" w:after="283"/>
              <w:jc w:val="right"/>
              <w:rPr/>
            </w:pPr>
            <w:r>
              <w:rPr/>
              <w:t>806.4</w:t>
            </w:r>
          </w:p>
        </w:tc>
        <w:tc>
          <w:tcPr>
            <w:tcW w:w="106" w:type="dxa"/>
            <w:tcBorders/>
            <w:shd w:fill="CCEEFF" w:val="clear"/>
            <w:vAlign w:val="center"/>
          </w:tcPr>
          <w:p>
            <w:pPr>
              <w:pStyle w:val="TableContents"/>
              <w:bidi w:val="0"/>
              <w:spacing w:before="0" w:after="283"/>
              <w:jc w:val="left"/>
              <w:rPr/>
            </w:pPr>
            <w:r>
              <w:rPr/>
            </w:r>
          </w:p>
        </w:tc>
        <w:tc>
          <w:tcPr>
            <w:tcW w:w="25" w:type="dxa"/>
            <w:tcBorders/>
            <w:shd w:fill="CCEEFF" w:val="clear"/>
            <w:vAlign w:val="center"/>
          </w:tcPr>
          <w:p>
            <w:pPr>
              <w:pStyle w:val="TableContents"/>
              <w:bidi w:val="0"/>
              <w:spacing w:before="0" w:after="283"/>
              <w:jc w:val="left"/>
              <w:rPr/>
            </w:pPr>
            <w:r>
              <w:rPr/>
            </w:r>
          </w:p>
        </w:tc>
        <w:tc>
          <w:tcPr>
            <w:tcW w:w="157" w:type="dxa"/>
            <w:tcBorders/>
            <w:shd w:fill="CCEEFF" w:val="clear"/>
            <w:vAlign w:val="center"/>
          </w:tcPr>
          <w:p>
            <w:pPr>
              <w:pStyle w:val="TableContents"/>
              <w:bidi w:val="0"/>
              <w:spacing w:before="0" w:after="283"/>
              <w:jc w:val="left"/>
              <w:rPr/>
            </w:pPr>
            <w:r>
              <w:rPr/>
            </w:r>
          </w:p>
        </w:tc>
        <w:tc>
          <w:tcPr>
            <w:tcW w:w="833" w:type="dxa"/>
            <w:tcBorders/>
            <w:shd w:fill="CCEEFF" w:val="clear"/>
            <w:vAlign w:val="center"/>
          </w:tcPr>
          <w:p>
            <w:pPr>
              <w:pStyle w:val="TableContents"/>
              <w:bidi w:val="0"/>
              <w:spacing w:before="0" w:after="283"/>
              <w:jc w:val="right"/>
              <w:rPr/>
            </w:pPr>
            <w:r>
              <w:rPr/>
              <w:t>754.2</w:t>
            </w:r>
          </w:p>
        </w:tc>
        <w:tc>
          <w:tcPr>
            <w:tcW w:w="106"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185" w:type="dxa"/>
            <w:tcBorders/>
            <w:shd w:fill="CCEEFF" w:val="clear"/>
            <w:vAlign w:val="center"/>
          </w:tcPr>
          <w:p>
            <w:pPr>
              <w:pStyle w:val="TableContents"/>
              <w:bidi w:val="0"/>
              <w:spacing w:before="0" w:after="283"/>
              <w:jc w:val="left"/>
              <w:rPr/>
            </w:pPr>
            <w:r>
              <w:rPr/>
            </w:r>
          </w:p>
        </w:tc>
        <w:tc>
          <w:tcPr>
            <w:tcW w:w="742" w:type="dxa"/>
            <w:tcBorders/>
            <w:shd w:fill="CCEEFF" w:val="clear"/>
            <w:vAlign w:val="center"/>
          </w:tcPr>
          <w:p>
            <w:pPr>
              <w:pStyle w:val="TableContents"/>
              <w:bidi w:val="0"/>
              <w:spacing w:before="0" w:after="283"/>
              <w:jc w:val="right"/>
              <w:rPr/>
            </w:pPr>
            <w:r>
              <w:rPr/>
              <w:t>52.2</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24" w:type="dxa"/>
            <w:tcBorders/>
            <w:shd w:fill="CCEEFF" w:val="clear"/>
            <w:vAlign w:val="center"/>
          </w:tcPr>
          <w:p>
            <w:pPr>
              <w:pStyle w:val="TableContents"/>
              <w:bidi w:val="0"/>
              <w:spacing w:before="0" w:after="283"/>
              <w:jc w:val="left"/>
              <w:rPr/>
            </w:pPr>
            <w:r>
              <w:rPr/>
            </w:r>
          </w:p>
        </w:tc>
        <w:tc>
          <w:tcPr>
            <w:tcW w:w="339" w:type="dxa"/>
            <w:tcBorders/>
            <w:shd w:fill="CCEEFF" w:val="clear"/>
            <w:vAlign w:val="center"/>
          </w:tcPr>
          <w:p>
            <w:pPr>
              <w:pStyle w:val="TableContents"/>
              <w:bidi w:val="0"/>
              <w:spacing w:before="0" w:after="283"/>
              <w:jc w:val="right"/>
              <w:rPr/>
            </w:pPr>
            <w:r>
              <w:rPr/>
              <w:t>7</w:t>
            </w:r>
          </w:p>
        </w:tc>
        <w:tc>
          <w:tcPr>
            <w:tcW w:w="281" w:type="dxa"/>
            <w:tcBorders/>
            <w:shd w:fill="CCEEFF" w:val="clear"/>
            <w:vAlign w:val="center"/>
          </w:tcPr>
          <w:p>
            <w:pPr>
              <w:pStyle w:val="TableContents"/>
              <w:bidi w:val="0"/>
              <w:spacing w:before="0" w:after="283"/>
              <w:jc w:val="left"/>
              <w:rPr/>
            </w:pPr>
            <w:r>
              <w:rPr/>
              <w:t>%</w:t>
            </w:r>
          </w:p>
        </w:tc>
        <w:tc>
          <w:tcPr>
            <w:tcW w:w="50" w:type="dxa"/>
            <w:tcBorders/>
            <w:shd w:fill="CCEEFF" w:val="clear"/>
            <w:vAlign w:val="center"/>
          </w:tcPr>
          <w:p>
            <w:pPr>
              <w:pStyle w:val="TableContents"/>
              <w:bidi w:val="0"/>
              <w:spacing w:before="0" w:after="283"/>
              <w:jc w:val="left"/>
              <w:rPr/>
            </w:pPr>
            <w:r>
              <w:rPr/>
            </w:r>
          </w:p>
        </w:tc>
      </w:tr>
      <w:tr>
        <w:trPr/>
        <w:tc>
          <w:tcPr>
            <w:tcW w:w="1941" w:type="dxa"/>
            <w:tcBorders/>
            <w:vAlign w:val="bottom"/>
          </w:tcPr>
          <w:p>
            <w:pPr>
              <w:pStyle w:val="TableContents"/>
              <w:widowControl/>
              <w:bidi w:val="0"/>
              <w:spacing w:before="0" w:after="0"/>
              <w:ind w:left="0" w:right="0" w:hanging="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Total</w:t>
            </w:r>
          </w:p>
        </w:tc>
        <w:tc>
          <w:tcPr>
            <w:tcW w:w="60" w:type="dxa"/>
            <w:tcBorders/>
            <w:vAlign w:val="bottom"/>
          </w:tcPr>
          <w:p>
            <w:pPr>
              <w:pStyle w:val="TableContents"/>
              <w:bidi w:val="0"/>
              <w:spacing w:before="0" w:after="0"/>
              <w:jc w:val="left"/>
              <w:rPr/>
            </w:pPr>
            <w:r>
              <w:rPr/>
              <w:t> </w:t>
            </w:r>
          </w:p>
        </w:tc>
        <w:tc>
          <w:tcPr>
            <w:tcW w:w="837" w:type="dxa"/>
            <w:gridSpan w:val="2"/>
            <w:tcBorders/>
            <w:vAlign w:val="bottom"/>
          </w:tcPr>
          <w:p>
            <w:pPr>
              <w:pStyle w:val="TableContents"/>
              <w:bidi w:val="0"/>
              <w:spacing w:before="0" w:after="0"/>
              <w:jc w:val="right"/>
              <w:rPr>
                <w:rFonts w:ascii="times new roman;times" w:hAnsi="times new roman;times"/>
                <w:sz w:val="20"/>
              </w:rPr>
            </w:pPr>
            <w:r>
              <w:rPr>
                <w:rFonts w:ascii="times new roman;times" w:hAnsi="times new roman;times"/>
                <w:sz w:val="20"/>
              </w:rPr>
              <w:t>988.1</w:t>
            </w:r>
          </w:p>
        </w:tc>
        <w:tc>
          <w:tcPr>
            <w:tcW w:w="130"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0"/>
              <w:jc w:val="left"/>
              <w:rPr/>
            </w:pPr>
            <w:r>
              <w:rPr/>
              <w:t> </w:t>
            </w:r>
          </w:p>
        </w:tc>
        <w:tc>
          <w:tcPr>
            <w:tcW w:w="837" w:type="dxa"/>
            <w:gridSpan w:val="2"/>
            <w:tcBorders/>
            <w:vAlign w:val="bottom"/>
          </w:tcPr>
          <w:p>
            <w:pPr>
              <w:pStyle w:val="TableContents"/>
              <w:bidi w:val="0"/>
              <w:spacing w:before="0" w:after="0"/>
              <w:jc w:val="right"/>
              <w:rPr>
                <w:rFonts w:ascii="times new roman;times" w:hAnsi="times new roman;times"/>
                <w:sz w:val="20"/>
              </w:rPr>
            </w:pPr>
            <w:r>
              <w:rPr>
                <w:rFonts w:ascii="times new roman;times" w:hAnsi="times new roman;times"/>
                <w:sz w:val="20"/>
              </w:rPr>
              <w:t>941.0</w:t>
            </w:r>
          </w:p>
        </w:tc>
        <w:tc>
          <w:tcPr>
            <w:tcW w:w="1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0"/>
              <w:jc w:val="left"/>
              <w:rPr/>
            </w:pPr>
            <w:r>
              <w:rPr/>
              <w:t> </w:t>
            </w:r>
          </w:p>
        </w:tc>
        <w:tc>
          <w:tcPr>
            <w:tcW w:w="858" w:type="dxa"/>
            <w:gridSpan w:val="2"/>
            <w:tcBorders/>
            <w:vAlign w:val="bottom"/>
          </w:tcPr>
          <w:p>
            <w:pPr>
              <w:pStyle w:val="TableContents"/>
              <w:bidi w:val="0"/>
              <w:spacing w:before="0" w:after="0"/>
              <w:jc w:val="right"/>
              <w:rPr>
                <w:rFonts w:ascii="times new roman;times" w:hAnsi="times new roman;times"/>
                <w:sz w:val="20"/>
              </w:rPr>
            </w:pPr>
            <w:r>
              <w:rPr>
                <w:rFonts w:ascii="times new roman;times" w:hAnsi="times new roman;times"/>
                <w:sz w:val="20"/>
              </w:rPr>
              <w:t>47.1</w:t>
            </w:r>
          </w:p>
        </w:tc>
        <w:tc>
          <w:tcPr>
            <w:tcW w:w="151"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0"/>
              <w:jc w:val="left"/>
              <w:rPr/>
            </w:pPr>
            <w:r>
              <w:rPr/>
              <w:t> </w:t>
            </w:r>
          </w:p>
        </w:tc>
        <w:tc>
          <w:tcPr>
            <w:tcW w:w="588" w:type="dxa"/>
            <w:tcBorders/>
            <w:vAlign w:val="bottom"/>
          </w:tcPr>
          <w:p>
            <w:pPr>
              <w:pStyle w:val="TableContents"/>
              <w:bidi w:val="0"/>
              <w:spacing w:before="0" w:after="0"/>
              <w:jc w:val="right"/>
              <w:rPr>
                <w:rFonts w:ascii="times new roman;times" w:hAnsi="times new roman;times"/>
                <w:sz w:val="20"/>
              </w:rPr>
            </w:pPr>
            <w:r>
              <w:rPr>
                <w:rFonts w:ascii="times new roman;times" w:hAnsi="times new roman;times"/>
                <w:sz w:val="20"/>
              </w:rPr>
              <w:t>5</w:t>
            </w:r>
          </w:p>
        </w:tc>
        <w:tc>
          <w:tcPr>
            <w:tcW w:w="422" w:type="dxa"/>
            <w:tcBorders/>
            <w:vAlign w:val="bottom"/>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23"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pPr>
            <w:r>
              <w:rPr/>
            </w:r>
          </w:p>
        </w:tc>
        <w:tc>
          <w:tcPr>
            <w:tcW w:w="157" w:type="dxa"/>
            <w:tcBorders/>
            <w:vAlign w:val="center"/>
          </w:tcPr>
          <w:p>
            <w:pPr>
              <w:pStyle w:val="TableContents"/>
              <w:bidi w:val="0"/>
              <w:spacing w:before="0" w:after="283"/>
              <w:jc w:val="left"/>
              <w:rPr/>
            </w:pPr>
            <w:r>
              <w:rPr/>
            </w:r>
          </w:p>
        </w:tc>
        <w:tc>
          <w:tcPr>
            <w:tcW w:w="833" w:type="dxa"/>
            <w:tcBorders/>
            <w:vAlign w:val="center"/>
          </w:tcPr>
          <w:p>
            <w:pPr>
              <w:pStyle w:val="TableContents"/>
              <w:bidi w:val="0"/>
              <w:spacing w:before="0" w:after="283"/>
              <w:jc w:val="right"/>
              <w:rPr/>
            </w:pPr>
            <w:r>
              <w:rPr/>
              <w:t>1,847.0</w:t>
            </w:r>
          </w:p>
        </w:tc>
        <w:tc>
          <w:tcPr>
            <w:tcW w:w="106" w:type="dxa"/>
            <w:tcBorders/>
            <w:vAlign w:val="center"/>
          </w:tcPr>
          <w:p>
            <w:pPr>
              <w:pStyle w:val="TableContents"/>
              <w:bidi w:val="0"/>
              <w:spacing w:before="0" w:after="283"/>
              <w:jc w:val="left"/>
              <w:rPr/>
            </w:pPr>
            <w:r>
              <w:rPr/>
            </w:r>
          </w:p>
        </w:tc>
        <w:tc>
          <w:tcPr>
            <w:tcW w:w="25" w:type="dxa"/>
            <w:tcBorders/>
            <w:vAlign w:val="center"/>
          </w:tcPr>
          <w:p>
            <w:pPr>
              <w:pStyle w:val="TableContents"/>
              <w:bidi w:val="0"/>
              <w:spacing w:before="0" w:after="283"/>
              <w:jc w:val="left"/>
              <w:rPr/>
            </w:pPr>
            <w:r>
              <w:rPr/>
            </w:r>
          </w:p>
        </w:tc>
        <w:tc>
          <w:tcPr>
            <w:tcW w:w="157" w:type="dxa"/>
            <w:tcBorders/>
            <w:vAlign w:val="center"/>
          </w:tcPr>
          <w:p>
            <w:pPr>
              <w:pStyle w:val="TableContents"/>
              <w:bidi w:val="0"/>
              <w:spacing w:before="0" w:after="283"/>
              <w:jc w:val="left"/>
              <w:rPr/>
            </w:pPr>
            <w:r>
              <w:rPr/>
            </w:r>
          </w:p>
        </w:tc>
        <w:tc>
          <w:tcPr>
            <w:tcW w:w="833" w:type="dxa"/>
            <w:tcBorders/>
            <w:vAlign w:val="center"/>
          </w:tcPr>
          <w:p>
            <w:pPr>
              <w:pStyle w:val="TableContents"/>
              <w:bidi w:val="0"/>
              <w:spacing w:before="0" w:after="283"/>
              <w:jc w:val="right"/>
              <w:rPr/>
            </w:pPr>
            <w:r>
              <w:rPr/>
              <w:t>1,730.0</w:t>
            </w:r>
          </w:p>
        </w:tc>
        <w:tc>
          <w:tcPr>
            <w:tcW w:w="106"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pPr>
            <w:r>
              <w:rPr/>
            </w:r>
          </w:p>
        </w:tc>
        <w:tc>
          <w:tcPr>
            <w:tcW w:w="742" w:type="dxa"/>
            <w:tcBorders/>
            <w:vAlign w:val="center"/>
          </w:tcPr>
          <w:p>
            <w:pPr>
              <w:pStyle w:val="TableContents"/>
              <w:bidi w:val="0"/>
              <w:spacing w:before="0" w:after="283"/>
              <w:jc w:val="right"/>
              <w:rPr/>
            </w:pPr>
            <w:r>
              <w:rPr/>
              <w:t>117.0</w:t>
            </w:r>
          </w:p>
        </w:tc>
        <w:tc>
          <w:tcPr>
            <w:tcW w:w="125" w:type="dxa"/>
            <w:tcBorders/>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pPr>
            <w:r>
              <w:rPr/>
            </w:r>
          </w:p>
        </w:tc>
        <w:tc>
          <w:tcPr>
            <w:tcW w:w="339" w:type="dxa"/>
            <w:tcBorders/>
            <w:vAlign w:val="center"/>
          </w:tcPr>
          <w:p>
            <w:pPr>
              <w:pStyle w:val="TableContents"/>
              <w:bidi w:val="0"/>
              <w:spacing w:before="0" w:after="283"/>
              <w:jc w:val="right"/>
              <w:rPr/>
            </w:pPr>
            <w:r>
              <w:rPr/>
              <w:t>7</w:t>
            </w:r>
          </w:p>
        </w:tc>
        <w:tc>
          <w:tcPr>
            <w:tcW w:w="281" w:type="dxa"/>
            <w:tcBorders/>
            <w:vAlign w:val="center"/>
          </w:tcPr>
          <w:p>
            <w:pPr>
              <w:pStyle w:val="TableContents"/>
              <w:bidi w:val="0"/>
              <w:spacing w:before="0" w:after="283"/>
              <w:jc w:val="left"/>
              <w:rPr/>
            </w:pPr>
            <w:r>
              <w:rPr/>
              <w:t>%</w:t>
            </w:r>
          </w:p>
        </w:tc>
        <w:tc>
          <w:tcPr>
            <w:tcW w:w="50" w:type="dxa"/>
            <w:tcBorders/>
            <w:vAlign w:val="center"/>
          </w:tcPr>
          <w:p>
            <w:pPr>
              <w:pStyle w:val="TableContents"/>
              <w:bidi w:val="0"/>
              <w:spacing w:before="0" w:after="283"/>
              <w:jc w:val="left"/>
              <w:rPr/>
            </w:pPr>
            <w:r>
              <w:rPr/>
            </w:r>
          </w:p>
        </w:tc>
      </w:tr>
      <w:tr>
        <w:trPr/>
        <w:tc>
          <w:tcPr>
            <w:tcW w:w="1941" w:type="dxa"/>
            <w:tcBorders/>
            <w:shd w:fill="CCEEFF" w:val="clear"/>
            <w:vAlign w:val="bottom"/>
          </w:tcPr>
          <w:p>
            <w:pPr>
              <w:pStyle w:val="TableContents"/>
              <w:bidi w:val="0"/>
              <w:spacing w:before="0" w:after="0"/>
              <w:ind w:left="0" w:right="0" w:hanging="180"/>
              <w:jc w:val="left"/>
              <w:rPr>
                <w:rFonts w:ascii="times new roman;times" w:hAnsi="times new roman;times"/>
                <w:sz w:val="20"/>
              </w:rPr>
            </w:pPr>
            <w:r>
              <w:rPr>
                <w:rFonts w:ascii="times new roman;times" w:hAnsi="times new roman;times"/>
                <w:sz w:val="20"/>
              </w:rPr>
              <w:t>Corporate services, eliminations and other</w:t>
            </w:r>
          </w:p>
        </w:tc>
        <w:tc>
          <w:tcPr>
            <w:tcW w:w="60" w:type="dxa"/>
            <w:tcBorders/>
            <w:shd w:fill="CCEEFF" w:val="clear"/>
            <w:vAlign w:val="bottom"/>
          </w:tcPr>
          <w:p>
            <w:pPr>
              <w:pStyle w:val="TableContents"/>
              <w:bidi w:val="0"/>
              <w:spacing w:before="0" w:after="0"/>
              <w:jc w:val="left"/>
              <w:rPr/>
            </w:pPr>
            <w:r>
              <w:rPr/>
              <w:t> </w:t>
            </w:r>
          </w:p>
        </w:tc>
        <w:tc>
          <w:tcPr>
            <w:tcW w:w="837" w:type="dxa"/>
            <w:gridSpan w:val="2"/>
            <w:tcBorders/>
            <w:shd w:fill="CCEEFF" w:val="clear"/>
            <w:vAlign w:val="bottom"/>
          </w:tcPr>
          <w:p>
            <w:pPr>
              <w:pStyle w:val="TableContents"/>
              <w:bidi w:val="0"/>
              <w:spacing w:before="0" w:after="0"/>
              <w:jc w:val="right"/>
              <w:rPr>
                <w:rFonts w:ascii="times new roman;times" w:hAnsi="times new roman;times"/>
                <w:sz w:val="20"/>
              </w:rPr>
            </w:pPr>
            <w:r>
              <w:rPr>
                <w:rFonts w:ascii="times new roman;times" w:hAnsi="times new roman;times"/>
                <w:sz w:val="20"/>
              </w:rPr>
              <w:t>(1.9</w:t>
            </w:r>
          </w:p>
        </w:tc>
        <w:tc>
          <w:tcPr>
            <w:tcW w:w="130" w:type="dxa"/>
            <w:tcBorders/>
            <w:shd w:fill="CCEEFF" w:val="clear"/>
            <w:vAlign w:val="bottom"/>
          </w:tcPr>
          <w:p>
            <w:pPr>
              <w:pStyle w:val="TableContents"/>
              <w:bidi w:val="0"/>
              <w:spacing w:before="0" w:after="283"/>
              <w:jc w:val="left"/>
              <w:rPr/>
            </w:pPr>
            <w:r>
              <w:rPr/>
              <w:t>)</w:t>
            </w:r>
          </w:p>
        </w:tc>
        <w:tc>
          <w:tcPr>
            <w:tcW w:w="82" w:type="dxa"/>
            <w:tcBorders/>
            <w:shd w:fill="CCEEFF" w:val="clear"/>
            <w:vAlign w:val="bottom"/>
          </w:tcPr>
          <w:p>
            <w:pPr>
              <w:pStyle w:val="TableContents"/>
              <w:bidi w:val="0"/>
              <w:spacing w:before="0" w:after="0"/>
              <w:jc w:val="left"/>
              <w:rPr/>
            </w:pPr>
            <w:r>
              <w:rPr/>
              <w:t> </w:t>
            </w:r>
          </w:p>
        </w:tc>
        <w:tc>
          <w:tcPr>
            <w:tcW w:w="837" w:type="dxa"/>
            <w:gridSpan w:val="2"/>
            <w:tcBorders/>
            <w:shd w:fill="CCEEFF" w:val="clear"/>
            <w:vAlign w:val="bottom"/>
          </w:tcPr>
          <w:p>
            <w:pPr>
              <w:pStyle w:val="TableContents"/>
              <w:bidi w:val="0"/>
              <w:spacing w:before="0" w:after="0"/>
              <w:jc w:val="right"/>
              <w:rPr>
                <w:rFonts w:ascii="times new roman;times" w:hAnsi="times new roman;times"/>
                <w:sz w:val="20"/>
              </w:rPr>
            </w:pPr>
            <w:r>
              <w:rPr>
                <w:rFonts w:ascii="times new roman;times" w:hAnsi="times new roman;times"/>
                <w:sz w:val="20"/>
              </w:rPr>
              <w:t>(1.9</w:t>
            </w:r>
          </w:p>
        </w:tc>
        <w:tc>
          <w:tcPr>
            <w:tcW w:w="130"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0"/>
              <w:jc w:val="left"/>
              <w:rPr/>
            </w:pPr>
            <w:r>
              <w:rPr/>
              <w:t> </w:t>
            </w:r>
          </w:p>
        </w:tc>
        <w:tc>
          <w:tcPr>
            <w:tcW w:w="858" w:type="dxa"/>
            <w:gridSpan w:val="2"/>
            <w:tcBorders/>
            <w:shd w:fill="CCEEFF" w:val="clear"/>
            <w:vAlign w:val="bottom"/>
          </w:tcPr>
          <w:p>
            <w:pPr>
              <w:pStyle w:val="TableContents"/>
              <w:bidi w:val="0"/>
              <w:spacing w:before="0" w:after="0"/>
              <w:jc w:val="right"/>
              <w:rPr/>
            </w:pPr>
            <w:r>
              <w:rPr/>
              <w:t>—</w:t>
            </w:r>
          </w:p>
        </w:tc>
        <w:tc>
          <w:tcPr>
            <w:tcW w:w="151"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0"/>
              <w:jc w:val="left"/>
              <w:rPr/>
            </w:pPr>
            <w:r>
              <w:rPr/>
              <w:t> </w:t>
            </w:r>
          </w:p>
        </w:tc>
        <w:tc>
          <w:tcPr>
            <w:tcW w:w="588" w:type="dxa"/>
            <w:tcBorders/>
            <w:shd w:fill="CCEEFF" w:val="clear"/>
            <w:vAlign w:val="bottom"/>
          </w:tcPr>
          <w:p>
            <w:pPr>
              <w:pStyle w:val="TableContents"/>
              <w:bidi w:val="0"/>
              <w:spacing w:before="0" w:after="0"/>
              <w:jc w:val="right"/>
              <w:rPr/>
            </w:pPr>
            <w:r>
              <w:rPr/>
              <w:t>—</w:t>
            </w:r>
          </w:p>
        </w:tc>
        <w:tc>
          <w:tcPr>
            <w:tcW w:w="422" w:type="dxa"/>
            <w:tcBorders/>
            <w:shd w:fill="CCEEFF" w:val="clear"/>
            <w:vAlign w:val="bottom"/>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23" w:type="dxa"/>
            <w:tcBorders/>
            <w:shd w:fill="CCEEFF" w:val="clear"/>
            <w:vAlign w:val="bottom"/>
          </w:tcPr>
          <w:p>
            <w:pPr>
              <w:pStyle w:val="TableContents"/>
              <w:bidi w:val="0"/>
              <w:spacing w:before="0" w:after="283"/>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pPr>
            <w:r>
              <w:rPr/>
            </w:r>
          </w:p>
        </w:tc>
        <w:tc>
          <w:tcPr>
            <w:tcW w:w="157" w:type="dxa"/>
            <w:tcBorders/>
            <w:shd w:fill="CCEEFF" w:val="clear"/>
            <w:vAlign w:val="center"/>
          </w:tcPr>
          <w:p>
            <w:pPr>
              <w:pStyle w:val="TableContents"/>
              <w:bidi w:val="0"/>
              <w:spacing w:before="0" w:after="283"/>
              <w:jc w:val="left"/>
              <w:rPr/>
            </w:pPr>
            <w:r>
              <w:rPr/>
            </w:r>
          </w:p>
        </w:tc>
        <w:tc>
          <w:tcPr>
            <w:tcW w:w="833" w:type="dxa"/>
            <w:tcBorders/>
            <w:shd w:fill="CCEEFF" w:val="clear"/>
            <w:vAlign w:val="center"/>
          </w:tcPr>
          <w:p>
            <w:pPr>
              <w:pStyle w:val="TableContents"/>
              <w:bidi w:val="0"/>
              <w:spacing w:before="0" w:after="283"/>
              <w:jc w:val="right"/>
              <w:rPr/>
            </w:pPr>
            <w:r>
              <w:rPr/>
              <w:t>(3.8</w:t>
            </w:r>
          </w:p>
        </w:tc>
        <w:tc>
          <w:tcPr>
            <w:tcW w:w="106" w:type="dxa"/>
            <w:tcBorders/>
            <w:shd w:fill="CCEEFF" w:val="clear"/>
            <w:vAlign w:val="center"/>
          </w:tcPr>
          <w:p>
            <w:pPr>
              <w:pStyle w:val="TableContents"/>
              <w:bidi w:val="0"/>
              <w:spacing w:before="0" w:after="283"/>
              <w:jc w:val="left"/>
              <w:rPr/>
            </w:pPr>
            <w:r>
              <w:rPr/>
              <w:t>)</w:t>
            </w:r>
          </w:p>
        </w:tc>
        <w:tc>
          <w:tcPr>
            <w:tcW w:w="25" w:type="dxa"/>
            <w:tcBorders/>
            <w:shd w:fill="CCEEFF" w:val="clear"/>
            <w:vAlign w:val="center"/>
          </w:tcPr>
          <w:p>
            <w:pPr>
              <w:pStyle w:val="TableContents"/>
              <w:bidi w:val="0"/>
              <w:spacing w:before="0" w:after="283"/>
              <w:jc w:val="left"/>
              <w:rPr/>
            </w:pPr>
            <w:r>
              <w:rPr/>
            </w:r>
          </w:p>
        </w:tc>
        <w:tc>
          <w:tcPr>
            <w:tcW w:w="157" w:type="dxa"/>
            <w:tcBorders/>
            <w:shd w:fill="CCEEFF" w:val="clear"/>
            <w:vAlign w:val="center"/>
          </w:tcPr>
          <w:p>
            <w:pPr>
              <w:pStyle w:val="TableContents"/>
              <w:bidi w:val="0"/>
              <w:spacing w:before="0" w:after="283"/>
              <w:jc w:val="left"/>
              <w:rPr/>
            </w:pPr>
            <w:r>
              <w:rPr/>
            </w:r>
          </w:p>
        </w:tc>
        <w:tc>
          <w:tcPr>
            <w:tcW w:w="833" w:type="dxa"/>
            <w:tcBorders/>
            <w:shd w:fill="CCEEFF" w:val="clear"/>
            <w:vAlign w:val="center"/>
          </w:tcPr>
          <w:p>
            <w:pPr>
              <w:pStyle w:val="TableContents"/>
              <w:bidi w:val="0"/>
              <w:spacing w:before="0" w:after="283"/>
              <w:jc w:val="right"/>
              <w:rPr/>
            </w:pPr>
            <w:r>
              <w:rPr/>
              <w:t>(3.7</w:t>
            </w:r>
          </w:p>
        </w:tc>
        <w:tc>
          <w:tcPr>
            <w:tcW w:w="106"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r>
          </w:p>
        </w:tc>
        <w:tc>
          <w:tcPr>
            <w:tcW w:w="185" w:type="dxa"/>
            <w:tcBorders/>
            <w:shd w:fill="CCEEFF" w:val="clear"/>
            <w:vAlign w:val="center"/>
          </w:tcPr>
          <w:p>
            <w:pPr>
              <w:pStyle w:val="TableContents"/>
              <w:bidi w:val="0"/>
              <w:spacing w:before="0" w:after="283"/>
              <w:jc w:val="left"/>
              <w:rPr/>
            </w:pPr>
            <w:r>
              <w:rPr/>
            </w:r>
          </w:p>
        </w:tc>
        <w:tc>
          <w:tcPr>
            <w:tcW w:w="742" w:type="dxa"/>
            <w:tcBorders/>
            <w:shd w:fill="CCEEFF" w:val="clear"/>
            <w:vAlign w:val="center"/>
          </w:tcPr>
          <w:p>
            <w:pPr>
              <w:pStyle w:val="TableContents"/>
              <w:bidi w:val="0"/>
              <w:spacing w:before="0" w:after="283"/>
              <w:jc w:val="right"/>
              <w:rPr/>
            </w:pPr>
            <w:r>
              <w:rPr/>
              <w:t>(0.1</w:t>
            </w:r>
          </w:p>
        </w:tc>
        <w:tc>
          <w:tcPr>
            <w:tcW w:w="125" w:type="dxa"/>
            <w:tcBorders/>
            <w:shd w:fill="CCEEFF" w:val="clear"/>
            <w:vAlign w:val="center"/>
          </w:tcPr>
          <w:p>
            <w:pPr>
              <w:pStyle w:val="TableContents"/>
              <w:bidi w:val="0"/>
              <w:spacing w:before="0" w:after="283"/>
              <w:jc w:val="left"/>
              <w:rPr/>
            </w:pPr>
            <w:r>
              <w:rPr/>
              <w:t>)</w:t>
            </w:r>
          </w:p>
        </w:tc>
        <w:tc>
          <w:tcPr>
            <w:tcW w:w="24" w:type="dxa"/>
            <w:tcBorders/>
            <w:shd w:fill="CCEEFF" w:val="clear"/>
            <w:vAlign w:val="center"/>
          </w:tcPr>
          <w:p>
            <w:pPr>
              <w:pStyle w:val="TableContents"/>
              <w:bidi w:val="0"/>
              <w:spacing w:before="0" w:after="283"/>
              <w:jc w:val="left"/>
              <w:rPr/>
            </w:pPr>
            <w:r>
              <w:rPr/>
            </w:r>
          </w:p>
        </w:tc>
        <w:tc>
          <w:tcPr>
            <w:tcW w:w="339" w:type="dxa"/>
            <w:tcBorders/>
            <w:shd w:fill="CCEEFF" w:val="clear"/>
            <w:vAlign w:val="center"/>
          </w:tcPr>
          <w:p>
            <w:pPr>
              <w:pStyle w:val="TableContents"/>
              <w:bidi w:val="0"/>
              <w:spacing w:before="0" w:after="283"/>
              <w:jc w:val="right"/>
              <w:rPr/>
            </w:pPr>
            <w:r>
              <w:rPr/>
              <w:t>3</w:t>
            </w:r>
          </w:p>
        </w:tc>
        <w:tc>
          <w:tcPr>
            <w:tcW w:w="281" w:type="dxa"/>
            <w:tcBorders/>
            <w:shd w:fill="CCEEFF" w:val="clear"/>
            <w:vAlign w:val="center"/>
          </w:tcPr>
          <w:p>
            <w:pPr>
              <w:pStyle w:val="TableContents"/>
              <w:bidi w:val="0"/>
              <w:spacing w:before="0" w:after="283"/>
              <w:jc w:val="left"/>
              <w:rPr/>
            </w:pPr>
            <w:r>
              <w:rPr/>
              <w:t>%</w:t>
            </w:r>
          </w:p>
        </w:tc>
        <w:tc>
          <w:tcPr>
            <w:tcW w:w="50" w:type="dxa"/>
            <w:tcBorders/>
            <w:shd w:fill="CCEEFF" w:val="clear"/>
            <w:vAlign w:val="center"/>
          </w:tcPr>
          <w:p>
            <w:pPr>
              <w:pStyle w:val="TableContents"/>
              <w:bidi w:val="0"/>
              <w:spacing w:before="0" w:after="283"/>
              <w:jc w:val="left"/>
              <w:rPr/>
            </w:pPr>
            <w:r>
              <w:rPr/>
            </w:r>
          </w:p>
        </w:tc>
      </w:tr>
      <w:tr>
        <w:trPr/>
        <w:tc>
          <w:tcPr>
            <w:tcW w:w="1941" w:type="dxa"/>
            <w:tcBorders/>
            <w:vAlign w:val="bottom"/>
          </w:tcPr>
          <w:p>
            <w:pPr>
              <w:pStyle w:val="TableContents"/>
              <w:bidi w:val="0"/>
              <w:spacing w:before="0" w:after="0"/>
              <w:jc w:val="left"/>
              <w:rPr>
                <w:rFonts w:ascii="times new roman;times" w:hAnsi="times new roman;times"/>
                <w:sz w:val="20"/>
              </w:rPr>
            </w:pPr>
            <w:r>
              <w:rPr>
                <w:rFonts w:ascii="times new roman;times" w:hAnsi="times new roman;times"/>
                <w:sz w:val="20"/>
              </w:rPr>
              <w:t>Total</w:t>
            </w:r>
          </w:p>
        </w:tc>
        <w:tc>
          <w:tcPr>
            <w:tcW w:w="60" w:type="dxa"/>
            <w:tcBorders/>
            <w:vAlign w:val="bottom"/>
          </w:tcPr>
          <w:p>
            <w:pPr>
              <w:pStyle w:val="TableContents"/>
              <w:bidi w:val="0"/>
              <w:spacing w:before="0" w:after="0"/>
              <w:jc w:val="left"/>
              <w:rPr/>
            </w:pPr>
            <w:r>
              <w:rPr/>
              <w:t> </w:t>
            </w:r>
          </w:p>
        </w:tc>
        <w:tc>
          <w:tcPr>
            <w:tcW w:w="171" w:type="dxa"/>
            <w:tcBorders/>
            <w:vAlign w:val="bottom"/>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666" w:type="dxa"/>
            <w:tcBorders/>
            <w:vAlign w:val="bottom"/>
          </w:tcPr>
          <w:p>
            <w:pPr>
              <w:pStyle w:val="TableContents"/>
              <w:bidi w:val="0"/>
              <w:spacing w:before="0" w:after="0"/>
              <w:jc w:val="right"/>
              <w:rPr>
                <w:rFonts w:ascii="times new roman;times" w:hAnsi="times new roman;times"/>
                <w:sz w:val="20"/>
              </w:rPr>
            </w:pPr>
            <w:r>
              <w:rPr>
                <w:rFonts w:ascii="times new roman;times" w:hAnsi="times new roman;times"/>
                <w:sz w:val="20"/>
              </w:rPr>
              <w:t>986.2</w:t>
            </w:r>
          </w:p>
        </w:tc>
        <w:tc>
          <w:tcPr>
            <w:tcW w:w="130"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0"/>
              <w:jc w:val="left"/>
              <w:rPr/>
            </w:pPr>
            <w:r>
              <w:rPr/>
              <w:t> </w:t>
            </w:r>
          </w:p>
        </w:tc>
        <w:tc>
          <w:tcPr>
            <w:tcW w:w="171" w:type="dxa"/>
            <w:tcBorders/>
            <w:vAlign w:val="bottom"/>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666" w:type="dxa"/>
            <w:tcBorders/>
            <w:vAlign w:val="bottom"/>
          </w:tcPr>
          <w:p>
            <w:pPr>
              <w:pStyle w:val="TableContents"/>
              <w:bidi w:val="0"/>
              <w:spacing w:before="0" w:after="0"/>
              <w:jc w:val="right"/>
              <w:rPr>
                <w:rFonts w:ascii="times new roman;times" w:hAnsi="times new roman;times"/>
                <w:sz w:val="20"/>
              </w:rPr>
            </w:pPr>
            <w:r>
              <w:rPr>
                <w:rFonts w:ascii="times new roman;times" w:hAnsi="times new roman;times"/>
                <w:sz w:val="20"/>
              </w:rPr>
              <w:t>939.1</w:t>
            </w:r>
          </w:p>
        </w:tc>
        <w:tc>
          <w:tcPr>
            <w:tcW w:w="1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0"/>
              <w:jc w:val="left"/>
              <w:rPr/>
            </w:pPr>
            <w:r>
              <w:rPr/>
              <w:t> </w:t>
            </w:r>
          </w:p>
        </w:tc>
        <w:tc>
          <w:tcPr>
            <w:tcW w:w="239" w:type="dxa"/>
            <w:tcBorders/>
            <w:vAlign w:val="bottom"/>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619" w:type="dxa"/>
            <w:tcBorders/>
            <w:vAlign w:val="bottom"/>
          </w:tcPr>
          <w:p>
            <w:pPr>
              <w:pStyle w:val="TableContents"/>
              <w:bidi w:val="0"/>
              <w:spacing w:before="0" w:after="0"/>
              <w:jc w:val="right"/>
              <w:rPr>
                <w:rFonts w:ascii="times new roman;times" w:hAnsi="times new roman;times"/>
                <w:sz w:val="20"/>
              </w:rPr>
            </w:pPr>
            <w:r>
              <w:rPr>
                <w:rFonts w:ascii="times new roman;times" w:hAnsi="times new roman;times"/>
                <w:sz w:val="20"/>
              </w:rPr>
              <w:t>47.1</w:t>
            </w:r>
          </w:p>
        </w:tc>
        <w:tc>
          <w:tcPr>
            <w:tcW w:w="151"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0"/>
              <w:jc w:val="left"/>
              <w:rPr/>
            </w:pPr>
            <w:r>
              <w:rPr/>
              <w:t> </w:t>
            </w:r>
          </w:p>
        </w:tc>
        <w:tc>
          <w:tcPr>
            <w:tcW w:w="588" w:type="dxa"/>
            <w:tcBorders/>
            <w:vAlign w:val="bottom"/>
          </w:tcPr>
          <w:p>
            <w:pPr>
              <w:pStyle w:val="TableContents"/>
              <w:bidi w:val="0"/>
              <w:spacing w:before="0" w:after="0"/>
              <w:jc w:val="right"/>
              <w:rPr>
                <w:rFonts w:ascii="times new roman;times" w:hAnsi="times new roman;times"/>
                <w:sz w:val="20"/>
              </w:rPr>
            </w:pPr>
            <w:r>
              <w:rPr>
                <w:rFonts w:ascii="times new roman;times" w:hAnsi="times new roman;times"/>
                <w:sz w:val="20"/>
              </w:rPr>
              <w:t>5</w:t>
            </w:r>
          </w:p>
        </w:tc>
        <w:tc>
          <w:tcPr>
            <w:tcW w:w="422" w:type="dxa"/>
            <w:tcBorders/>
            <w:vAlign w:val="bottom"/>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23"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pPr>
            <w:r>
              <w:rPr/>
            </w:r>
          </w:p>
        </w:tc>
        <w:tc>
          <w:tcPr>
            <w:tcW w:w="157" w:type="dxa"/>
            <w:tcBorders/>
            <w:vAlign w:val="center"/>
          </w:tcPr>
          <w:p>
            <w:pPr>
              <w:pStyle w:val="TableContents"/>
              <w:bidi w:val="0"/>
              <w:spacing w:before="0" w:after="283"/>
              <w:jc w:val="left"/>
              <w:rPr/>
            </w:pPr>
            <w:r>
              <w:rPr/>
              <w:t>$</w:t>
            </w:r>
          </w:p>
        </w:tc>
        <w:tc>
          <w:tcPr>
            <w:tcW w:w="833" w:type="dxa"/>
            <w:tcBorders/>
            <w:vAlign w:val="center"/>
          </w:tcPr>
          <w:p>
            <w:pPr>
              <w:pStyle w:val="TableContents"/>
              <w:bidi w:val="0"/>
              <w:spacing w:before="0" w:after="283"/>
              <w:jc w:val="right"/>
              <w:rPr/>
            </w:pPr>
            <w:r>
              <w:rPr/>
              <w:t>1,843.2</w:t>
            </w:r>
          </w:p>
        </w:tc>
        <w:tc>
          <w:tcPr>
            <w:tcW w:w="106" w:type="dxa"/>
            <w:tcBorders/>
            <w:vAlign w:val="center"/>
          </w:tcPr>
          <w:p>
            <w:pPr>
              <w:pStyle w:val="TableContents"/>
              <w:bidi w:val="0"/>
              <w:spacing w:before="0" w:after="283"/>
              <w:jc w:val="left"/>
              <w:rPr/>
            </w:pPr>
            <w:r>
              <w:rPr/>
            </w:r>
          </w:p>
        </w:tc>
        <w:tc>
          <w:tcPr>
            <w:tcW w:w="25" w:type="dxa"/>
            <w:tcBorders/>
            <w:vAlign w:val="center"/>
          </w:tcPr>
          <w:p>
            <w:pPr>
              <w:pStyle w:val="TableContents"/>
              <w:bidi w:val="0"/>
              <w:spacing w:before="0" w:after="283"/>
              <w:jc w:val="left"/>
              <w:rPr/>
            </w:pPr>
            <w:r>
              <w:rPr/>
            </w:r>
          </w:p>
        </w:tc>
        <w:tc>
          <w:tcPr>
            <w:tcW w:w="157" w:type="dxa"/>
            <w:tcBorders/>
            <w:vAlign w:val="center"/>
          </w:tcPr>
          <w:p>
            <w:pPr>
              <w:pStyle w:val="TableContents"/>
              <w:bidi w:val="0"/>
              <w:spacing w:before="0" w:after="283"/>
              <w:jc w:val="left"/>
              <w:rPr/>
            </w:pPr>
            <w:r>
              <w:rPr/>
              <w:t>$</w:t>
            </w:r>
          </w:p>
        </w:tc>
        <w:tc>
          <w:tcPr>
            <w:tcW w:w="833" w:type="dxa"/>
            <w:tcBorders/>
            <w:vAlign w:val="center"/>
          </w:tcPr>
          <w:p>
            <w:pPr>
              <w:pStyle w:val="TableContents"/>
              <w:bidi w:val="0"/>
              <w:spacing w:before="0" w:after="283"/>
              <w:jc w:val="right"/>
              <w:rPr/>
            </w:pPr>
            <w:r>
              <w:rPr/>
              <w:t>1,726.3</w:t>
            </w:r>
          </w:p>
        </w:tc>
        <w:tc>
          <w:tcPr>
            <w:tcW w:w="106"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pPr>
            <w:r>
              <w:rPr/>
              <w:t>$</w:t>
            </w:r>
          </w:p>
        </w:tc>
        <w:tc>
          <w:tcPr>
            <w:tcW w:w="742" w:type="dxa"/>
            <w:tcBorders/>
            <w:vAlign w:val="center"/>
          </w:tcPr>
          <w:p>
            <w:pPr>
              <w:pStyle w:val="TableContents"/>
              <w:bidi w:val="0"/>
              <w:spacing w:before="0" w:after="283"/>
              <w:jc w:val="right"/>
              <w:rPr/>
            </w:pPr>
            <w:r>
              <w:rPr/>
              <w:t>116.9</w:t>
            </w:r>
          </w:p>
        </w:tc>
        <w:tc>
          <w:tcPr>
            <w:tcW w:w="125" w:type="dxa"/>
            <w:tcBorders/>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pPr>
            <w:r>
              <w:rPr/>
            </w:r>
          </w:p>
        </w:tc>
        <w:tc>
          <w:tcPr>
            <w:tcW w:w="339" w:type="dxa"/>
            <w:tcBorders/>
            <w:vAlign w:val="center"/>
          </w:tcPr>
          <w:p>
            <w:pPr>
              <w:pStyle w:val="TableContents"/>
              <w:bidi w:val="0"/>
              <w:spacing w:before="0" w:after="283"/>
              <w:jc w:val="right"/>
              <w:rPr/>
            </w:pPr>
            <w:r>
              <w:rPr/>
              <w:t>7</w:t>
            </w:r>
          </w:p>
        </w:tc>
        <w:tc>
          <w:tcPr>
            <w:tcW w:w="281" w:type="dxa"/>
            <w:tcBorders/>
            <w:vAlign w:val="center"/>
          </w:tcPr>
          <w:p>
            <w:pPr>
              <w:pStyle w:val="TableContents"/>
              <w:bidi w:val="0"/>
              <w:spacing w:before="0" w:after="283"/>
              <w:jc w:val="left"/>
              <w:rPr/>
            </w:pPr>
            <w:r>
              <w:rPr/>
              <w:t>%</w:t>
            </w:r>
          </w:p>
        </w:tc>
        <w:tc>
          <w:tcPr>
            <w:tcW w:w="50" w:type="dxa"/>
            <w:tcBorders/>
            <w:vAlign w:val="center"/>
          </w:tcPr>
          <w:p>
            <w:pPr>
              <w:pStyle w:val="TableContents"/>
              <w:bidi w:val="0"/>
              <w:spacing w:before="0" w:after="283"/>
              <w:jc w:val="left"/>
              <w:rPr/>
            </w:pPr>
            <w:r>
              <w:rPr/>
            </w:r>
          </w:p>
        </w:tc>
      </w:tr>
    </w:tbl>
    <w:p>
      <w:pPr>
        <w:pStyle w:val="TextBody"/>
        <w:widowControl/>
        <w:bidi w:val="0"/>
        <w:spacing w:before="0" w:after="0"/>
        <w:jc w:val="left"/>
        <w:rPr>
          <w:rFonts w:ascii="Times New Roman" w:hAnsi="Times New Roman" w:eastAsia="Times New Roman" w:cs="Times New Roman"/>
          <w:b w:val="false"/>
          <w:b w:val="false"/>
          <w:bCs w:val="false"/>
          <w:i w:val="false"/>
          <w:i w:val="false"/>
          <w:iCs w:val="false"/>
          <w:caps w:val="false"/>
          <w:smallCaps w:val="false"/>
          <w:color w:val="000000"/>
          <w:spacing w:val="0"/>
          <w:sz w:val="20"/>
          <w:szCs w:val="20"/>
        </w:rPr>
      </w:pPr>
      <w:r>
        <w:rPr>
          <w:rFonts w:eastAsia="Times New Roman" w:cs="Times New Roman" w:ascii="Times New Roman" w:hAnsi="Times New Roman"/>
          <w:b w:val="false"/>
          <w:bCs w:val="false"/>
          <w:i w:val="false"/>
          <w:iCs w:val="false"/>
          <w:caps w:val="false"/>
          <w:smallCaps w:val="false"/>
          <w:color w:val="000000"/>
          <w:spacing w:val="0"/>
          <w:sz w:val="20"/>
          <w:szCs w:val="20"/>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10205" w:type="dxa"/>
        <w:jc w:val="left"/>
        <w:tblInd w:w="0" w:type="dxa"/>
        <w:tblLayout w:type="fixed"/>
        <w:tblCellMar>
          <w:top w:w="0" w:type="dxa"/>
          <w:left w:w="0" w:type="dxa"/>
          <w:bottom w:w="0" w:type="dxa"/>
          <w:right w:w="0" w:type="dxa"/>
        </w:tblCellMar>
      </w:tblPr>
      <w:tblGrid>
        <w:gridCol w:w="1593"/>
        <w:gridCol w:w="60"/>
        <w:gridCol w:w="196"/>
        <w:gridCol w:w="760"/>
        <w:gridCol w:w="148"/>
        <w:gridCol w:w="94"/>
        <w:gridCol w:w="196"/>
        <w:gridCol w:w="760"/>
        <w:gridCol w:w="148"/>
        <w:gridCol w:w="60"/>
        <w:gridCol w:w="226"/>
        <w:gridCol w:w="551"/>
        <w:gridCol w:w="137"/>
        <w:gridCol w:w="74"/>
        <w:gridCol w:w="503"/>
        <w:gridCol w:w="411"/>
        <w:gridCol w:w="23"/>
        <w:gridCol w:w="23"/>
        <w:gridCol w:w="201"/>
        <w:gridCol w:w="805"/>
        <w:gridCol w:w="136"/>
        <w:gridCol w:w="32"/>
        <w:gridCol w:w="201"/>
        <w:gridCol w:w="805"/>
        <w:gridCol w:w="136"/>
        <w:gridCol w:w="23"/>
        <w:gridCol w:w="208"/>
        <w:gridCol w:w="583"/>
        <w:gridCol w:w="123"/>
        <w:gridCol w:w="24"/>
        <w:gridCol w:w="499"/>
        <w:gridCol w:w="415"/>
        <w:gridCol w:w="51"/>
      </w:tblGrid>
      <w:tr>
        <w:trPr/>
        <w:tc>
          <w:tcPr>
            <w:tcW w:w="1593"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302" w:type="dxa"/>
            <w:gridSpan w:val="7"/>
            <w:tcBorders/>
            <w:vAlign w:val="center"/>
          </w:tcPr>
          <w:p>
            <w:pPr>
              <w:pStyle w:val="TableContents"/>
              <w:widowControl/>
              <w:bidi w:val="0"/>
              <w:spacing w:lineRule="auto" w:line="288" w:before="0" w:after="0"/>
              <w:ind w:left="0" w:right="0" w:hanging="0"/>
              <w:jc w:val="center"/>
              <w:rPr>
                <w:rFonts w:ascii="times new roman;times" w:hAnsi="times new roman;times"/>
                <w:b/>
                <w:sz w:val="16"/>
              </w:rPr>
            </w:pPr>
            <w:r>
              <w:rPr>
                <w:rFonts w:ascii="times new roman;times" w:hAnsi="times new roman;times"/>
                <w:b/>
                <w:color w:val="000000"/>
                <w:spacing w:val="0"/>
                <w:sz w:val="16"/>
              </w:rPr>
              <w:t>Operating Income (Loss)</w:t>
            </w:r>
            <w:r>
              <w:rPr>
                <w:rFonts w:ascii="times new roman;times" w:hAnsi="times new roman;times"/>
                <w:b/>
                <w:sz w:val="16"/>
              </w:rPr>
              <w:t xml:space="preserve"> for the </w:t>
            </w:r>
            <w:r>
              <w:rPr>
                <w:rFonts w:ascii="times new roman;times" w:hAnsi="times new roman;times"/>
                <w:b/>
                <w:sz w:val="16"/>
              </w:rPr>
              <w:t>Three Months Ended</w:t>
            </w:r>
            <w:r>
              <w:rPr>
                <w:rFonts w:ascii="times new roman;times" w:hAnsi="times new roman;times"/>
                <w:b/>
                <w:sz w:val="16"/>
              </w:rPr>
              <w:t xml:space="preserve"> </w:t>
            </w:r>
            <w:r>
              <w:rPr>
                <w:rFonts w:ascii="times new roman;times" w:hAnsi="times new roman;times"/>
                <w:b/>
                <w:sz w:val="16"/>
              </w:rPr>
              <w:t>June 30,</w:t>
            </w:r>
          </w:p>
        </w:tc>
        <w:tc>
          <w:tcPr>
            <w:tcW w:w="60" w:type="dxa"/>
            <w:tcBorders/>
            <w:vAlign w:val="center"/>
          </w:tcPr>
          <w:p>
            <w:pPr>
              <w:pStyle w:val="TableContents"/>
              <w:bidi w:val="0"/>
              <w:spacing w:before="0" w:after="0"/>
              <w:jc w:val="left"/>
              <w:rPr/>
            </w:pPr>
            <w:r>
              <w:rPr/>
              <w:t> </w:t>
            </w:r>
          </w:p>
        </w:tc>
        <w:tc>
          <w:tcPr>
            <w:tcW w:w="1902" w:type="dxa"/>
            <w:gridSpan w:val="6"/>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Year-over-Year Change</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pPr>
            <w:r>
              <w:rPr/>
            </w:r>
          </w:p>
        </w:tc>
        <w:tc>
          <w:tcPr>
            <w:tcW w:w="2316" w:type="dxa"/>
            <w:gridSpan w:val="7"/>
            <w:tcBorders/>
            <w:vAlign w:val="center"/>
          </w:tcPr>
          <w:p>
            <w:pPr>
              <w:pStyle w:val="TableContents"/>
              <w:widowControl/>
              <w:bidi w:val="0"/>
              <w:spacing w:before="0" w:after="283"/>
              <w:ind w:left="0" w:right="0" w:hanging="0"/>
              <w:jc w:val="center"/>
              <w:rPr>
                <w:b/>
                <w:sz w:val="16"/>
              </w:rPr>
            </w:pPr>
            <w:r>
              <w:rPr>
                <w:b w:val="false"/>
                <w:color w:val="000000"/>
                <w:spacing w:val="0"/>
                <w:sz w:val="16"/>
              </w:rPr>
              <w:t>Operating Income (Loss)</w:t>
            </w:r>
            <w:r>
              <w:rPr>
                <w:b/>
                <w:color w:val="000000"/>
                <w:spacing w:val="0"/>
                <w:sz w:val="16"/>
              </w:rPr>
              <w:t> </w:t>
            </w:r>
            <w:r>
              <w:rPr>
                <w:rFonts w:ascii="times new roman;times" w:hAnsi="times new roman;times"/>
                <w:b w:val="false"/>
                <w:color w:val="000000"/>
                <w:spacing w:val="0"/>
                <w:sz w:val="16"/>
              </w:rPr>
              <w:t>for the Six Months Ended June 30,</w:t>
            </w:r>
          </w:p>
        </w:tc>
        <w:tc>
          <w:tcPr>
            <w:tcW w:w="23" w:type="dxa"/>
            <w:tcBorders/>
            <w:vAlign w:val="center"/>
          </w:tcPr>
          <w:p>
            <w:pPr>
              <w:pStyle w:val="TableContents"/>
              <w:bidi w:val="0"/>
              <w:spacing w:before="0" w:after="283"/>
              <w:jc w:val="left"/>
              <w:rPr/>
            </w:pPr>
            <w:r>
              <w:rPr/>
            </w:r>
          </w:p>
        </w:tc>
        <w:tc>
          <w:tcPr>
            <w:tcW w:w="1852" w:type="dxa"/>
            <w:gridSpan w:val="6"/>
            <w:tcBorders/>
            <w:vAlign w:val="center"/>
          </w:tcPr>
          <w:p>
            <w:pPr>
              <w:pStyle w:val="TableContents"/>
              <w:widowControl/>
              <w:bidi w:val="0"/>
              <w:spacing w:before="0" w:after="283"/>
              <w:ind w:left="0" w:right="0" w:hanging="0"/>
              <w:jc w:val="center"/>
              <w:rPr>
                <w:rFonts w:ascii="times new roman;times" w:hAnsi="times new roman;times"/>
                <w:b/>
                <w:color w:val="000000"/>
                <w:spacing w:val="0"/>
                <w:sz w:val="15"/>
              </w:rPr>
            </w:pPr>
            <w:r>
              <w:rPr>
                <w:rFonts w:ascii="times new roman;times" w:hAnsi="times new roman;times"/>
                <w:b/>
                <w:color w:val="000000"/>
                <w:spacing w:val="0"/>
                <w:sz w:val="15"/>
              </w:rPr>
              <w:t>Year-over-Year Change</w:t>
            </w:r>
          </w:p>
        </w:tc>
        <w:tc>
          <w:tcPr>
            <w:tcW w:w="51" w:type="dxa"/>
            <w:tcBorders/>
            <w:vAlign w:val="center"/>
          </w:tcPr>
          <w:p>
            <w:pPr>
              <w:pStyle w:val="TableContents"/>
              <w:bidi w:val="0"/>
              <w:spacing w:before="0" w:after="283"/>
              <w:jc w:val="left"/>
              <w:rPr/>
            </w:pPr>
            <w:r>
              <w:rPr/>
            </w:r>
          </w:p>
        </w:tc>
      </w:tr>
      <w:tr>
        <w:trPr/>
        <w:tc>
          <w:tcPr>
            <w:tcW w:w="1593" w:type="dxa"/>
            <w:tcBorders/>
            <w:vAlign w:val="center"/>
          </w:tcPr>
          <w:p>
            <w:pPr>
              <w:pStyle w:val="TableContents"/>
              <w:widowControl/>
              <w:bidi w:val="0"/>
              <w:spacing w:before="0" w:after="0"/>
              <w:ind w:left="0" w:right="0" w:hanging="0"/>
              <w:jc w:val="left"/>
              <w:rPr>
                <w:rFonts w:ascii="times new roman;times" w:hAnsi="times new roman;times"/>
                <w:sz w:val="16"/>
              </w:rPr>
            </w:pPr>
            <w:r>
              <w:rPr>
                <w:rFonts w:ascii="times new roman;times" w:hAnsi="times new roman;times"/>
                <w:sz w:val="16"/>
              </w:rPr>
              <w:t xml:space="preserve">(dollar amounts in </w:t>
            </w:r>
            <w:r>
              <w:rPr>
                <w:rFonts w:ascii="times new roman;times" w:hAnsi="times new roman;times"/>
                <w:b w:val="false"/>
                <w:color w:val="000000"/>
                <w:spacing w:val="0"/>
                <w:sz w:val="16"/>
              </w:rPr>
              <w:t>millions</w:t>
            </w:r>
            <w:r>
              <w:rPr>
                <w:rFonts w:ascii="times new roman;times" w:hAnsi="times new roman;times"/>
                <w:sz w:val="16"/>
              </w:rPr>
              <w:t>)</w:t>
            </w:r>
          </w:p>
        </w:tc>
        <w:tc>
          <w:tcPr>
            <w:tcW w:w="60" w:type="dxa"/>
            <w:tcBorders/>
            <w:vAlign w:val="center"/>
          </w:tcPr>
          <w:p>
            <w:pPr>
              <w:pStyle w:val="TableContents"/>
              <w:bidi w:val="0"/>
              <w:spacing w:before="0" w:after="0"/>
              <w:jc w:val="left"/>
              <w:rPr/>
            </w:pPr>
            <w:r>
              <w:rPr/>
              <w:t> </w:t>
            </w:r>
          </w:p>
        </w:tc>
        <w:tc>
          <w:tcPr>
            <w:tcW w:w="1104" w:type="dxa"/>
            <w:gridSpan w:val="3"/>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2024</w:t>
            </w:r>
          </w:p>
        </w:tc>
        <w:tc>
          <w:tcPr>
            <w:tcW w:w="94" w:type="dxa"/>
            <w:tcBorders/>
            <w:vAlign w:val="center"/>
          </w:tcPr>
          <w:p>
            <w:pPr>
              <w:pStyle w:val="TableContents"/>
              <w:bidi w:val="0"/>
              <w:spacing w:before="0" w:after="0"/>
              <w:jc w:val="left"/>
              <w:rPr/>
            </w:pPr>
            <w:r>
              <w:rPr/>
              <w:t> </w:t>
            </w:r>
          </w:p>
        </w:tc>
        <w:tc>
          <w:tcPr>
            <w:tcW w:w="1104" w:type="dxa"/>
            <w:gridSpan w:val="3"/>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2023</w:t>
            </w:r>
          </w:p>
        </w:tc>
        <w:tc>
          <w:tcPr>
            <w:tcW w:w="60" w:type="dxa"/>
            <w:tcBorders/>
            <w:vAlign w:val="center"/>
          </w:tcPr>
          <w:p>
            <w:pPr>
              <w:pStyle w:val="TableContents"/>
              <w:bidi w:val="0"/>
              <w:spacing w:before="0" w:after="0"/>
              <w:jc w:val="left"/>
              <w:rPr/>
            </w:pPr>
            <w:r>
              <w:rPr/>
              <w:t> </w:t>
            </w:r>
          </w:p>
        </w:tc>
        <w:tc>
          <w:tcPr>
            <w:tcW w:w="914" w:type="dxa"/>
            <w:gridSpan w:val="3"/>
            <w:tcBorders/>
            <w:vAlign w:val="bottom"/>
          </w:tcPr>
          <w:p>
            <w:pPr>
              <w:pStyle w:val="TableContents"/>
              <w:bidi w:val="0"/>
              <w:spacing w:before="0" w:after="0"/>
              <w:jc w:val="center"/>
              <w:rPr>
                <w:rFonts w:ascii="times new roman;times" w:hAnsi="times new roman;times"/>
                <w:b/>
                <w:sz w:val="16"/>
              </w:rPr>
            </w:pPr>
            <w:r>
              <w:rPr>
                <w:rFonts w:ascii="times new roman;times" w:hAnsi="times new roman;times"/>
                <w:b/>
                <w:sz w:val="16"/>
              </w:rPr>
              <w:t>Increase (Decrease)</w:t>
            </w:r>
          </w:p>
          <w:p>
            <w:pPr>
              <w:pStyle w:val="TableContents"/>
              <w:bidi w:val="0"/>
              <w:spacing w:before="0" w:after="0"/>
              <w:jc w:val="center"/>
              <w:rPr>
                <w:rFonts w:ascii="times new roman;times" w:hAnsi="times new roman;times"/>
                <w:b/>
                <w:sz w:val="16"/>
              </w:rPr>
            </w:pPr>
            <w:r>
              <w:rPr>
                <w:rFonts w:ascii="times new roman;times" w:hAnsi="times new roman;times"/>
                <w:b/>
                <w:sz w:val="16"/>
              </w:rPr>
              <w:t>Amount</w:t>
            </w:r>
          </w:p>
        </w:tc>
        <w:tc>
          <w:tcPr>
            <w:tcW w:w="74" w:type="dxa"/>
            <w:tcBorders/>
            <w:vAlign w:val="center"/>
          </w:tcPr>
          <w:p>
            <w:pPr>
              <w:pStyle w:val="TableContents"/>
              <w:bidi w:val="0"/>
              <w:spacing w:before="0" w:after="0"/>
              <w:jc w:val="left"/>
              <w:rPr/>
            </w:pPr>
            <w:r>
              <w:rPr/>
              <w:t> </w:t>
            </w:r>
          </w:p>
        </w:tc>
        <w:tc>
          <w:tcPr>
            <w:tcW w:w="914" w:type="dxa"/>
            <w:gridSpan w:val="2"/>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Increase (Decrease)</w:t>
            </w:r>
          </w:p>
          <w:p>
            <w:pPr>
              <w:pStyle w:val="TableContents"/>
              <w:bidi w:val="0"/>
              <w:spacing w:before="0" w:after="0"/>
              <w:jc w:val="center"/>
              <w:rPr>
                <w:rFonts w:ascii="times new roman;times" w:hAnsi="times new roman;times"/>
                <w:b/>
                <w:sz w:val="16"/>
              </w:rPr>
            </w:pPr>
            <w:r>
              <w:rPr>
                <w:rFonts w:ascii="times new roman;times" w:hAnsi="times new roman;times"/>
                <w:b/>
                <w:sz w:val="16"/>
              </w:rPr>
              <w:t>Percent</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pPr>
            <w:r>
              <w:rPr/>
            </w:r>
          </w:p>
        </w:tc>
        <w:tc>
          <w:tcPr>
            <w:tcW w:w="1142" w:type="dxa"/>
            <w:gridSpan w:val="3"/>
            <w:tcBorders/>
            <w:vAlign w:val="center"/>
          </w:tcPr>
          <w:p>
            <w:pPr>
              <w:pStyle w:val="TableContents"/>
              <w:bidi w:val="0"/>
              <w:spacing w:before="0" w:after="283"/>
              <w:jc w:val="center"/>
              <w:rPr>
                <w:b/>
                <w:sz w:val="16"/>
              </w:rPr>
            </w:pPr>
            <w:r>
              <w:rPr>
                <w:b/>
                <w:sz w:val="16"/>
              </w:rPr>
              <w:t>2024</w:t>
            </w:r>
          </w:p>
        </w:tc>
        <w:tc>
          <w:tcPr>
            <w:tcW w:w="32" w:type="dxa"/>
            <w:tcBorders/>
            <w:vAlign w:val="center"/>
          </w:tcPr>
          <w:p>
            <w:pPr>
              <w:pStyle w:val="TableContents"/>
              <w:bidi w:val="0"/>
              <w:spacing w:before="0" w:after="283"/>
              <w:jc w:val="left"/>
              <w:rPr>
                <w:sz w:val="4"/>
                <w:szCs w:val="4"/>
              </w:rPr>
            </w:pPr>
            <w:r>
              <w:rPr>
                <w:sz w:val="4"/>
                <w:szCs w:val="4"/>
              </w:rPr>
            </w:r>
          </w:p>
        </w:tc>
        <w:tc>
          <w:tcPr>
            <w:tcW w:w="1142" w:type="dxa"/>
            <w:gridSpan w:val="3"/>
            <w:tcBorders/>
            <w:vAlign w:val="bottom"/>
          </w:tcPr>
          <w:p>
            <w:pPr>
              <w:pStyle w:val="TableContents"/>
              <w:bidi w:val="0"/>
              <w:spacing w:before="0" w:after="283"/>
              <w:jc w:val="center"/>
              <w:rPr>
                <w:b/>
                <w:sz w:val="16"/>
              </w:rPr>
            </w:pPr>
            <w:r>
              <w:rPr>
                <w:b/>
                <w:sz w:val="16"/>
              </w:rPr>
              <w:t>2023</w:t>
            </w:r>
          </w:p>
        </w:tc>
        <w:tc>
          <w:tcPr>
            <w:tcW w:w="23" w:type="dxa"/>
            <w:tcBorders/>
            <w:vAlign w:val="center"/>
          </w:tcPr>
          <w:p>
            <w:pPr>
              <w:pStyle w:val="TableContents"/>
              <w:bidi w:val="0"/>
              <w:spacing w:before="0" w:after="283"/>
              <w:jc w:val="left"/>
              <w:rPr/>
            </w:pPr>
            <w:r>
              <w:rPr/>
            </w:r>
          </w:p>
        </w:tc>
        <w:tc>
          <w:tcPr>
            <w:tcW w:w="914" w:type="dxa"/>
            <w:gridSpan w:val="3"/>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Increase (Decrease)</w:t>
            </w:r>
          </w:p>
          <w:p>
            <w:pPr>
              <w:pStyle w:val="TableContents"/>
              <w:bidi w:val="0"/>
              <w:spacing w:before="0" w:after="0"/>
              <w:jc w:val="center"/>
              <w:rPr>
                <w:rFonts w:ascii="times new roman;times" w:hAnsi="times new roman;times"/>
                <w:b/>
                <w:sz w:val="16"/>
              </w:rPr>
            </w:pPr>
            <w:r>
              <w:rPr>
                <w:rFonts w:ascii="times new roman;times" w:hAnsi="times new roman;times"/>
                <w:b/>
                <w:sz w:val="16"/>
              </w:rPr>
              <w:t>Amount</w:t>
            </w:r>
          </w:p>
        </w:tc>
        <w:tc>
          <w:tcPr>
            <w:tcW w:w="24" w:type="dxa"/>
            <w:tcBorders/>
            <w:vAlign w:val="center"/>
          </w:tcPr>
          <w:p>
            <w:pPr>
              <w:pStyle w:val="TableContents"/>
              <w:bidi w:val="0"/>
              <w:spacing w:before="0" w:after="283"/>
              <w:jc w:val="left"/>
              <w:rPr/>
            </w:pPr>
            <w:r>
              <w:rPr/>
            </w:r>
          </w:p>
        </w:tc>
        <w:tc>
          <w:tcPr>
            <w:tcW w:w="914" w:type="dxa"/>
            <w:gridSpan w:val="2"/>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Increase (Decrease)</w:t>
            </w:r>
          </w:p>
          <w:p>
            <w:pPr>
              <w:pStyle w:val="TableContents"/>
              <w:bidi w:val="0"/>
              <w:spacing w:before="0" w:after="0"/>
              <w:jc w:val="center"/>
              <w:rPr>
                <w:rFonts w:ascii="times new roman;times" w:hAnsi="times new roman;times"/>
                <w:b/>
                <w:sz w:val="16"/>
              </w:rPr>
            </w:pPr>
            <w:r>
              <w:rPr>
                <w:rFonts w:ascii="times new roman;times" w:hAnsi="times new roman;times"/>
                <w:b/>
                <w:sz w:val="16"/>
              </w:rPr>
              <w:t>Percent</w:t>
            </w:r>
          </w:p>
        </w:tc>
        <w:tc>
          <w:tcPr>
            <w:tcW w:w="51" w:type="dxa"/>
            <w:tcBorders/>
            <w:vAlign w:val="center"/>
          </w:tcPr>
          <w:p>
            <w:pPr>
              <w:pStyle w:val="TableContents"/>
              <w:bidi w:val="0"/>
              <w:spacing w:before="0" w:after="283"/>
              <w:jc w:val="left"/>
              <w:rPr/>
            </w:pPr>
            <w:r>
              <w:rPr/>
            </w:r>
          </w:p>
        </w:tc>
      </w:tr>
      <w:tr>
        <w:trPr/>
        <w:tc>
          <w:tcPr>
            <w:tcW w:w="1593"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EFT Processing</w:t>
            </w:r>
          </w:p>
        </w:tc>
        <w:tc>
          <w:tcPr>
            <w:tcW w:w="60"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760"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79.9</w:t>
            </w:r>
          </w:p>
        </w:tc>
        <w:tc>
          <w:tcPr>
            <w:tcW w:w="148" w:type="dxa"/>
            <w:tcBorders/>
            <w:shd w:fill="CCEEFF" w:val="clear"/>
            <w:vAlign w:val="center"/>
          </w:tcPr>
          <w:p>
            <w:pPr>
              <w:pStyle w:val="TableContents"/>
              <w:bidi w:val="0"/>
              <w:spacing w:before="0" w:after="283"/>
              <w:jc w:val="left"/>
              <w:rPr>
                <w:sz w:val="4"/>
                <w:szCs w:val="4"/>
              </w:rPr>
            </w:pPr>
            <w:r>
              <w:rPr>
                <w:sz w:val="4"/>
                <w:szCs w:val="4"/>
              </w:rPr>
            </w:r>
          </w:p>
        </w:tc>
        <w:tc>
          <w:tcPr>
            <w:tcW w:w="94"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760"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69.1</w:t>
            </w:r>
          </w:p>
        </w:tc>
        <w:tc>
          <w:tcPr>
            <w:tcW w:w="14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226"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551"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10.8</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74" w:type="dxa"/>
            <w:tcBorders/>
            <w:shd w:fill="CCEEFF" w:val="clear"/>
            <w:vAlign w:val="center"/>
          </w:tcPr>
          <w:p>
            <w:pPr>
              <w:pStyle w:val="TableContents"/>
              <w:bidi w:val="0"/>
              <w:spacing w:before="0" w:after="0"/>
              <w:jc w:val="left"/>
              <w:rPr/>
            </w:pPr>
            <w:r>
              <w:rPr/>
              <w:t> </w:t>
            </w:r>
          </w:p>
        </w:tc>
        <w:tc>
          <w:tcPr>
            <w:tcW w:w="503"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16</w:t>
            </w:r>
          </w:p>
        </w:tc>
        <w:tc>
          <w:tcPr>
            <w:tcW w:w="411"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pPr>
            <w:r>
              <w:rPr/>
            </w:r>
          </w:p>
        </w:tc>
        <w:tc>
          <w:tcPr>
            <w:tcW w:w="201" w:type="dxa"/>
            <w:tcBorders/>
            <w:shd w:fill="CCEEFF" w:val="clear"/>
            <w:vAlign w:val="center"/>
          </w:tcPr>
          <w:p>
            <w:pPr>
              <w:pStyle w:val="TableContents"/>
              <w:bidi w:val="0"/>
              <w:spacing w:before="0" w:after="283"/>
              <w:jc w:val="left"/>
              <w:rPr/>
            </w:pPr>
            <w:r>
              <w:rPr/>
              <w:t>$</w:t>
            </w:r>
          </w:p>
        </w:tc>
        <w:tc>
          <w:tcPr>
            <w:tcW w:w="805" w:type="dxa"/>
            <w:tcBorders/>
            <w:shd w:fill="CCEEFF" w:val="clear"/>
            <w:vAlign w:val="center"/>
          </w:tcPr>
          <w:p>
            <w:pPr>
              <w:pStyle w:val="TableContents"/>
              <w:bidi w:val="0"/>
              <w:spacing w:before="0" w:after="283"/>
              <w:jc w:val="right"/>
              <w:rPr/>
            </w:pPr>
            <w:r>
              <w:rPr/>
              <w:t>101.4</w:t>
            </w:r>
          </w:p>
        </w:tc>
        <w:tc>
          <w:tcPr>
            <w:tcW w:w="136" w:type="dxa"/>
            <w:tcBorders/>
            <w:shd w:fill="CCEEFF" w:val="clear"/>
            <w:vAlign w:val="center"/>
          </w:tcPr>
          <w:p>
            <w:pPr>
              <w:pStyle w:val="TableContents"/>
              <w:bidi w:val="0"/>
              <w:spacing w:before="0" w:after="283"/>
              <w:jc w:val="left"/>
              <w:rPr/>
            </w:pPr>
            <w:r>
              <w:rPr/>
            </w:r>
          </w:p>
        </w:tc>
        <w:tc>
          <w:tcPr>
            <w:tcW w:w="32" w:type="dxa"/>
            <w:tcBorders/>
            <w:shd w:fill="CCEEFF" w:val="clear"/>
            <w:vAlign w:val="center"/>
          </w:tcPr>
          <w:p>
            <w:pPr>
              <w:pStyle w:val="TableContents"/>
              <w:bidi w:val="0"/>
              <w:spacing w:before="0" w:after="283"/>
              <w:jc w:val="left"/>
              <w:rPr/>
            </w:pPr>
            <w:r>
              <w:rPr/>
            </w:r>
          </w:p>
        </w:tc>
        <w:tc>
          <w:tcPr>
            <w:tcW w:w="201" w:type="dxa"/>
            <w:tcBorders/>
            <w:shd w:fill="CCEEFF" w:val="clear"/>
            <w:vAlign w:val="center"/>
          </w:tcPr>
          <w:p>
            <w:pPr>
              <w:pStyle w:val="TableContents"/>
              <w:bidi w:val="0"/>
              <w:spacing w:before="0" w:after="283"/>
              <w:jc w:val="left"/>
              <w:rPr/>
            </w:pPr>
            <w:r>
              <w:rPr/>
              <w:t>$</w:t>
            </w:r>
          </w:p>
        </w:tc>
        <w:tc>
          <w:tcPr>
            <w:tcW w:w="805" w:type="dxa"/>
            <w:tcBorders/>
            <w:shd w:fill="CCEEFF" w:val="clear"/>
            <w:vAlign w:val="center"/>
          </w:tcPr>
          <w:p>
            <w:pPr>
              <w:pStyle w:val="TableContents"/>
              <w:bidi w:val="0"/>
              <w:spacing w:before="0" w:after="283"/>
              <w:jc w:val="right"/>
              <w:rPr/>
            </w:pPr>
            <w:r>
              <w:rPr/>
              <w:t>76.0</w:t>
            </w:r>
          </w:p>
        </w:tc>
        <w:tc>
          <w:tcPr>
            <w:tcW w:w="136"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208" w:type="dxa"/>
            <w:tcBorders/>
            <w:shd w:fill="CCEEFF" w:val="clear"/>
            <w:vAlign w:val="center"/>
          </w:tcPr>
          <w:p>
            <w:pPr>
              <w:pStyle w:val="TableContents"/>
              <w:bidi w:val="0"/>
              <w:spacing w:before="0" w:after="283"/>
              <w:jc w:val="left"/>
              <w:rPr/>
            </w:pPr>
            <w:r>
              <w:rPr/>
              <w:t>$</w:t>
            </w:r>
          </w:p>
        </w:tc>
        <w:tc>
          <w:tcPr>
            <w:tcW w:w="583" w:type="dxa"/>
            <w:tcBorders/>
            <w:shd w:fill="CCEEFF" w:val="clear"/>
            <w:vAlign w:val="center"/>
          </w:tcPr>
          <w:p>
            <w:pPr>
              <w:pStyle w:val="TableContents"/>
              <w:bidi w:val="0"/>
              <w:spacing w:before="0" w:after="283"/>
              <w:jc w:val="right"/>
              <w:rPr/>
            </w:pPr>
            <w:r>
              <w:rPr/>
              <w:t>25.4</w:t>
            </w:r>
          </w:p>
        </w:tc>
        <w:tc>
          <w:tcPr>
            <w:tcW w:w="123" w:type="dxa"/>
            <w:tcBorders/>
            <w:shd w:fill="CCEEFF" w:val="clear"/>
            <w:vAlign w:val="center"/>
          </w:tcPr>
          <w:p>
            <w:pPr>
              <w:pStyle w:val="TableContents"/>
              <w:bidi w:val="0"/>
              <w:spacing w:before="0" w:after="283"/>
              <w:jc w:val="left"/>
              <w:rPr>
                <w:sz w:val="4"/>
                <w:szCs w:val="4"/>
              </w:rPr>
            </w:pPr>
            <w:r>
              <w:rPr>
                <w:sz w:val="4"/>
                <w:szCs w:val="4"/>
              </w:rPr>
            </w:r>
          </w:p>
        </w:tc>
        <w:tc>
          <w:tcPr>
            <w:tcW w:w="24" w:type="dxa"/>
            <w:tcBorders/>
            <w:shd w:fill="CCEEFF" w:val="clear"/>
            <w:vAlign w:val="center"/>
          </w:tcPr>
          <w:p>
            <w:pPr>
              <w:pStyle w:val="TableContents"/>
              <w:bidi w:val="0"/>
              <w:spacing w:before="0" w:after="283"/>
              <w:jc w:val="left"/>
              <w:rPr/>
            </w:pPr>
            <w:r>
              <w:rPr/>
            </w:r>
          </w:p>
        </w:tc>
        <w:tc>
          <w:tcPr>
            <w:tcW w:w="499" w:type="dxa"/>
            <w:tcBorders/>
            <w:shd w:fill="CCEEFF" w:val="clear"/>
            <w:vAlign w:val="center"/>
          </w:tcPr>
          <w:p>
            <w:pPr>
              <w:pStyle w:val="TableContents"/>
              <w:bidi w:val="0"/>
              <w:spacing w:before="0" w:after="283"/>
              <w:jc w:val="right"/>
              <w:rPr/>
            </w:pPr>
            <w:r>
              <w:rPr/>
              <w:t>33</w:t>
            </w:r>
          </w:p>
        </w:tc>
        <w:tc>
          <w:tcPr>
            <w:tcW w:w="415" w:type="dxa"/>
            <w:tcBorders/>
            <w:shd w:fill="CCEEFF" w:val="clear"/>
            <w:vAlign w:val="center"/>
          </w:tcPr>
          <w:p>
            <w:pPr>
              <w:pStyle w:val="TableContents"/>
              <w:bidi w:val="0"/>
              <w:spacing w:before="0" w:after="283"/>
              <w:jc w:val="left"/>
              <w:rPr>
                <w:sz w:val="20"/>
              </w:rPr>
            </w:pPr>
            <w:r>
              <w:rPr>
                <w:sz w:val="20"/>
              </w:rPr>
              <w:t>%</w:t>
            </w:r>
          </w:p>
        </w:tc>
        <w:tc>
          <w:tcPr>
            <w:tcW w:w="51" w:type="dxa"/>
            <w:tcBorders/>
            <w:shd w:fill="CCEEFF" w:val="clear"/>
            <w:vAlign w:val="center"/>
          </w:tcPr>
          <w:p>
            <w:pPr>
              <w:pStyle w:val="TableContents"/>
              <w:bidi w:val="0"/>
              <w:spacing w:before="0" w:after="283"/>
              <w:jc w:val="left"/>
              <w:rPr/>
            </w:pPr>
            <w:r>
              <w:rPr/>
            </w:r>
          </w:p>
        </w:tc>
      </w:tr>
      <w:tr>
        <w:trPr/>
        <w:tc>
          <w:tcPr>
            <w:tcW w:w="1593"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epay</w:t>
            </w:r>
          </w:p>
        </w:tc>
        <w:tc>
          <w:tcPr>
            <w:tcW w:w="60" w:type="dxa"/>
            <w:tcBorders/>
            <w:vAlign w:val="center"/>
          </w:tcPr>
          <w:p>
            <w:pPr>
              <w:pStyle w:val="TableContents"/>
              <w:bidi w:val="0"/>
              <w:spacing w:before="0" w:after="0"/>
              <w:jc w:val="left"/>
              <w:rPr/>
            </w:pPr>
            <w:r>
              <w:rPr/>
              <w:t> </w:t>
            </w:r>
          </w:p>
        </w:tc>
        <w:tc>
          <w:tcPr>
            <w:tcW w:w="956"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26.2</w:t>
            </w:r>
          </w:p>
        </w:tc>
        <w:tc>
          <w:tcPr>
            <w:tcW w:w="148"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0"/>
              <w:jc w:val="left"/>
              <w:rPr/>
            </w:pPr>
            <w:r>
              <w:rPr/>
              <w:t> </w:t>
            </w:r>
          </w:p>
        </w:tc>
        <w:tc>
          <w:tcPr>
            <w:tcW w:w="956"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26.8</w:t>
            </w:r>
          </w:p>
        </w:tc>
        <w:tc>
          <w:tcPr>
            <w:tcW w:w="1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777"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(0.6</w:t>
            </w:r>
          </w:p>
        </w:tc>
        <w:tc>
          <w:tcPr>
            <w:tcW w:w="137" w:type="dxa"/>
            <w:tcBorders/>
            <w:vAlign w:val="center"/>
          </w:tcPr>
          <w:p>
            <w:pPr>
              <w:pStyle w:val="TableContents"/>
              <w:bidi w:val="0"/>
              <w:spacing w:before="0" w:after="283"/>
              <w:jc w:val="left"/>
              <w:rPr/>
            </w:pPr>
            <w:r>
              <w:rPr/>
              <w:t>)</w:t>
            </w:r>
          </w:p>
        </w:tc>
        <w:tc>
          <w:tcPr>
            <w:tcW w:w="74"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w:t>
            </w:r>
          </w:p>
        </w:tc>
        <w:tc>
          <w:tcPr>
            <w:tcW w:w="411"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pPr>
            <w:r>
              <w:rPr/>
            </w:r>
          </w:p>
        </w:tc>
        <w:tc>
          <w:tcPr>
            <w:tcW w:w="201" w:type="dxa"/>
            <w:tcBorders/>
            <w:vAlign w:val="center"/>
          </w:tcPr>
          <w:p>
            <w:pPr>
              <w:pStyle w:val="TableContents"/>
              <w:bidi w:val="0"/>
              <w:spacing w:before="0" w:after="283"/>
              <w:jc w:val="left"/>
              <w:rPr/>
            </w:pPr>
            <w:r>
              <w:rPr/>
            </w:r>
          </w:p>
        </w:tc>
        <w:tc>
          <w:tcPr>
            <w:tcW w:w="805" w:type="dxa"/>
            <w:tcBorders/>
            <w:vAlign w:val="center"/>
          </w:tcPr>
          <w:p>
            <w:pPr>
              <w:pStyle w:val="TableContents"/>
              <w:bidi w:val="0"/>
              <w:spacing w:before="0" w:after="283"/>
              <w:jc w:val="right"/>
              <w:rPr/>
            </w:pPr>
            <w:r>
              <w:rPr/>
              <w:t>52.8</w:t>
            </w:r>
          </w:p>
        </w:tc>
        <w:tc>
          <w:tcPr>
            <w:tcW w:w="136" w:type="dxa"/>
            <w:tcBorders/>
            <w:vAlign w:val="center"/>
          </w:tcPr>
          <w:p>
            <w:pPr>
              <w:pStyle w:val="TableContents"/>
              <w:bidi w:val="0"/>
              <w:spacing w:before="0" w:after="283"/>
              <w:jc w:val="left"/>
              <w:rPr/>
            </w:pPr>
            <w:r>
              <w:rPr/>
            </w:r>
          </w:p>
        </w:tc>
        <w:tc>
          <w:tcPr>
            <w:tcW w:w="32" w:type="dxa"/>
            <w:tcBorders/>
            <w:vAlign w:val="center"/>
          </w:tcPr>
          <w:p>
            <w:pPr>
              <w:pStyle w:val="TableContents"/>
              <w:bidi w:val="0"/>
              <w:spacing w:before="0" w:after="283"/>
              <w:jc w:val="left"/>
              <w:rPr/>
            </w:pPr>
            <w:r>
              <w:rPr/>
            </w:r>
          </w:p>
        </w:tc>
        <w:tc>
          <w:tcPr>
            <w:tcW w:w="201" w:type="dxa"/>
            <w:tcBorders/>
            <w:vAlign w:val="center"/>
          </w:tcPr>
          <w:p>
            <w:pPr>
              <w:pStyle w:val="TableContents"/>
              <w:bidi w:val="0"/>
              <w:spacing w:before="0" w:after="283"/>
              <w:jc w:val="left"/>
              <w:rPr/>
            </w:pPr>
            <w:r>
              <w:rPr/>
            </w:r>
          </w:p>
        </w:tc>
        <w:tc>
          <w:tcPr>
            <w:tcW w:w="805" w:type="dxa"/>
            <w:tcBorders/>
            <w:vAlign w:val="center"/>
          </w:tcPr>
          <w:p>
            <w:pPr>
              <w:pStyle w:val="TableContents"/>
              <w:bidi w:val="0"/>
              <w:spacing w:before="0" w:after="283"/>
              <w:jc w:val="right"/>
              <w:rPr/>
            </w:pPr>
            <w:r>
              <w:rPr/>
              <w:t>54.3</w:t>
            </w:r>
          </w:p>
        </w:tc>
        <w:tc>
          <w:tcPr>
            <w:tcW w:w="136"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08" w:type="dxa"/>
            <w:tcBorders/>
            <w:vAlign w:val="center"/>
          </w:tcPr>
          <w:p>
            <w:pPr>
              <w:pStyle w:val="TableContents"/>
              <w:bidi w:val="0"/>
              <w:spacing w:before="0" w:after="283"/>
              <w:jc w:val="left"/>
              <w:rPr/>
            </w:pPr>
            <w:r>
              <w:rPr/>
            </w:r>
          </w:p>
        </w:tc>
        <w:tc>
          <w:tcPr>
            <w:tcW w:w="583" w:type="dxa"/>
            <w:tcBorders/>
            <w:vAlign w:val="center"/>
          </w:tcPr>
          <w:p>
            <w:pPr>
              <w:pStyle w:val="TableContents"/>
              <w:bidi w:val="0"/>
              <w:spacing w:before="0" w:after="283"/>
              <w:jc w:val="right"/>
              <w:rPr/>
            </w:pPr>
            <w:r>
              <w:rPr/>
              <w:t>(1.5</w:t>
            </w:r>
          </w:p>
        </w:tc>
        <w:tc>
          <w:tcPr>
            <w:tcW w:w="123" w:type="dxa"/>
            <w:tcBorders/>
            <w:vAlign w:val="center"/>
          </w:tcPr>
          <w:p>
            <w:pPr>
              <w:pStyle w:val="TableContents"/>
              <w:bidi w:val="0"/>
              <w:spacing w:before="0" w:after="283"/>
              <w:jc w:val="left"/>
              <w:rPr/>
            </w:pPr>
            <w:r>
              <w:rPr/>
              <w:t>)</w:t>
            </w:r>
          </w:p>
        </w:tc>
        <w:tc>
          <w:tcPr>
            <w:tcW w:w="24" w:type="dxa"/>
            <w:tcBorders/>
            <w:vAlign w:val="center"/>
          </w:tcPr>
          <w:p>
            <w:pPr>
              <w:pStyle w:val="TableContents"/>
              <w:bidi w:val="0"/>
              <w:spacing w:before="0" w:after="283"/>
              <w:jc w:val="left"/>
              <w:rPr/>
            </w:pPr>
            <w:r>
              <w:rPr/>
            </w:r>
          </w:p>
        </w:tc>
        <w:tc>
          <w:tcPr>
            <w:tcW w:w="499" w:type="dxa"/>
            <w:tcBorders/>
            <w:vAlign w:val="center"/>
          </w:tcPr>
          <w:p>
            <w:pPr>
              <w:pStyle w:val="TableContents"/>
              <w:bidi w:val="0"/>
              <w:spacing w:before="0" w:after="283"/>
              <w:jc w:val="right"/>
              <w:rPr/>
            </w:pPr>
            <w:r>
              <w:rPr/>
              <w:t>(3)</w:t>
            </w:r>
          </w:p>
        </w:tc>
        <w:tc>
          <w:tcPr>
            <w:tcW w:w="415" w:type="dxa"/>
            <w:tcBorders/>
            <w:vAlign w:val="center"/>
          </w:tcPr>
          <w:p>
            <w:pPr>
              <w:pStyle w:val="TableContents"/>
              <w:bidi w:val="0"/>
              <w:spacing w:before="0" w:after="283"/>
              <w:jc w:val="left"/>
              <w:rPr/>
            </w:pPr>
            <w:r>
              <w:rPr/>
              <w:t>%</w:t>
            </w:r>
          </w:p>
        </w:tc>
        <w:tc>
          <w:tcPr>
            <w:tcW w:w="51" w:type="dxa"/>
            <w:tcBorders/>
            <w:vAlign w:val="center"/>
          </w:tcPr>
          <w:p>
            <w:pPr>
              <w:pStyle w:val="TableContents"/>
              <w:bidi w:val="0"/>
              <w:spacing w:before="0" w:after="283"/>
              <w:jc w:val="left"/>
              <w:rPr/>
            </w:pPr>
            <w:r>
              <w:rPr/>
            </w:r>
          </w:p>
        </w:tc>
      </w:tr>
      <w:tr>
        <w:trPr/>
        <w:tc>
          <w:tcPr>
            <w:tcW w:w="1593"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Money Transfer </w:t>
            </w:r>
          </w:p>
        </w:tc>
        <w:tc>
          <w:tcPr>
            <w:tcW w:w="60" w:type="dxa"/>
            <w:tcBorders/>
            <w:shd w:fill="CCEEFF" w:val="clear"/>
            <w:vAlign w:val="center"/>
          </w:tcPr>
          <w:p>
            <w:pPr>
              <w:pStyle w:val="TableContents"/>
              <w:bidi w:val="0"/>
              <w:spacing w:before="0" w:after="0"/>
              <w:jc w:val="left"/>
              <w:rPr/>
            </w:pPr>
            <w:r>
              <w:rPr/>
              <w:t> </w:t>
            </w:r>
          </w:p>
        </w:tc>
        <w:tc>
          <w:tcPr>
            <w:tcW w:w="956"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47.3</w:t>
            </w:r>
          </w:p>
        </w:tc>
        <w:tc>
          <w:tcPr>
            <w:tcW w:w="148" w:type="dxa"/>
            <w:tcBorders/>
            <w:shd w:fill="CCEEFF" w:val="clear"/>
            <w:vAlign w:val="center"/>
          </w:tcPr>
          <w:p>
            <w:pPr>
              <w:pStyle w:val="TableContents"/>
              <w:bidi w:val="0"/>
              <w:spacing w:before="0" w:after="283"/>
              <w:jc w:val="left"/>
              <w:rPr>
                <w:sz w:val="4"/>
                <w:szCs w:val="4"/>
              </w:rPr>
            </w:pPr>
            <w:r>
              <w:rPr>
                <w:sz w:val="4"/>
                <w:szCs w:val="4"/>
              </w:rPr>
            </w:r>
          </w:p>
        </w:tc>
        <w:tc>
          <w:tcPr>
            <w:tcW w:w="94" w:type="dxa"/>
            <w:tcBorders/>
            <w:shd w:fill="CCEEFF" w:val="clear"/>
            <w:vAlign w:val="center"/>
          </w:tcPr>
          <w:p>
            <w:pPr>
              <w:pStyle w:val="TableContents"/>
              <w:bidi w:val="0"/>
              <w:spacing w:before="0" w:after="0"/>
              <w:jc w:val="left"/>
              <w:rPr/>
            </w:pPr>
            <w:r>
              <w:rPr/>
              <w:t> </w:t>
            </w:r>
          </w:p>
        </w:tc>
        <w:tc>
          <w:tcPr>
            <w:tcW w:w="956"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47.2</w:t>
            </w:r>
          </w:p>
        </w:tc>
        <w:tc>
          <w:tcPr>
            <w:tcW w:w="14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777"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0.1</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74" w:type="dxa"/>
            <w:tcBorders/>
            <w:shd w:fill="CCEEFF" w:val="clear"/>
            <w:vAlign w:val="center"/>
          </w:tcPr>
          <w:p>
            <w:pPr>
              <w:pStyle w:val="TableContents"/>
              <w:bidi w:val="0"/>
              <w:spacing w:before="0" w:after="0"/>
              <w:jc w:val="left"/>
              <w:rPr/>
            </w:pPr>
            <w:r>
              <w:rPr/>
              <w:t> </w:t>
            </w:r>
          </w:p>
        </w:tc>
        <w:tc>
          <w:tcPr>
            <w:tcW w:w="503"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0</w:t>
            </w:r>
          </w:p>
        </w:tc>
        <w:tc>
          <w:tcPr>
            <w:tcW w:w="411"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pPr>
            <w:r>
              <w:rPr/>
            </w:r>
          </w:p>
        </w:tc>
        <w:tc>
          <w:tcPr>
            <w:tcW w:w="201" w:type="dxa"/>
            <w:tcBorders/>
            <w:shd w:fill="CCEEFF" w:val="clear"/>
            <w:vAlign w:val="center"/>
          </w:tcPr>
          <w:p>
            <w:pPr>
              <w:pStyle w:val="TableContents"/>
              <w:bidi w:val="0"/>
              <w:spacing w:before="0" w:after="283"/>
              <w:jc w:val="left"/>
              <w:rPr/>
            </w:pPr>
            <w:r>
              <w:rPr/>
            </w:r>
          </w:p>
        </w:tc>
        <w:tc>
          <w:tcPr>
            <w:tcW w:w="805" w:type="dxa"/>
            <w:tcBorders/>
            <w:shd w:fill="CCEEFF" w:val="clear"/>
            <w:vAlign w:val="center"/>
          </w:tcPr>
          <w:p>
            <w:pPr>
              <w:pStyle w:val="TableContents"/>
              <w:bidi w:val="0"/>
              <w:spacing w:before="0" w:after="283"/>
              <w:jc w:val="right"/>
              <w:rPr/>
            </w:pPr>
            <w:r>
              <w:rPr/>
              <w:t>84.5</w:t>
            </w:r>
          </w:p>
        </w:tc>
        <w:tc>
          <w:tcPr>
            <w:tcW w:w="136" w:type="dxa"/>
            <w:tcBorders/>
            <w:shd w:fill="CCEEFF" w:val="clear"/>
            <w:vAlign w:val="center"/>
          </w:tcPr>
          <w:p>
            <w:pPr>
              <w:pStyle w:val="TableContents"/>
              <w:bidi w:val="0"/>
              <w:spacing w:before="0" w:after="283"/>
              <w:jc w:val="left"/>
              <w:rPr/>
            </w:pPr>
            <w:r>
              <w:rPr/>
            </w:r>
          </w:p>
        </w:tc>
        <w:tc>
          <w:tcPr>
            <w:tcW w:w="32" w:type="dxa"/>
            <w:tcBorders/>
            <w:shd w:fill="CCEEFF" w:val="clear"/>
            <w:vAlign w:val="center"/>
          </w:tcPr>
          <w:p>
            <w:pPr>
              <w:pStyle w:val="TableContents"/>
              <w:bidi w:val="0"/>
              <w:spacing w:before="0" w:after="283"/>
              <w:jc w:val="left"/>
              <w:rPr/>
            </w:pPr>
            <w:r>
              <w:rPr/>
            </w:r>
          </w:p>
        </w:tc>
        <w:tc>
          <w:tcPr>
            <w:tcW w:w="201" w:type="dxa"/>
            <w:tcBorders/>
            <w:shd w:fill="CCEEFF" w:val="clear"/>
            <w:vAlign w:val="center"/>
          </w:tcPr>
          <w:p>
            <w:pPr>
              <w:pStyle w:val="TableContents"/>
              <w:bidi w:val="0"/>
              <w:spacing w:before="0" w:after="283"/>
              <w:jc w:val="left"/>
              <w:rPr/>
            </w:pPr>
            <w:r>
              <w:rPr/>
            </w:r>
          </w:p>
        </w:tc>
        <w:tc>
          <w:tcPr>
            <w:tcW w:w="805" w:type="dxa"/>
            <w:tcBorders/>
            <w:shd w:fill="CCEEFF" w:val="clear"/>
            <w:vAlign w:val="center"/>
          </w:tcPr>
          <w:p>
            <w:pPr>
              <w:pStyle w:val="TableContents"/>
              <w:bidi w:val="0"/>
              <w:spacing w:before="0" w:after="283"/>
              <w:jc w:val="right"/>
              <w:rPr/>
            </w:pPr>
            <w:r>
              <w:rPr/>
              <w:t>79.8</w:t>
            </w:r>
          </w:p>
        </w:tc>
        <w:tc>
          <w:tcPr>
            <w:tcW w:w="136"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208" w:type="dxa"/>
            <w:tcBorders/>
            <w:shd w:fill="CCEEFF" w:val="clear"/>
            <w:vAlign w:val="center"/>
          </w:tcPr>
          <w:p>
            <w:pPr>
              <w:pStyle w:val="TableContents"/>
              <w:bidi w:val="0"/>
              <w:spacing w:before="0" w:after="283"/>
              <w:jc w:val="left"/>
              <w:rPr/>
            </w:pPr>
            <w:r>
              <w:rPr/>
            </w:r>
          </w:p>
        </w:tc>
        <w:tc>
          <w:tcPr>
            <w:tcW w:w="583" w:type="dxa"/>
            <w:tcBorders/>
            <w:shd w:fill="CCEEFF" w:val="clear"/>
            <w:vAlign w:val="center"/>
          </w:tcPr>
          <w:p>
            <w:pPr>
              <w:pStyle w:val="TableContents"/>
              <w:bidi w:val="0"/>
              <w:spacing w:before="0" w:after="283"/>
              <w:jc w:val="right"/>
              <w:rPr/>
            </w:pPr>
            <w:r>
              <w:rPr/>
              <w:t>4.7</w:t>
            </w:r>
          </w:p>
        </w:tc>
        <w:tc>
          <w:tcPr>
            <w:tcW w:w="123" w:type="dxa"/>
            <w:tcBorders/>
            <w:shd w:fill="CCEEFF" w:val="clear"/>
            <w:vAlign w:val="center"/>
          </w:tcPr>
          <w:p>
            <w:pPr>
              <w:pStyle w:val="TableContents"/>
              <w:bidi w:val="0"/>
              <w:spacing w:before="0" w:after="283"/>
              <w:jc w:val="left"/>
              <w:rPr>
                <w:sz w:val="4"/>
                <w:szCs w:val="4"/>
              </w:rPr>
            </w:pPr>
            <w:r>
              <w:rPr>
                <w:sz w:val="4"/>
                <w:szCs w:val="4"/>
              </w:rPr>
            </w:r>
          </w:p>
        </w:tc>
        <w:tc>
          <w:tcPr>
            <w:tcW w:w="24" w:type="dxa"/>
            <w:tcBorders/>
            <w:shd w:fill="CCEEFF" w:val="clear"/>
            <w:vAlign w:val="center"/>
          </w:tcPr>
          <w:p>
            <w:pPr>
              <w:pStyle w:val="TableContents"/>
              <w:bidi w:val="0"/>
              <w:spacing w:before="0" w:after="283"/>
              <w:jc w:val="left"/>
              <w:rPr/>
            </w:pPr>
            <w:r>
              <w:rPr/>
            </w:r>
          </w:p>
        </w:tc>
        <w:tc>
          <w:tcPr>
            <w:tcW w:w="499" w:type="dxa"/>
            <w:tcBorders/>
            <w:shd w:fill="CCEEFF" w:val="clear"/>
            <w:vAlign w:val="center"/>
          </w:tcPr>
          <w:p>
            <w:pPr>
              <w:pStyle w:val="TableContents"/>
              <w:bidi w:val="0"/>
              <w:spacing w:before="0" w:after="283"/>
              <w:jc w:val="right"/>
              <w:rPr/>
            </w:pPr>
            <w:r>
              <w:rPr/>
              <w:t>6</w:t>
            </w:r>
          </w:p>
        </w:tc>
        <w:tc>
          <w:tcPr>
            <w:tcW w:w="415" w:type="dxa"/>
            <w:tcBorders/>
            <w:shd w:fill="CCEEFF" w:val="clear"/>
            <w:vAlign w:val="center"/>
          </w:tcPr>
          <w:p>
            <w:pPr>
              <w:pStyle w:val="TableContents"/>
              <w:bidi w:val="0"/>
              <w:spacing w:before="0" w:after="283"/>
              <w:jc w:val="left"/>
              <w:rPr/>
            </w:pPr>
            <w:r>
              <w:rPr/>
              <w:t>%</w:t>
            </w:r>
          </w:p>
        </w:tc>
        <w:tc>
          <w:tcPr>
            <w:tcW w:w="51" w:type="dxa"/>
            <w:tcBorders/>
            <w:shd w:fill="CCEEFF" w:val="clear"/>
            <w:vAlign w:val="center"/>
          </w:tcPr>
          <w:p>
            <w:pPr>
              <w:pStyle w:val="TableContents"/>
              <w:bidi w:val="0"/>
              <w:spacing w:before="0" w:after="283"/>
              <w:jc w:val="left"/>
              <w:rPr/>
            </w:pPr>
            <w:r>
              <w:rPr/>
            </w:r>
          </w:p>
        </w:tc>
      </w:tr>
      <w:tr>
        <w:trPr/>
        <w:tc>
          <w:tcPr>
            <w:tcW w:w="1593"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Total</w:t>
            </w:r>
          </w:p>
        </w:tc>
        <w:tc>
          <w:tcPr>
            <w:tcW w:w="60" w:type="dxa"/>
            <w:tcBorders/>
            <w:vAlign w:val="center"/>
          </w:tcPr>
          <w:p>
            <w:pPr>
              <w:pStyle w:val="TableContents"/>
              <w:bidi w:val="0"/>
              <w:spacing w:before="0" w:after="0"/>
              <w:jc w:val="left"/>
              <w:rPr/>
            </w:pPr>
            <w:r>
              <w:rPr/>
              <w:t> </w:t>
            </w:r>
          </w:p>
        </w:tc>
        <w:tc>
          <w:tcPr>
            <w:tcW w:w="956"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153.4</w:t>
            </w:r>
          </w:p>
        </w:tc>
        <w:tc>
          <w:tcPr>
            <w:tcW w:w="148"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0"/>
              <w:jc w:val="left"/>
              <w:rPr/>
            </w:pPr>
            <w:r>
              <w:rPr/>
              <w:t> </w:t>
            </w:r>
          </w:p>
        </w:tc>
        <w:tc>
          <w:tcPr>
            <w:tcW w:w="956"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143.1</w:t>
            </w:r>
          </w:p>
        </w:tc>
        <w:tc>
          <w:tcPr>
            <w:tcW w:w="1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777"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10.3</w:t>
            </w:r>
          </w:p>
        </w:tc>
        <w:tc>
          <w:tcPr>
            <w:tcW w:w="137"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7</w:t>
            </w:r>
          </w:p>
        </w:tc>
        <w:tc>
          <w:tcPr>
            <w:tcW w:w="411"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pPr>
            <w:r>
              <w:rPr/>
            </w:r>
          </w:p>
        </w:tc>
        <w:tc>
          <w:tcPr>
            <w:tcW w:w="201" w:type="dxa"/>
            <w:tcBorders/>
            <w:vAlign w:val="center"/>
          </w:tcPr>
          <w:p>
            <w:pPr>
              <w:pStyle w:val="TableContents"/>
              <w:bidi w:val="0"/>
              <w:spacing w:before="0" w:after="283"/>
              <w:jc w:val="left"/>
              <w:rPr/>
            </w:pPr>
            <w:r>
              <w:rPr/>
            </w:r>
          </w:p>
        </w:tc>
        <w:tc>
          <w:tcPr>
            <w:tcW w:w="805" w:type="dxa"/>
            <w:tcBorders/>
            <w:vAlign w:val="center"/>
          </w:tcPr>
          <w:p>
            <w:pPr>
              <w:pStyle w:val="TableContents"/>
              <w:bidi w:val="0"/>
              <w:spacing w:before="0" w:after="283"/>
              <w:jc w:val="right"/>
              <w:rPr/>
            </w:pPr>
            <w:r>
              <w:rPr/>
              <w:t>238.7</w:t>
            </w:r>
          </w:p>
        </w:tc>
        <w:tc>
          <w:tcPr>
            <w:tcW w:w="136" w:type="dxa"/>
            <w:tcBorders/>
            <w:vAlign w:val="center"/>
          </w:tcPr>
          <w:p>
            <w:pPr>
              <w:pStyle w:val="TableContents"/>
              <w:bidi w:val="0"/>
              <w:spacing w:before="0" w:after="283"/>
              <w:jc w:val="left"/>
              <w:rPr/>
            </w:pPr>
            <w:r>
              <w:rPr/>
            </w:r>
          </w:p>
        </w:tc>
        <w:tc>
          <w:tcPr>
            <w:tcW w:w="32" w:type="dxa"/>
            <w:tcBorders/>
            <w:vAlign w:val="center"/>
          </w:tcPr>
          <w:p>
            <w:pPr>
              <w:pStyle w:val="TableContents"/>
              <w:bidi w:val="0"/>
              <w:spacing w:before="0" w:after="283"/>
              <w:jc w:val="left"/>
              <w:rPr/>
            </w:pPr>
            <w:r>
              <w:rPr/>
            </w:r>
          </w:p>
        </w:tc>
        <w:tc>
          <w:tcPr>
            <w:tcW w:w="201" w:type="dxa"/>
            <w:tcBorders/>
            <w:vAlign w:val="center"/>
          </w:tcPr>
          <w:p>
            <w:pPr>
              <w:pStyle w:val="TableContents"/>
              <w:bidi w:val="0"/>
              <w:spacing w:before="0" w:after="283"/>
              <w:jc w:val="left"/>
              <w:rPr/>
            </w:pPr>
            <w:r>
              <w:rPr/>
            </w:r>
          </w:p>
        </w:tc>
        <w:tc>
          <w:tcPr>
            <w:tcW w:w="805" w:type="dxa"/>
            <w:tcBorders/>
            <w:vAlign w:val="center"/>
          </w:tcPr>
          <w:p>
            <w:pPr>
              <w:pStyle w:val="TableContents"/>
              <w:bidi w:val="0"/>
              <w:spacing w:before="0" w:after="283"/>
              <w:jc w:val="right"/>
              <w:rPr/>
            </w:pPr>
            <w:r>
              <w:rPr/>
              <w:t>210.1</w:t>
            </w:r>
          </w:p>
        </w:tc>
        <w:tc>
          <w:tcPr>
            <w:tcW w:w="136"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08" w:type="dxa"/>
            <w:tcBorders/>
            <w:vAlign w:val="center"/>
          </w:tcPr>
          <w:p>
            <w:pPr>
              <w:pStyle w:val="TableContents"/>
              <w:bidi w:val="0"/>
              <w:spacing w:before="0" w:after="283"/>
              <w:jc w:val="left"/>
              <w:rPr/>
            </w:pPr>
            <w:r>
              <w:rPr/>
            </w:r>
          </w:p>
        </w:tc>
        <w:tc>
          <w:tcPr>
            <w:tcW w:w="583" w:type="dxa"/>
            <w:tcBorders/>
            <w:vAlign w:val="center"/>
          </w:tcPr>
          <w:p>
            <w:pPr>
              <w:pStyle w:val="TableContents"/>
              <w:bidi w:val="0"/>
              <w:spacing w:before="0" w:after="283"/>
              <w:jc w:val="right"/>
              <w:rPr/>
            </w:pPr>
            <w:r>
              <w:rPr/>
              <w:t>28.6</w:t>
            </w:r>
          </w:p>
        </w:tc>
        <w:tc>
          <w:tcPr>
            <w:tcW w:w="123" w:type="dxa"/>
            <w:tcBorders/>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pPr>
            <w:r>
              <w:rPr/>
            </w:r>
          </w:p>
        </w:tc>
        <w:tc>
          <w:tcPr>
            <w:tcW w:w="499" w:type="dxa"/>
            <w:tcBorders/>
            <w:vAlign w:val="center"/>
          </w:tcPr>
          <w:p>
            <w:pPr>
              <w:pStyle w:val="TableContents"/>
              <w:bidi w:val="0"/>
              <w:spacing w:before="0" w:after="283"/>
              <w:jc w:val="right"/>
              <w:rPr/>
            </w:pPr>
            <w:r>
              <w:rPr/>
              <w:t>14</w:t>
            </w:r>
          </w:p>
        </w:tc>
        <w:tc>
          <w:tcPr>
            <w:tcW w:w="415" w:type="dxa"/>
            <w:tcBorders/>
            <w:vAlign w:val="center"/>
          </w:tcPr>
          <w:p>
            <w:pPr>
              <w:pStyle w:val="TableContents"/>
              <w:bidi w:val="0"/>
              <w:spacing w:before="0" w:after="283"/>
              <w:jc w:val="left"/>
              <w:rPr/>
            </w:pPr>
            <w:r>
              <w:rPr/>
              <w:t>%</w:t>
            </w:r>
          </w:p>
        </w:tc>
        <w:tc>
          <w:tcPr>
            <w:tcW w:w="51" w:type="dxa"/>
            <w:tcBorders/>
            <w:vAlign w:val="center"/>
          </w:tcPr>
          <w:p>
            <w:pPr>
              <w:pStyle w:val="TableContents"/>
              <w:bidi w:val="0"/>
              <w:spacing w:before="0" w:after="283"/>
              <w:jc w:val="left"/>
              <w:rPr/>
            </w:pPr>
            <w:r>
              <w:rPr/>
            </w:r>
          </w:p>
        </w:tc>
      </w:tr>
      <w:tr>
        <w:trPr/>
        <w:tc>
          <w:tcPr>
            <w:tcW w:w="1593" w:type="dxa"/>
            <w:tcBorders/>
            <w:shd w:fill="CCEEFF" w:val="clear"/>
            <w:vAlign w:val="center"/>
          </w:tcPr>
          <w:p>
            <w:pPr>
              <w:pStyle w:val="TableContents"/>
              <w:bidi w:val="0"/>
              <w:spacing w:before="0" w:after="0"/>
              <w:ind w:left="0" w:right="0" w:hanging="180"/>
              <w:jc w:val="left"/>
              <w:rPr>
                <w:rFonts w:ascii="times new roman;times" w:hAnsi="times new roman;times"/>
                <w:sz w:val="20"/>
              </w:rPr>
            </w:pPr>
            <w:r>
              <w:rPr>
                <w:rFonts w:ascii="times new roman;times" w:hAnsi="times new roman;times"/>
                <w:sz w:val="20"/>
              </w:rPr>
              <w:t>Corporate services, eliminations and other</w:t>
            </w:r>
          </w:p>
        </w:tc>
        <w:tc>
          <w:tcPr>
            <w:tcW w:w="60" w:type="dxa"/>
            <w:tcBorders/>
            <w:shd w:fill="CCEEFF" w:val="clear"/>
            <w:vAlign w:val="center"/>
          </w:tcPr>
          <w:p>
            <w:pPr>
              <w:pStyle w:val="TableContents"/>
              <w:bidi w:val="0"/>
              <w:spacing w:before="0" w:after="0"/>
              <w:jc w:val="left"/>
              <w:rPr/>
            </w:pPr>
            <w:r>
              <w:rPr/>
              <w:t> </w:t>
            </w:r>
          </w:p>
        </w:tc>
        <w:tc>
          <w:tcPr>
            <w:tcW w:w="956"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(19.1</w:t>
            </w:r>
          </w:p>
        </w:tc>
        <w:tc>
          <w:tcPr>
            <w:tcW w:w="148" w:type="dxa"/>
            <w:tcBorders/>
            <w:shd w:fill="CCEEFF" w:val="clear"/>
            <w:vAlign w:val="center"/>
          </w:tcPr>
          <w:p>
            <w:pPr>
              <w:pStyle w:val="TableContents"/>
              <w:bidi w:val="0"/>
              <w:spacing w:before="0" w:after="283"/>
              <w:jc w:val="left"/>
              <w:rPr/>
            </w:pPr>
            <w:r>
              <w:rPr/>
              <w:t>)</w:t>
            </w:r>
          </w:p>
        </w:tc>
        <w:tc>
          <w:tcPr>
            <w:tcW w:w="94" w:type="dxa"/>
            <w:tcBorders/>
            <w:shd w:fill="CCEEFF" w:val="clear"/>
            <w:vAlign w:val="center"/>
          </w:tcPr>
          <w:p>
            <w:pPr>
              <w:pStyle w:val="TableContents"/>
              <w:bidi w:val="0"/>
              <w:spacing w:before="0" w:after="0"/>
              <w:jc w:val="left"/>
              <w:rPr/>
            </w:pPr>
            <w:r>
              <w:rPr/>
              <w:t> </w:t>
            </w:r>
          </w:p>
        </w:tc>
        <w:tc>
          <w:tcPr>
            <w:tcW w:w="956"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(20.5</w:t>
            </w:r>
          </w:p>
        </w:tc>
        <w:tc>
          <w:tcPr>
            <w:tcW w:w="148"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0"/>
              <w:jc w:val="left"/>
              <w:rPr/>
            </w:pPr>
            <w:r>
              <w:rPr/>
              <w:t> </w:t>
            </w:r>
          </w:p>
        </w:tc>
        <w:tc>
          <w:tcPr>
            <w:tcW w:w="777"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1.4</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74" w:type="dxa"/>
            <w:tcBorders/>
            <w:shd w:fill="CCEEFF" w:val="clear"/>
            <w:vAlign w:val="center"/>
          </w:tcPr>
          <w:p>
            <w:pPr>
              <w:pStyle w:val="TableContents"/>
              <w:bidi w:val="0"/>
              <w:spacing w:before="0" w:after="0"/>
              <w:jc w:val="left"/>
              <w:rPr/>
            </w:pPr>
            <w:r>
              <w:rPr/>
              <w:t> </w:t>
            </w:r>
          </w:p>
        </w:tc>
        <w:tc>
          <w:tcPr>
            <w:tcW w:w="503"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(7)</w:t>
            </w:r>
          </w:p>
        </w:tc>
        <w:tc>
          <w:tcPr>
            <w:tcW w:w="411"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pPr>
            <w:r>
              <w:rPr/>
            </w:r>
          </w:p>
        </w:tc>
        <w:tc>
          <w:tcPr>
            <w:tcW w:w="201" w:type="dxa"/>
            <w:tcBorders/>
            <w:shd w:fill="CCEEFF" w:val="clear"/>
            <w:vAlign w:val="center"/>
          </w:tcPr>
          <w:p>
            <w:pPr>
              <w:pStyle w:val="TableContents"/>
              <w:bidi w:val="0"/>
              <w:spacing w:before="0" w:after="283"/>
              <w:jc w:val="left"/>
              <w:rPr/>
            </w:pPr>
            <w:r>
              <w:rPr/>
            </w:r>
          </w:p>
        </w:tc>
        <w:tc>
          <w:tcPr>
            <w:tcW w:w="805" w:type="dxa"/>
            <w:tcBorders/>
            <w:shd w:fill="CCEEFF" w:val="clear"/>
            <w:vAlign w:val="center"/>
          </w:tcPr>
          <w:p>
            <w:pPr>
              <w:pStyle w:val="TableContents"/>
              <w:bidi w:val="0"/>
              <w:spacing w:before="0" w:after="283"/>
              <w:jc w:val="right"/>
              <w:rPr/>
            </w:pPr>
            <w:r>
              <w:rPr/>
              <w:t>(40.4</w:t>
            </w:r>
          </w:p>
        </w:tc>
        <w:tc>
          <w:tcPr>
            <w:tcW w:w="136" w:type="dxa"/>
            <w:tcBorders/>
            <w:shd w:fill="CCEEFF" w:val="clear"/>
            <w:vAlign w:val="center"/>
          </w:tcPr>
          <w:p>
            <w:pPr>
              <w:pStyle w:val="TableContents"/>
              <w:bidi w:val="0"/>
              <w:spacing w:before="0" w:after="283"/>
              <w:jc w:val="left"/>
              <w:rPr/>
            </w:pPr>
            <w:r>
              <w:rPr/>
              <w:t>)</w:t>
            </w:r>
          </w:p>
        </w:tc>
        <w:tc>
          <w:tcPr>
            <w:tcW w:w="32" w:type="dxa"/>
            <w:tcBorders/>
            <w:shd w:fill="CCEEFF" w:val="clear"/>
            <w:vAlign w:val="center"/>
          </w:tcPr>
          <w:p>
            <w:pPr>
              <w:pStyle w:val="TableContents"/>
              <w:bidi w:val="0"/>
              <w:spacing w:before="0" w:after="283"/>
              <w:jc w:val="left"/>
              <w:rPr/>
            </w:pPr>
            <w:r>
              <w:rPr/>
            </w:r>
          </w:p>
        </w:tc>
        <w:tc>
          <w:tcPr>
            <w:tcW w:w="201" w:type="dxa"/>
            <w:tcBorders/>
            <w:shd w:fill="CCEEFF" w:val="clear"/>
            <w:vAlign w:val="center"/>
          </w:tcPr>
          <w:p>
            <w:pPr>
              <w:pStyle w:val="TableContents"/>
              <w:bidi w:val="0"/>
              <w:spacing w:before="0" w:after="283"/>
              <w:jc w:val="left"/>
              <w:rPr/>
            </w:pPr>
            <w:r>
              <w:rPr/>
            </w:r>
          </w:p>
        </w:tc>
        <w:tc>
          <w:tcPr>
            <w:tcW w:w="805" w:type="dxa"/>
            <w:tcBorders/>
            <w:shd w:fill="CCEEFF" w:val="clear"/>
            <w:vAlign w:val="center"/>
          </w:tcPr>
          <w:p>
            <w:pPr>
              <w:pStyle w:val="TableContents"/>
              <w:bidi w:val="0"/>
              <w:spacing w:before="0" w:after="283"/>
              <w:jc w:val="right"/>
              <w:rPr/>
            </w:pPr>
            <w:r>
              <w:rPr/>
              <w:t>(41.9</w:t>
            </w:r>
          </w:p>
        </w:tc>
        <w:tc>
          <w:tcPr>
            <w:tcW w:w="136"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r>
          </w:p>
        </w:tc>
        <w:tc>
          <w:tcPr>
            <w:tcW w:w="208" w:type="dxa"/>
            <w:tcBorders/>
            <w:shd w:fill="CCEEFF" w:val="clear"/>
            <w:vAlign w:val="center"/>
          </w:tcPr>
          <w:p>
            <w:pPr>
              <w:pStyle w:val="TableContents"/>
              <w:bidi w:val="0"/>
              <w:spacing w:before="0" w:after="283"/>
              <w:jc w:val="left"/>
              <w:rPr/>
            </w:pPr>
            <w:r>
              <w:rPr/>
            </w:r>
          </w:p>
        </w:tc>
        <w:tc>
          <w:tcPr>
            <w:tcW w:w="583" w:type="dxa"/>
            <w:tcBorders/>
            <w:shd w:fill="CCEEFF" w:val="clear"/>
            <w:vAlign w:val="center"/>
          </w:tcPr>
          <w:p>
            <w:pPr>
              <w:pStyle w:val="TableContents"/>
              <w:bidi w:val="0"/>
              <w:spacing w:before="0" w:after="283"/>
              <w:jc w:val="right"/>
              <w:rPr/>
            </w:pPr>
            <w:r>
              <w:rPr/>
              <w:t>1.5</w:t>
            </w:r>
          </w:p>
        </w:tc>
        <w:tc>
          <w:tcPr>
            <w:tcW w:w="123" w:type="dxa"/>
            <w:tcBorders/>
            <w:shd w:fill="CCEEFF" w:val="clear"/>
            <w:vAlign w:val="center"/>
          </w:tcPr>
          <w:p>
            <w:pPr>
              <w:pStyle w:val="TableContents"/>
              <w:bidi w:val="0"/>
              <w:spacing w:before="0" w:after="283"/>
              <w:jc w:val="left"/>
              <w:rPr/>
            </w:pPr>
            <w:r>
              <w:rPr/>
            </w:r>
          </w:p>
        </w:tc>
        <w:tc>
          <w:tcPr>
            <w:tcW w:w="24" w:type="dxa"/>
            <w:tcBorders/>
            <w:shd w:fill="CCEEFF" w:val="clear"/>
            <w:vAlign w:val="center"/>
          </w:tcPr>
          <w:p>
            <w:pPr>
              <w:pStyle w:val="TableContents"/>
              <w:bidi w:val="0"/>
              <w:spacing w:before="0" w:after="283"/>
              <w:jc w:val="left"/>
              <w:rPr/>
            </w:pPr>
            <w:r>
              <w:rPr/>
            </w:r>
          </w:p>
        </w:tc>
        <w:tc>
          <w:tcPr>
            <w:tcW w:w="499" w:type="dxa"/>
            <w:tcBorders/>
            <w:shd w:fill="CCEEFF" w:val="clear"/>
            <w:vAlign w:val="center"/>
          </w:tcPr>
          <w:p>
            <w:pPr>
              <w:pStyle w:val="TableContents"/>
              <w:bidi w:val="0"/>
              <w:spacing w:before="0" w:after="283"/>
              <w:jc w:val="right"/>
              <w:rPr/>
            </w:pPr>
            <w:r>
              <w:rPr/>
              <w:t>(4)</w:t>
            </w:r>
          </w:p>
        </w:tc>
        <w:tc>
          <w:tcPr>
            <w:tcW w:w="415" w:type="dxa"/>
            <w:tcBorders/>
            <w:shd w:fill="CCEEFF" w:val="clear"/>
            <w:vAlign w:val="center"/>
          </w:tcPr>
          <w:p>
            <w:pPr>
              <w:pStyle w:val="TableContents"/>
              <w:bidi w:val="0"/>
              <w:spacing w:before="0" w:after="283"/>
              <w:jc w:val="left"/>
              <w:rPr/>
            </w:pPr>
            <w:r>
              <w:rPr/>
              <w:t>%</w:t>
            </w:r>
          </w:p>
        </w:tc>
        <w:tc>
          <w:tcPr>
            <w:tcW w:w="51" w:type="dxa"/>
            <w:tcBorders/>
            <w:shd w:fill="CCEEFF" w:val="clear"/>
            <w:vAlign w:val="center"/>
          </w:tcPr>
          <w:p>
            <w:pPr>
              <w:pStyle w:val="TableContents"/>
              <w:bidi w:val="0"/>
              <w:spacing w:before="0" w:after="283"/>
              <w:jc w:val="left"/>
              <w:rPr/>
            </w:pPr>
            <w:r>
              <w:rPr/>
            </w:r>
          </w:p>
        </w:tc>
      </w:tr>
      <w:tr>
        <w:trPr/>
        <w:tc>
          <w:tcPr>
            <w:tcW w:w="1593"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Total</w:t>
            </w:r>
          </w:p>
        </w:tc>
        <w:tc>
          <w:tcPr>
            <w:tcW w:w="60"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760"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134.3</w:t>
            </w:r>
          </w:p>
        </w:tc>
        <w:tc>
          <w:tcPr>
            <w:tcW w:w="148"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760"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122.6</w:t>
            </w:r>
          </w:p>
        </w:tc>
        <w:tc>
          <w:tcPr>
            <w:tcW w:w="1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551"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11.7</w:t>
            </w:r>
          </w:p>
        </w:tc>
        <w:tc>
          <w:tcPr>
            <w:tcW w:w="137"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10</w:t>
            </w:r>
          </w:p>
        </w:tc>
        <w:tc>
          <w:tcPr>
            <w:tcW w:w="411"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pPr>
            <w:r>
              <w:rPr/>
            </w:r>
          </w:p>
        </w:tc>
        <w:tc>
          <w:tcPr>
            <w:tcW w:w="201" w:type="dxa"/>
            <w:tcBorders/>
            <w:vAlign w:val="center"/>
          </w:tcPr>
          <w:p>
            <w:pPr>
              <w:pStyle w:val="TableContents"/>
              <w:bidi w:val="0"/>
              <w:spacing w:before="0" w:after="283"/>
              <w:jc w:val="left"/>
              <w:rPr/>
            </w:pPr>
            <w:r>
              <w:rPr/>
              <w:t>$</w:t>
            </w:r>
          </w:p>
        </w:tc>
        <w:tc>
          <w:tcPr>
            <w:tcW w:w="805" w:type="dxa"/>
            <w:tcBorders/>
            <w:vAlign w:val="center"/>
          </w:tcPr>
          <w:p>
            <w:pPr>
              <w:pStyle w:val="TableContents"/>
              <w:bidi w:val="0"/>
              <w:spacing w:before="0" w:after="283"/>
              <w:jc w:val="right"/>
              <w:rPr/>
            </w:pPr>
            <w:r>
              <w:rPr/>
              <w:t>198.3</w:t>
            </w:r>
          </w:p>
        </w:tc>
        <w:tc>
          <w:tcPr>
            <w:tcW w:w="136" w:type="dxa"/>
            <w:tcBorders/>
            <w:vAlign w:val="center"/>
          </w:tcPr>
          <w:p>
            <w:pPr>
              <w:pStyle w:val="TableContents"/>
              <w:bidi w:val="0"/>
              <w:spacing w:before="0" w:after="283"/>
              <w:jc w:val="left"/>
              <w:rPr/>
            </w:pPr>
            <w:r>
              <w:rPr/>
            </w:r>
          </w:p>
        </w:tc>
        <w:tc>
          <w:tcPr>
            <w:tcW w:w="32" w:type="dxa"/>
            <w:tcBorders/>
            <w:vAlign w:val="center"/>
          </w:tcPr>
          <w:p>
            <w:pPr>
              <w:pStyle w:val="TableContents"/>
              <w:bidi w:val="0"/>
              <w:spacing w:before="0" w:after="283"/>
              <w:jc w:val="left"/>
              <w:rPr/>
            </w:pPr>
            <w:r>
              <w:rPr/>
            </w:r>
          </w:p>
        </w:tc>
        <w:tc>
          <w:tcPr>
            <w:tcW w:w="201" w:type="dxa"/>
            <w:tcBorders/>
            <w:vAlign w:val="center"/>
          </w:tcPr>
          <w:p>
            <w:pPr>
              <w:pStyle w:val="TableContents"/>
              <w:bidi w:val="0"/>
              <w:spacing w:before="0" w:after="283"/>
              <w:jc w:val="left"/>
              <w:rPr/>
            </w:pPr>
            <w:r>
              <w:rPr/>
              <w:t>$</w:t>
            </w:r>
          </w:p>
        </w:tc>
        <w:tc>
          <w:tcPr>
            <w:tcW w:w="805" w:type="dxa"/>
            <w:tcBorders/>
            <w:vAlign w:val="center"/>
          </w:tcPr>
          <w:p>
            <w:pPr>
              <w:pStyle w:val="TableContents"/>
              <w:bidi w:val="0"/>
              <w:spacing w:before="0" w:after="283"/>
              <w:jc w:val="right"/>
              <w:rPr/>
            </w:pPr>
            <w:r>
              <w:rPr/>
              <w:t>168.2</w:t>
            </w:r>
          </w:p>
        </w:tc>
        <w:tc>
          <w:tcPr>
            <w:tcW w:w="136"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08" w:type="dxa"/>
            <w:tcBorders/>
            <w:vAlign w:val="center"/>
          </w:tcPr>
          <w:p>
            <w:pPr>
              <w:pStyle w:val="TableContents"/>
              <w:bidi w:val="0"/>
              <w:spacing w:before="0" w:after="283"/>
              <w:jc w:val="left"/>
              <w:rPr/>
            </w:pPr>
            <w:r>
              <w:rPr/>
              <w:t>$</w:t>
            </w:r>
          </w:p>
        </w:tc>
        <w:tc>
          <w:tcPr>
            <w:tcW w:w="583" w:type="dxa"/>
            <w:tcBorders/>
            <w:vAlign w:val="center"/>
          </w:tcPr>
          <w:p>
            <w:pPr>
              <w:pStyle w:val="TableContents"/>
              <w:bidi w:val="0"/>
              <w:spacing w:before="0" w:after="283"/>
              <w:jc w:val="right"/>
              <w:rPr/>
            </w:pPr>
            <w:r>
              <w:rPr/>
              <w:t>30.1</w:t>
            </w:r>
          </w:p>
        </w:tc>
        <w:tc>
          <w:tcPr>
            <w:tcW w:w="123" w:type="dxa"/>
            <w:tcBorders/>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pPr>
            <w:r>
              <w:rPr/>
            </w:r>
          </w:p>
        </w:tc>
        <w:tc>
          <w:tcPr>
            <w:tcW w:w="499" w:type="dxa"/>
            <w:tcBorders/>
            <w:vAlign w:val="center"/>
          </w:tcPr>
          <w:p>
            <w:pPr>
              <w:pStyle w:val="TableContents"/>
              <w:bidi w:val="0"/>
              <w:spacing w:before="0" w:after="283"/>
              <w:jc w:val="right"/>
              <w:rPr/>
            </w:pPr>
            <w:r>
              <w:rPr/>
              <w:t>18</w:t>
            </w:r>
          </w:p>
        </w:tc>
        <w:tc>
          <w:tcPr>
            <w:tcW w:w="415" w:type="dxa"/>
            <w:tcBorders/>
            <w:vAlign w:val="center"/>
          </w:tcPr>
          <w:p>
            <w:pPr>
              <w:pStyle w:val="TableContents"/>
              <w:bidi w:val="0"/>
              <w:spacing w:before="0" w:after="283"/>
              <w:jc w:val="left"/>
              <w:rPr/>
            </w:pPr>
            <w:r>
              <w:rPr/>
              <w:t>%</w:t>
            </w:r>
          </w:p>
        </w:tc>
        <w:tc>
          <w:tcPr>
            <w:tcW w:w="51" w:type="dxa"/>
            <w:tcBorders/>
            <w:vAlign w:val="center"/>
          </w:tcPr>
          <w:p>
            <w:pPr>
              <w:pStyle w:val="TableContents"/>
              <w:bidi w:val="0"/>
              <w:spacing w:before="0" w:after="283"/>
              <w:jc w:val="left"/>
              <w:rPr/>
            </w:pPr>
            <w:r>
              <w:rPr/>
            </w:r>
          </w:p>
        </w:tc>
      </w:tr>
    </w:tbl>
    <w:p>
      <w:pPr>
        <w:pStyle w:val="TextBody"/>
        <w:widowControl/>
        <w:bidi w:val="0"/>
        <w:spacing w:before="0" w:after="0"/>
        <w:ind w:left="0" w:right="0" w:hanging="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widowControl/>
        <w:bidi w:val="0"/>
        <w:ind w:left="0" w:right="0" w:hanging="0"/>
        <w:jc w:val="left"/>
        <w:rPr>
          <w:rFonts w:ascii="Times New Roman" w:hAnsi="Times New Roman"/>
          <w:b w:val="false"/>
          <w:i w:val="false"/>
          <w:caps w:val="false"/>
          <w:smallCaps w:val="false"/>
          <w:color w:val="000000"/>
          <w:spacing w:val="0"/>
          <w:sz w:val="20"/>
        </w:rPr>
      </w:pPr>
      <w:r>
        <w:rPr>
          <w:rFonts w:ascii="times new roman;times" w:hAnsi="times new roman;times"/>
          <w:b w:val="false"/>
          <w:i/>
          <w:caps w:val="false"/>
          <w:smallCaps w:val="false"/>
          <w:color w:val="000000"/>
          <w:spacing w:val="0"/>
          <w:sz w:val="20"/>
        </w:rPr>
        <w:t>Impact of changes in foreign currency exchange rates</w:t>
        <w:br/>
      </w:r>
      <w:r>
        <w:rPr>
          <w:rFonts w:ascii="Times New Roman" w:hAnsi="Times New Roman"/>
          <w:b w:val="false"/>
          <w:i w:val="false"/>
          <w:caps w:val="false"/>
          <w:smallCaps w:val="false"/>
          <w:color w:val="000000"/>
          <w:spacing w:val="0"/>
          <w:sz w:val="20"/>
        </w:rPr>
        <w:br/>
      </w:r>
      <w:r>
        <w:rPr>
          <w:rFonts w:ascii="times new roman;times" w:hAnsi="times new roman;times"/>
          <w:b w:val="false"/>
          <w:i w:val="false"/>
          <w:caps w:val="false"/>
          <w:smallCaps w:val="false"/>
          <w:color w:val="000000"/>
          <w:spacing w:val="0"/>
          <w:sz w:val="20"/>
        </w:rPr>
        <w:t>Our revenues and local expenses are recorded in the functional currencies of our operating entities, and then are translated into U.S. dollars for reporting purposes; therefore, amounts we earn outside the U.S. are negatively impacted by a stronger U.S. dollar and positively impacted by a weaker U.S. dollar. If significant, in our discussion we will refer to the impact of fluctuations in foreign currency exchange rates in our comparison of operating segment results. </w:t>
        <w:br/>
      </w:r>
      <w:r>
        <w:rPr>
          <w:rFonts w:ascii="Times New Roman" w:hAnsi="Times New Roman"/>
          <w:b w:val="false"/>
          <w:i w:val="false"/>
          <w:caps w:val="false"/>
          <w:smallCaps w:val="false"/>
          <w:color w:val="000000"/>
          <w:spacing w:val="0"/>
          <w:sz w:val="20"/>
        </w:rPr>
        <w:br/>
      </w:r>
      <w:r>
        <w:rPr>
          <w:rFonts w:ascii="times new roman;times" w:hAnsi="times new roman;times"/>
          <w:b w:val="false"/>
          <w:i w:val="false"/>
          <w:caps w:val="false"/>
          <w:smallCaps w:val="false"/>
          <w:color w:val="000000"/>
          <w:spacing w:val="0"/>
          <w:sz w:val="20"/>
        </w:rPr>
        <w:t>To provide further perspective on the impact of foreign currency exchange rates, the following table shows the changes in values relative to the U.S. dollar of the currencies of the countries in which we have our most significant operations: </w:t>
      </w:r>
    </w:p>
    <w:p>
      <w:pPr>
        <w:pStyle w:val="TextBody"/>
        <w:bidi w:val="0"/>
        <w:spacing w:lineRule="auto" w:line="288" w:before="0" w:after="0"/>
        <w:ind w:left="0" w:right="0" w:hanging="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10205" w:type="dxa"/>
        <w:jc w:val="left"/>
        <w:tblInd w:w="0" w:type="dxa"/>
        <w:tblLayout w:type="fixed"/>
        <w:tblCellMar>
          <w:top w:w="0" w:type="dxa"/>
          <w:left w:w="0" w:type="dxa"/>
          <w:bottom w:w="0" w:type="dxa"/>
          <w:right w:w="0" w:type="dxa"/>
        </w:tblCellMar>
      </w:tblPr>
      <w:tblGrid>
        <w:gridCol w:w="2601"/>
        <w:gridCol w:w="60"/>
        <w:gridCol w:w="175"/>
        <w:gridCol w:w="830"/>
        <w:gridCol w:w="31"/>
        <w:gridCol w:w="31"/>
        <w:gridCol w:w="175"/>
        <w:gridCol w:w="830"/>
        <w:gridCol w:w="31"/>
        <w:gridCol w:w="23"/>
        <w:gridCol w:w="1770"/>
        <w:gridCol w:w="185"/>
        <w:gridCol w:w="23"/>
        <w:gridCol w:w="23"/>
        <w:gridCol w:w="159"/>
        <w:gridCol w:w="777"/>
        <w:gridCol w:w="25"/>
        <w:gridCol w:w="25"/>
        <w:gridCol w:w="159"/>
        <w:gridCol w:w="777"/>
        <w:gridCol w:w="25"/>
        <w:gridCol w:w="23"/>
        <w:gridCol w:w="763"/>
        <w:gridCol w:w="634"/>
        <w:gridCol w:w="50"/>
      </w:tblGrid>
      <w:tr>
        <w:trPr/>
        <w:tc>
          <w:tcPr>
            <w:tcW w:w="2601"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103" w:type="dxa"/>
            <w:gridSpan w:val="7"/>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Average Translation Rate</w:t>
            </w:r>
          </w:p>
          <w:p>
            <w:pPr>
              <w:pStyle w:val="TableContents"/>
              <w:bidi w:val="0"/>
              <w:spacing w:before="0" w:after="0"/>
              <w:jc w:val="center"/>
              <w:rPr>
                <w:rFonts w:ascii="times new roman;times" w:hAnsi="times new roman;times"/>
                <w:b/>
                <w:sz w:val="16"/>
              </w:rPr>
            </w:pPr>
            <w:r>
              <w:rPr>
                <w:rFonts w:ascii="times new roman;times" w:hAnsi="times new roman;times"/>
                <w:b/>
                <w:sz w:val="16"/>
              </w:rPr>
              <w:t>Three Months Ended June 30,</w:t>
            </w:r>
          </w:p>
        </w:tc>
        <w:tc>
          <w:tcPr>
            <w:tcW w:w="23" w:type="dxa"/>
            <w:tcBorders/>
            <w:vAlign w:val="center"/>
          </w:tcPr>
          <w:p>
            <w:pPr>
              <w:pStyle w:val="TableContents"/>
              <w:bidi w:val="0"/>
              <w:spacing w:before="0" w:after="283"/>
              <w:jc w:val="left"/>
              <w:rPr>
                <w:sz w:val="4"/>
                <w:szCs w:val="4"/>
              </w:rPr>
            </w:pPr>
            <w:r>
              <w:rPr>
                <w:sz w:val="4"/>
                <w:szCs w:val="4"/>
              </w:rPr>
            </w:r>
          </w:p>
        </w:tc>
        <w:tc>
          <w:tcPr>
            <w:tcW w:w="1955" w:type="dxa"/>
            <w:gridSpan w:val="2"/>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1947" w:type="dxa"/>
            <w:gridSpan w:val="7"/>
            <w:tcBorders/>
            <w:vAlign w:val="center"/>
          </w:tcPr>
          <w:p>
            <w:pPr>
              <w:pStyle w:val="TableContents"/>
              <w:widowControl/>
              <w:bidi w:val="0"/>
              <w:spacing w:before="0" w:after="0"/>
              <w:ind w:left="0" w:right="0" w:hanging="0"/>
              <w:jc w:val="left"/>
              <w:rPr>
                <w:rFonts w:ascii="times new roman;times" w:hAnsi="times new roman;times"/>
                <w:b/>
                <w:i w:val="false"/>
                <w:caps w:val="false"/>
                <w:smallCaps w:val="false"/>
                <w:color w:val="000000"/>
                <w:spacing w:val="0"/>
                <w:sz w:val="16"/>
              </w:rPr>
            </w:pPr>
            <w:r>
              <w:rPr>
                <w:rFonts w:ascii="times new roman;times" w:hAnsi="times new roman;times"/>
                <w:b/>
                <w:i w:val="false"/>
                <w:caps w:val="false"/>
                <w:smallCaps w:val="false"/>
                <w:color w:val="000000"/>
                <w:spacing w:val="0"/>
                <w:sz w:val="16"/>
              </w:rPr>
              <w:t>Average Translation Rate</w:t>
            </w:r>
          </w:p>
          <w:p>
            <w:pPr>
              <w:pStyle w:val="TableContents"/>
              <w:widowControl/>
              <w:bidi w:val="0"/>
              <w:spacing w:before="0" w:after="0"/>
              <w:ind w:left="0" w:right="0" w:hanging="0"/>
              <w:jc w:val="left"/>
              <w:rPr>
                <w:rFonts w:ascii="times new roman;times" w:hAnsi="times new roman;times"/>
                <w:b/>
                <w:i w:val="false"/>
                <w:caps w:val="false"/>
                <w:smallCaps w:val="false"/>
                <w:color w:val="000000"/>
                <w:spacing w:val="0"/>
                <w:sz w:val="16"/>
              </w:rPr>
            </w:pPr>
            <w:r>
              <w:rPr>
                <w:rFonts w:ascii="times new roman;times" w:hAnsi="times new roman;times"/>
                <w:b/>
                <w:i w:val="false"/>
                <w:caps w:val="false"/>
                <w:smallCaps w:val="false"/>
                <w:color w:val="000000"/>
                <w:spacing w:val="0"/>
                <w:sz w:val="16"/>
              </w:rPr>
              <w:t>Six Months Ended</w:t>
            </w:r>
            <w:r>
              <w:rPr>
                <w:rFonts w:ascii="times new roman;times" w:hAnsi="times new roman;times"/>
                <w:b/>
                <w:i w:val="false"/>
                <w:caps w:val="false"/>
                <w:smallCaps w:val="false"/>
                <w:color w:val="000000"/>
                <w:spacing w:val="0"/>
                <w:sz w:val="16"/>
              </w:rPr>
              <w:t> </w:t>
            </w:r>
            <w:r>
              <w:rPr>
                <w:rFonts w:ascii="times new roman;times" w:hAnsi="times new roman;times"/>
                <w:b/>
                <w:i w:val="false"/>
                <w:caps w:val="false"/>
                <w:smallCaps w:val="false"/>
                <w:color w:val="000000"/>
                <w:spacing w:val="0"/>
                <w:sz w:val="16"/>
              </w:rPr>
              <w:t>June 30,</w:t>
            </w:r>
          </w:p>
        </w:tc>
        <w:tc>
          <w:tcPr>
            <w:tcW w:w="23" w:type="dxa"/>
            <w:tcBorders/>
            <w:vAlign w:val="center"/>
          </w:tcPr>
          <w:p>
            <w:pPr>
              <w:pStyle w:val="TableContents"/>
              <w:bidi w:val="0"/>
              <w:spacing w:before="0" w:after="283"/>
              <w:jc w:val="left"/>
              <w:rPr/>
            </w:pPr>
            <w:r>
              <w:rPr/>
            </w:r>
          </w:p>
        </w:tc>
        <w:tc>
          <w:tcPr>
            <w:tcW w:w="1397" w:type="dxa"/>
            <w:gridSpan w:val="2"/>
            <w:tcBorders/>
            <w:vAlign w:val="center"/>
          </w:tcPr>
          <w:p>
            <w:pPr>
              <w:pStyle w:val="TableContents"/>
              <w:bidi w:val="0"/>
              <w:spacing w:before="0" w:after="283"/>
              <w:jc w:val="left"/>
              <w:rPr/>
            </w:pPr>
            <w:r>
              <w:rPr/>
            </w:r>
          </w:p>
        </w:tc>
        <w:tc>
          <w:tcPr>
            <w:tcW w:w="50" w:type="dxa"/>
            <w:tcBorders/>
            <w:vAlign w:val="center"/>
          </w:tcPr>
          <w:p>
            <w:pPr>
              <w:pStyle w:val="TableContents"/>
              <w:bidi w:val="0"/>
              <w:spacing w:before="0" w:after="283"/>
              <w:jc w:val="left"/>
              <w:rPr/>
            </w:pPr>
            <w:r>
              <w:rPr/>
            </w:r>
          </w:p>
        </w:tc>
      </w:tr>
      <w:tr>
        <w:trPr/>
        <w:tc>
          <w:tcPr>
            <w:tcW w:w="2601" w:type="dxa"/>
            <w:tcBorders/>
            <w:vAlign w:val="center"/>
          </w:tcPr>
          <w:p>
            <w:pPr>
              <w:pStyle w:val="TableContents"/>
              <w:bidi w:val="0"/>
              <w:spacing w:before="0" w:after="0"/>
              <w:jc w:val="left"/>
              <w:rPr>
                <w:rFonts w:ascii="times new roman;times" w:hAnsi="times new roman;times"/>
                <w:sz w:val="16"/>
              </w:rPr>
            </w:pPr>
            <w:r>
              <w:rPr>
                <w:rFonts w:ascii="times new roman;times" w:hAnsi="times new roman;times"/>
                <w:sz w:val="16"/>
              </w:rPr>
              <w:t>Currency (dollars per foreign currency)</w:t>
            </w:r>
          </w:p>
        </w:tc>
        <w:tc>
          <w:tcPr>
            <w:tcW w:w="60" w:type="dxa"/>
            <w:tcBorders/>
            <w:vAlign w:val="center"/>
          </w:tcPr>
          <w:p>
            <w:pPr>
              <w:pStyle w:val="TableContents"/>
              <w:bidi w:val="0"/>
              <w:spacing w:before="0" w:after="0"/>
              <w:jc w:val="left"/>
              <w:rPr/>
            </w:pPr>
            <w:r>
              <w:rPr/>
              <w:t> </w:t>
            </w:r>
          </w:p>
        </w:tc>
        <w:tc>
          <w:tcPr>
            <w:tcW w:w="1036" w:type="dxa"/>
            <w:gridSpan w:val="3"/>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2024</w:t>
            </w:r>
          </w:p>
        </w:tc>
        <w:tc>
          <w:tcPr>
            <w:tcW w:w="31" w:type="dxa"/>
            <w:tcBorders/>
            <w:vAlign w:val="center"/>
          </w:tcPr>
          <w:p>
            <w:pPr>
              <w:pStyle w:val="TableContents"/>
              <w:bidi w:val="0"/>
              <w:spacing w:before="0" w:after="283"/>
              <w:jc w:val="left"/>
              <w:rPr/>
            </w:pPr>
            <w:r>
              <w:rPr/>
            </w:r>
          </w:p>
        </w:tc>
        <w:tc>
          <w:tcPr>
            <w:tcW w:w="1036" w:type="dxa"/>
            <w:gridSpan w:val="3"/>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2023</w:t>
            </w:r>
          </w:p>
        </w:tc>
        <w:tc>
          <w:tcPr>
            <w:tcW w:w="23" w:type="dxa"/>
            <w:tcBorders/>
            <w:vAlign w:val="center"/>
          </w:tcPr>
          <w:p>
            <w:pPr>
              <w:pStyle w:val="TableContents"/>
              <w:bidi w:val="0"/>
              <w:spacing w:before="0" w:after="283"/>
              <w:jc w:val="left"/>
              <w:rPr>
                <w:sz w:val="4"/>
                <w:szCs w:val="4"/>
              </w:rPr>
            </w:pPr>
            <w:r>
              <w:rPr>
                <w:sz w:val="4"/>
                <w:szCs w:val="4"/>
              </w:rPr>
            </w:r>
          </w:p>
        </w:tc>
        <w:tc>
          <w:tcPr>
            <w:tcW w:w="1955" w:type="dxa"/>
            <w:gridSpan w:val="2"/>
            <w:tcBorders/>
            <w:vAlign w:val="center"/>
          </w:tcPr>
          <w:p>
            <w:pPr>
              <w:pStyle w:val="TableContents"/>
              <w:widowControl/>
              <w:bidi w:val="0"/>
              <w:spacing w:before="0" w:after="0"/>
              <w:ind w:left="0" w:right="0" w:hanging="0"/>
              <w:jc w:val="left"/>
              <w:rPr>
                <w:rFonts w:ascii="times new roman;times" w:hAnsi="times new roman;times"/>
                <w:b/>
                <w:color w:val="000000"/>
                <w:spacing w:val="0"/>
                <w:sz w:val="16"/>
              </w:rPr>
            </w:pPr>
            <w:r>
              <w:rPr>
                <w:rFonts w:ascii="times new roman;times" w:hAnsi="times new roman;times"/>
                <w:b/>
                <w:color w:val="000000"/>
                <w:spacing w:val="0"/>
                <w:sz w:val="16"/>
              </w:rPr>
              <w:t>Increase (Decrease) </w:t>
            </w:r>
          </w:p>
          <w:p>
            <w:pPr>
              <w:pStyle w:val="TableContents"/>
              <w:widowControl/>
              <w:bidi w:val="0"/>
              <w:spacing w:before="0" w:after="0"/>
              <w:ind w:left="0" w:right="0" w:hanging="0"/>
              <w:jc w:val="left"/>
              <w:rPr>
                <w:rFonts w:ascii="times new roman;times" w:hAnsi="times new roman;times"/>
                <w:b/>
                <w:color w:val="000000"/>
                <w:spacing w:val="0"/>
                <w:sz w:val="16"/>
              </w:rPr>
            </w:pPr>
            <w:r>
              <w:rPr>
                <w:rFonts w:ascii="times new roman;times" w:hAnsi="times new roman;times"/>
                <w:b/>
                <w:color w:val="000000"/>
                <w:spacing w:val="0"/>
                <w:sz w:val="16"/>
              </w:rPr>
              <w:t>Percent</w:t>
            </w:r>
          </w:p>
        </w:tc>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961" w:type="dxa"/>
            <w:gridSpan w:val="3"/>
            <w:tcBorders/>
            <w:vAlign w:val="center"/>
          </w:tcPr>
          <w:p>
            <w:pPr>
              <w:pStyle w:val="TableContents"/>
              <w:bidi w:val="0"/>
              <w:spacing w:before="0" w:after="283"/>
              <w:jc w:val="center"/>
              <w:rPr>
                <w:b/>
                <w:sz w:val="16"/>
              </w:rPr>
            </w:pPr>
            <w:r>
              <w:rPr>
                <w:b/>
                <w:sz w:val="16"/>
              </w:rPr>
              <w:t>2024</w:t>
            </w:r>
          </w:p>
        </w:tc>
        <w:tc>
          <w:tcPr>
            <w:tcW w:w="25" w:type="dxa"/>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center"/>
              <w:rPr>
                <w:b/>
                <w:sz w:val="16"/>
              </w:rPr>
            </w:pPr>
            <w:r>
              <w:rPr>
                <w:b/>
                <w:sz w:val="16"/>
              </w:rPr>
              <w:t>2023</w:t>
            </w:r>
          </w:p>
        </w:tc>
        <w:tc>
          <w:tcPr>
            <w:tcW w:w="23" w:type="dxa"/>
            <w:tcBorders/>
            <w:vAlign w:val="center"/>
          </w:tcPr>
          <w:p>
            <w:pPr>
              <w:pStyle w:val="TableContents"/>
              <w:bidi w:val="0"/>
              <w:spacing w:before="0" w:after="283"/>
              <w:jc w:val="left"/>
              <w:rPr/>
            </w:pPr>
            <w:r>
              <w:rPr/>
            </w:r>
          </w:p>
        </w:tc>
        <w:tc>
          <w:tcPr>
            <w:tcW w:w="1397" w:type="dxa"/>
            <w:gridSpan w:val="2"/>
            <w:tcBorders/>
            <w:vAlign w:val="center"/>
          </w:tcPr>
          <w:p>
            <w:pPr>
              <w:pStyle w:val="TableContents"/>
              <w:widowControl/>
              <w:bidi w:val="0"/>
              <w:spacing w:before="0" w:after="0"/>
              <w:ind w:left="0" w:right="0" w:hanging="0"/>
              <w:jc w:val="left"/>
              <w:rPr>
                <w:rFonts w:ascii="times new roman;times" w:hAnsi="times new roman;times"/>
                <w:b/>
                <w:color w:val="000000"/>
                <w:spacing w:val="0"/>
                <w:sz w:val="16"/>
              </w:rPr>
            </w:pPr>
            <w:r>
              <w:rPr>
                <w:rFonts w:ascii="times new roman;times" w:hAnsi="times new roman;times"/>
                <w:b/>
                <w:color w:val="000000"/>
                <w:spacing w:val="0"/>
                <w:sz w:val="16"/>
              </w:rPr>
              <w:t>Increase (Decrease) </w:t>
            </w:r>
          </w:p>
          <w:p>
            <w:pPr>
              <w:pStyle w:val="TableContents"/>
              <w:widowControl/>
              <w:bidi w:val="0"/>
              <w:spacing w:before="0" w:after="0"/>
              <w:ind w:left="0" w:right="0" w:hanging="0"/>
              <w:jc w:val="left"/>
              <w:rPr>
                <w:rFonts w:ascii="times new roman;times" w:hAnsi="times new roman;times"/>
                <w:b/>
                <w:color w:val="000000"/>
                <w:spacing w:val="0"/>
                <w:sz w:val="16"/>
              </w:rPr>
            </w:pPr>
            <w:r>
              <w:rPr>
                <w:rFonts w:ascii="times new roman;times" w:hAnsi="times new roman;times"/>
                <w:b/>
                <w:color w:val="000000"/>
                <w:spacing w:val="0"/>
                <w:sz w:val="16"/>
              </w:rPr>
              <w:t>Percent</w:t>
            </w:r>
          </w:p>
        </w:tc>
        <w:tc>
          <w:tcPr>
            <w:tcW w:w="50" w:type="dxa"/>
            <w:tcBorders/>
            <w:vAlign w:val="center"/>
          </w:tcPr>
          <w:p>
            <w:pPr>
              <w:pStyle w:val="TableContents"/>
              <w:bidi w:val="0"/>
              <w:spacing w:before="0" w:after="283"/>
              <w:jc w:val="left"/>
              <w:rPr/>
            </w:pPr>
            <w:r>
              <w:rPr/>
            </w:r>
          </w:p>
        </w:tc>
      </w:tr>
      <w:tr>
        <w:trPr/>
        <w:tc>
          <w:tcPr>
            <w:tcW w:w="2601"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Australian dollar</w:t>
            </w:r>
          </w:p>
        </w:tc>
        <w:tc>
          <w:tcPr>
            <w:tcW w:w="60" w:type="dxa"/>
            <w:tcBorders/>
            <w:shd w:fill="CCEEFF" w:val="clear"/>
            <w:vAlign w:val="center"/>
          </w:tcPr>
          <w:p>
            <w:pPr>
              <w:pStyle w:val="TableContents"/>
              <w:bidi w:val="0"/>
              <w:spacing w:before="0" w:after="0"/>
              <w:jc w:val="left"/>
              <w:rPr/>
            </w:pPr>
            <w:r>
              <w:rPr/>
              <w:t> </w:t>
            </w:r>
          </w:p>
        </w:tc>
        <w:tc>
          <w:tcPr>
            <w:tcW w:w="175"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830"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0.6596</w:t>
            </w:r>
          </w:p>
        </w:tc>
        <w:tc>
          <w:tcPr>
            <w:tcW w:w="31" w:type="dxa"/>
            <w:tcBorders/>
            <w:shd w:fill="CCEEFF" w:val="clear"/>
            <w:vAlign w:val="center"/>
          </w:tcPr>
          <w:p>
            <w:pPr>
              <w:pStyle w:val="TableContents"/>
              <w:bidi w:val="0"/>
              <w:spacing w:before="0" w:after="0"/>
              <w:jc w:val="left"/>
              <w:rPr>
                <w:sz w:val="20"/>
              </w:rPr>
            </w:pPr>
            <w:r>
              <w:rPr>
                <w:sz w:val="20"/>
              </w:rPr>
            </w:r>
          </w:p>
        </w:tc>
        <w:tc>
          <w:tcPr>
            <w:tcW w:w="31" w:type="dxa"/>
            <w:tcBorders/>
            <w:shd w:fill="CCEEFF" w:val="clear"/>
            <w:vAlign w:val="center"/>
          </w:tcPr>
          <w:p>
            <w:pPr>
              <w:pStyle w:val="TableContents"/>
              <w:bidi w:val="0"/>
              <w:spacing w:before="0" w:after="0"/>
              <w:jc w:val="left"/>
              <w:rPr>
                <w:sz w:val="20"/>
              </w:rPr>
            </w:pPr>
            <w:r>
              <w:rPr>
                <w:sz w:val="20"/>
              </w:rPr>
            </w:r>
          </w:p>
        </w:tc>
        <w:tc>
          <w:tcPr>
            <w:tcW w:w="175"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830"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0.6680</w:t>
            </w:r>
          </w:p>
        </w:tc>
        <w:tc>
          <w:tcPr>
            <w:tcW w:w="31" w:type="dxa"/>
            <w:tcBorders/>
            <w:shd w:fill="CCEEFF" w:val="clear"/>
            <w:vAlign w:val="center"/>
          </w:tcPr>
          <w:p>
            <w:pPr>
              <w:pStyle w:val="TableContents"/>
              <w:bidi w:val="0"/>
              <w:spacing w:before="0" w:after="0"/>
              <w:jc w:val="left"/>
              <w:rPr>
                <w:sz w:val="20"/>
              </w:rPr>
            </w:pPr>
            <w:r>
              <w:rPr>
                <w:sz w:val="20"/>
              </w:rPr>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1770"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w:t>
            </w:r>
          </w:p>
        </w:tc>
        <w:tc>
          <w:tcPr>
            <w:tcW w:w="185"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23"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159" w:type="dxa"/>
            <w:tcBorders/>
            <w:shd w:fill="CCEEFF" w:val="clear"/>
            <w:vAlign w:val="center"/>
          </w:tcPr>
          <w:p>
            <w:pPr>
              <w:pStyle w:val="TableContents"/>
              <w:bidi w:val="0"/>
              <w:spacing w:before="0" w:after="283"/>
              <w:jc w:val="left"/>
              <w:rPr/>
            </w:pPr>
            <w:r>
              <w:rPr/>
              <w:t>$</w:t>
            </w:r>
          </w:p>
        </w:tc>
        <w:tc>
          <w:tcPr>
            <w:tcW w:w="777" w:type="dxa"/>
            <w:tcBorders/>
            <w:shd w:fill="CCEEFF" w:val="clear"/>
            <w:vAlign w:val="center"/>
          </w:tcPr>
          <w:p>
            <w:pPr>
              <w:pStyle w:val="TableContents"/>
              <w:bidi w:val="0"/>
              <w:spacing w:before="0" w:after="283"/>
              <w:jc w:val="right"/>
              <w:rPr/>
            </w:pPr>
            <w:r>
              <w:rPr/>
              <w:t>0.6559</w:t>
            </w:r>
          </w:p>
        </w:tc>
        <w:tc>
          <w:tcPr>
            <w:tcW w:w="25" w:type="dxa"/>
            <w:tcBorders/>
            <w:shd w:fill="CCEEFF" w:val="clear"/>
            <w:vAlign w:val="center"/>
          </w:tcPr>
          <w:p>
            <w:pPr>
              <w:pStyle w:val="TableContents"/>
              <w:bidi w:val="0"/>
              <w:spacing w:before="0" w:after="283"/>
              <w:jc w:val="left"/>
              <w:rPr/>
            </w:pPr>
            <w:r>
              <w:rPr/>
            </w:r>
          </w:p>
        </w:tc>
        <w:tc>
          <w:tcPr>
            <w:tcW w:w="25" w:type="dxa"/>
            <w:tcBorders/>
            <w:shd w:fill="CCEEFF" w:val="clear"/>
            <w:vAlign w:val="center"/>
          </w:tcPr>
          <w:p>
            <w:pPr>
              <w:pStyle w:val="TableContents"/>
              <w:bidi w:val="0"/>
              <w:spacing w:before="0" w:after="283"/>
              <w:jc w:val="left"/>
              <w:rPr/>
            </w:pPr>
            <w:r>
              <w:rPr/>
            </w:r>
          </w:p>
        </w:tc>
        <w:tc>
          <w:tcPr>
            <w:tcW w:w="159" w:type="dxa"/>
            <w:tcBorders/>
            <w:shd w:fill="CCEEFF" w:val="clear"/>
            <w:vAlign w:val="center"/>
          </w:tcPr>
          <w:p>
            <w:pPr>
              <w:pStyle w:val="TableContents"/>
              <w:bidi w:val="0"/>
              <w:spacing w:before="0" w:after="283"/>
              <w:jc w:val="left"/>
              <w:rPr/>
            </w:pPr>
            <w:r>
              <w:rPr/>
              <w:t>$</w:t>
            </w:r>
          </w:p>
        </w:tc>
        <w:tc>
          <w:tcPr>
            <w:tcW w:w="777" w:type="dxa"/>
            <w:tcBorders/>
            <w:shd w:fill="CCEEFF" w:val="clear"/>
            <w:vAlign w:val="center"/>
          </w:tcPr>
          <w:p>
            <w:pPr>
              <w:pStyle w:val="TableContents"/>
              <w:bidi w:val="0"/>
              <w:spacing w:before="0" w:after="283"/>
              <w:jc w:val="right"/>
              <w:rPr/>
            </w:pPr>
            <w:r>
              <w:rPr/>
              <w:t>0.6759</w:t>
            </w:r>
          </w:p>
        </w:tc>
        <w:tc>
          <w:tcPr>
            <w:tcW w:w="25"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763" w:type="dxa"/>
            <w:tcBorders/>
            <w:shd w:fill="CCEEFF" w:val="clear"/>
            <w:vAlign w:val="center"/>
          </w:tcPr>
          <w:p>
            <w:pPr>
              <w:pStyle w:val="TableContents"/>
              <w:bidi w:val="0"/>
              <w:spacing w:before="0" w:after="283"/>
              <w:jc w:val="right"/>
              <w:rPr/>
            </w:pPr>
            <w:r>
              <w:rPr/>
              <w:t>(3)</w:t>
            </w:r>
          </w:p>
        </w:tc>
        <w:tc>
          <w:tcPr>
            <w:tcW w:w="634" w:type="dxa"/>
            <w:tcBorders/>
            <w:shd w:fill="CCEEFF" w:val="clear"/>
            <w:vAlign w:val="center"/>
          </w:tcPr>
          <w:p>
            <w:pPr>
              <w:pStyle w:val="TableContents"/>
              <w:bidi w:val="0"/>
              <w:spacing w:before="0" w:after="283"/>
              <w:jc w:val="left"/>
              <w:rPr/>
            </w:pPr>
            <w:r>
              <w:rPr/>
              <w:t>%</w:t>
            </w:r>
          </w:p>
        </w:tc>
        <w:tc>
          <w:tcPr>
            <w:tcW w:w="50" w:type="dxa"/>
            <w:tcBorders/>
            <w:shd w:fill="CCEEFF" w:val="clear"/>
            <w:vAlign w:val="center"/>
          </w:tcPr>
          <w:p>
            <w:pPr>
              <w:pStyle w:val="TableContents"/>
              <w:bidi w:val="0"/>
              <w:spacing w:before="0" w:after="283"/>
              <w:jc w:val="left"/>
              <w:rPr/>
            </w:pPr>
            <w:r>
              <w:rPr/>
            </w:r>
          </w:p>
        </w:tc>
      </w:tr>
      <w:tr>
        <w:trPr/>
        <w:tc>
          <w:tcPr>
            <w:tcW w:w="2601"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British pounds sterling</w:t>
            </w:r>
          </w:p>
        </w:tc>
        <w:tc>
          <w:tcPr>
            <w:tcW w:w="60" w:type="dxa"/>
            <w:tcBorders/>
            <w:vAlign w:val="center"/>
          </w:tcPr>
          <w:p>
            <w:pPr>
              <w:pStyle w:val="TableContents"/>
              <w:bidi w:val="0"/>
              <w:spacing w:before="0" w:after="0"/>
              <w:jc w:val="left"/>
              <w:rPr/>
            </w:pPr>
            <w:r>
              <w:rPr/>
              <w:t> </w:t>
            </w:r>
          </w:p>
        </w:tc>
        <w:tc>
          <w:tcPr>
            <w:tcW w:w="175" w:type="dxa"/>
            <w:tcBorders/>
            <w:vAlign w:val="center"/>
          </w:tcPr>
          <w:p>
            <w:pPr>
              <w:pStyle w:val="TableContents"/>
              <w:widowControl/>
              <w:bidi w:val="0"/>
              <w:spacing w:before="0" w:after="283"/>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830"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1.2623</w:t>
            </w:r>
          </w:p>
        </w:tc>
        <w:tc>
          <w:tcPr>
            <w:tcW w:w="31" w:type="dxa"/>
            <w:tcBorders/>
            <w:vAlign w:val="center"/>
          </w:tcPr>
          <w:p>
            <w:pPr>
              <w:pStyle w:val="TableContents"/>
              <w:bidi w:val="0"/>
              <w:spacing w:before="0" w:after="0"/>
              <w:jc w:val="left"/>
              <w:rPr>
                <w:sz w:val="20"/>
              </w:rPr>
            </w:pPr>
            <w:r>
              <w:rPr>
                <w:sz w:val="20"/>
              </w:rPr>
            </w:r>
          </w:p>
        </w:tc>
        <w:tc>
          <w:tcPr>
            <w:tcW w:w="31" w:type="dxa"/>
            <w:tcBorders/>
            <w:vAlign w:val="center"/>
          </w:tcPr>
          <w:p>
            <w:pPr>
              <w:pStyle w:val="TableContents"/>
              <w:bidi w:val="0"/>
              <w:spacing w:before="0" w:after="283"/>
              <w:jc w:val="left"/>
              <w:rPr/>
            </w:pPr>
            <w:r>
              <w:rPr/>
            </w:r>
          </w:p>
        </w:tc>
        <w:tc>
          <w:tcPr>
            <w:tcW w:w="175" w:type="dxa"/>
            <w:tcBorders/>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w:t>
            </w:r>
          </w:p>
        </w:tc>
        <w:tc>
          <w:tcPr>
            <w:tcW w:w="830"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1.2518</w:t>
            </w:r>
          </w:p>
        </w:tc>
        <w:tc>
          <w:tcPr>
            <w:tcW w:w="31" w:type="dxa"/>
            <w:tcBorders/>
            <w:vAlign w:val="center"/>
          </w:tcPr>
          <w:p>
            <w:pPr>
              <w:pStyle w:val="TableContents"/>
              <w:bidi w:val="0"/>
              <w:spacing w:before="0" w:after="0"/>
              <w:jc w:val="left"/>
              <w:rPr>
                <w:sz w:val="20"/>
              </w:rPr>
            </w:pPr>
            <w:r>
              <w:rPr>
                <w:sz w:val="20"/>
              </w:rPr>
            </w:r>
          </w:p>
        </w:tc>
        <w:tc>
          <w:tcPr>
            <w:tcW w:w="23"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w:t>
            </w:r>
          </w:p>
        </w:tc>
        <w:tc>
          <w:tcPr>
            <w:tcW w:w="185"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159" w:type="dxa"/>
            <w:tcBorders/>
            <w:vAlign w:val="center"/>
          </w:tcPr>
          <w:p>
            <w:pPr>
              <w:pStyle w:val="TableContents"/>
              <w:bidi w:val="0"/>
              <w:spacing w:before="0" w:after="283"/>
              <w:jc w:val="left"/>
              <w:rPr/>
            </w:pPr>
            <w:r>
              <w:rPr/>
              <w:t>$</w:t>
            </w:r>
          </w:p>
        </w:tc>
        <w:tc>
          <w:tcPr>
            <w:tcW w:w="777" w:type="dxa"/>
            <w:tcBorders/>
            <w:vAlign w:val="center"/>
          </w:tcPr>
          <w:p>
            <w:pPr>
              <w:pStyle w:val="TableContents"/>
              <w:bidi w:val="0"/>
              <w:spacing w:before="0" w:after="283"/>
              <w:jc w:val="right"/>
              <w:rPr/>
            </w:pPr>
            <w:r>
              <w:rPr/>
              <w:t>1.2631</w:t>
            </w:r>
          </w:p>
        </w:tc>
        <w:tc>
          <w:tcPr>
            <w:tcW w:w="25" w:type="dxa"/>
            <w:tcBorders/>
            <w:vAlign w:val="center"/>
          </w:tcPr>
          <w:p>
            <w:pPr>
              <w:pStyle w:val="TableContents"/>
              <w:bidi w:val="0"/>
              <w:spacing w:before="0" w:after="283"/>
              <w:jc w:val="left"/>
              <w:rPr/>
            </w:pPr>
            <w:r>
              <w:rPr/>
            </w:r>
          </w:p>
        </w:tc>
        <w:tc>
          <w:tcPr>
            <w:tcW w:w="25" w:type="dxa"/>
            <w:tcBorders/>
            <w:vAlign w:val="center"/>
          </w:tcPr>
          <w:p>
            <w:pPr>
              <w:pStyle w:val="TableContents"/>
              <w:bidi w:val="0"/>
              <w:spacing w:before="0" w:after="283"/>
              <w:jc w:val="left"/>
              <w:rPr/>
            </w:pPr>
            <w:r>
              <w:rPr/>
            </w:r>
          </w:p>
        </w:tc>
        <w:tc>
          <w:tcPr>
            <w:tcW w:w="159" w:type="dxa"/>
            <w:tcBorders/>
            <w:vAlign w:val="center"/>
          </w:tcPr>
          <w:p>
            <w:pPr>
              <w:pStyle w:val="TableContents"/>
              <w:bidi w:val="0"/>
              <w:spacing w:before="0" w:after="283"/>
              <w:jc w:val="left"/>
              <w:rPr/>
            </w:pPr>
            <w:r>
              <w:rPr/>
              <w:t>$</w:t>
            </w:r>
          </w:p>
        </w:tc>
        <w:tc>
          <w:tcPr>
            <w:tcW w:w="777" w:type="dxa"/>
            <w:tcBorders/>
            <w:vAlign w:val="center"/>
          </w:tcPr>
          <w:p>
            <w:pPr>
              <w:pStyle w:val="TableContents"/>
              <w:bidi w:val="0"/>
              <w:spacing w:before="0" w:after="283"/>
              <w:jc w:val="right"/>
              <w:rPr/>
            </w:pPr>
            <w:r>
              <w:rPr/>
              <w:t>1.2332</w:t>
            </w:r>
          </w:p>
        </w:tc>
        <w:tc>
          <w:tcPr>
            <w:tcW w:w="25"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763" w:type="dxa"/>
            <w:tcBorders/>
            <w:vAlign w:val="center"/>
          </w:tcPr>
          <w:p>
            <w:pPr>
              <w:pStyle w:val="TableContents"/>
              <w:bidi w:val="0"/>
              <w:spacing w:before="0" w:after="283"/>
              <w:jc w:val="right"/>
              <w:rPr/>
            </w:pPr>
            <w:r>
              <w:rPr/>
              <w:t>2</w:t>
            </w:r>
          </w:p>
        </w:tc>
        <w:tc>
          <w:tcPr>
            <w:tcW w:w="634" w:type="dxa"/>
            <w:tcBorders/>
            <w:vAlign w:val="center"/>
          </w:tcPr>
          <w:p>
            <w:pPr>
              <w:pStyle w:val="TableContents"/>
              <w:bidi w:val="0"/>
              <w:spacing w:before="0" w:after="283"/>
              <w:jc w:val="left"/>
              <w:rPr/>
            </w:pPr>
            <w:r>
              <w:rPr/>
              <w:t>%</w:t>
            </w:r>
          </w:p>
        </w:tc>
        <w:tc>
          <w:tcPr>
            <w:tcW w:w="50" w:type="dxa"/>
            <w:tcBorders/>
            <w:vAlign w:val="center"/>
          </w:tcPr>
          <w:p>
            <w:pPr>
              <w:pStyle w:val="TableContents"/>
              <w:bidi w:val="0"/>
              <w:spacing w:before="0" w:after="283"/>
              <w:jc w:val="left"/>
              <w:rPr/>
            </w:pPr>
            <w:r>
              <w:rPr/>
            </w:r>
          </w:p>
        </w:tc>
      </w:tr>
      <w:tr>
        <w:trPr/>
        <w:tc>
          <w:tcPr>
            <w:tcW w:w="2601"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Canadian dollar</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75" w:type="dxa"/>
            <w:tcBorders/>
            <w:shd w:fill="CCEEFF" w:val="clear"/>
            <w:vAlign w:val="center"/>
          </w:tcPr>
          <w:p>
            <w:pPr>
              <w:pStyle w:val="TableContents"/>
              <w:widowControl/>
              <w:bidi w:val="0"/>
              <w:spacing w:before="0" w:after="283"/>
              <w:ind w:left="0" w:right="0" w:hanging="0"/>
              <w:jc w:val="right"/>
              <w:rPr>
                <w:rFonts w:ascii="times new roman;times" w:hAnsi="times new roman;times"/>
                <w:b w:val="false"/>
                <w:color w:val="000000"/>
                <w:spacing w:val="0"/>
                <w:sz w:val="20"/>
              </w:rPr>
            </w:pPr>
            <w:r>
              <w:rPr>
                <w:rFonts w:ascii="times new roman;times" w:hAnsi="times new roman;times"/>
                <w:b w:val="false"/>
                <w:color w:val="000000"/>
                <w:spacing w:val="0"/>
                <w:sz w:val="20"/>
              </w:rPr>
              <w:t>$</w:t>
            </w:r>
          </w:p>
        </w:tc>
        <w:tc>
          <w:tcPr>
            <w:tcW w:w="830"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0.7304</w:t>
            </w:r>
          </w:p>
        </w:tc>
        <w:tc>
          <w:tcPr>
            <w:tcW w:w="31" w:type="dxa"/>
            <w:tcBorders/>
            <w:shd w:fill="CCEEFF" w:val="clear"/>
            <w:vAlign w:val="center"/>
          </w:tcPr>
          <w:p>
            <w:pPr>
              <w:pStyle w:val="TableContents"/>
              <w:bidi w:val="0"/>
              <w:spacing w:before="0" w:after="0"/>
              <w:jc w:val="left"/>
              <w:rPr>
                <w:sz w:val="20"/>
              </w:rPr>
            </w:pPr>
            <w:r>
              <w:rPr>
                <w:sz w:val="20"/>
              </w:rPr>
            </w:r>
          </w:p>
        </w:tc>
        <w:tc>
          <w:tcPr>
            <w:tcW w:w="31" w:type="dxa"/>
            <w:tcBorders/>
            <w:shd w:fill="CCEEFF" w:val="clear"/>
            <w:vAlign w:val="center"/>
          </w:tcPr>
          <w:p>
            <w:pPr>
              <w:pStyle w:val="TableContents"/>
              <w:bidi w:val="0"/>
              <w:spacing w:before="0" w:after="283"/>
              <w:jc w:val="left"/>
              <w:rPr/>
            </w:pPr>
            <w:r>
              <w:rPr/>
            </w:r>
          </w:p>
        </w:tc>
        <w:tc>
          <w:tcPr>
            <w:tcW w:w="175" w:type="dxa"/>
            <w:tcBorders/>
            <w:shd w:fill="CCEEFF" w:val="clear"/>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w:t>
            </w:r>
          </w:p>
        </w:tc>
        <w:tc>
          <w:tcPr>
            <w:tcW w:w="830"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0.7448</w:t>
            </w:r>
          </w:p>
        </w:tc>
        <w:tc>
          <w:tcPr>
            <w:tcW w:w="31" w:type="dxa"/>
            <w:tcBorders/>
            <w:shd w:fill="CCEEFF" w:val="clear"/>
            <w:vAlign w:val="center"/>
          </w:tcPr>
          <w:p>
            <w:pPr>
              <w:pStyle w:val="TableContents"/>
              <w:bidi w:val="0"/>
              <w:spacing w:before="0" w:after="0"/>
              <w:jc w:val="left"/>
              <w:rPr>
                <w:sz w:val="20"/>
              </w:rPr>
            </w:pPr>
            <w:r>
              <w:rPr>
                <w:sz w:val="20"/>
              </w:rPr>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1770" w:type="dxa"/>
            <w:tcBorders/>
            <w:shd w:fill="CCEEFF" w:val="clear"/>
            <w:vAlign w:val="center"/>
          </w:tcPr>
          <w:p>
            <w:pPr>
              <w:pStyle w:val="TableContents"/>
              <w:widowControl/>
              <w:bidi w:val="0"/>
              <w:spacing w:before="0" w:after="0"/>
              <w:ind w:left="0" w:right="0" w:hanging="0"/>
              <w:jc w:val="right"/>
              <w:rPr>
                <w:rFonts w:ascii="times new roman;times" w:hAnsi="times new roman;times"/>
              </w:rPr>
            </w:pPr>
            <w:r>
              <w:rPr>
                <w:rFonts w:ascii="times new roman;times" w:hAnsi="times new roman;times"/>
                <w:b w:val="false"/>
                <w:color w:val="000000"/>
                <w:spacing w:val="0"/>
                <w:sz w:val="20"/>
              </w:rPr>
              <w:t>(2</w:t>
            </w:r>
            <w:r>
              <w:rPr>
                <w:rFonts w:ascii="times new roman;times" w:hAnsi="times new roman;times"/>
              </w:rPr>
              <w:t>(2)</w:t>
            </w:r>
            <w:r>
              <w:rPr>
                <w:rFonts w:ascii="times new roman;times" w:hAnsi="times new roman;times"/>
                <w:b w:val="false"/>
                <w:color w:val="000000"/>
                <w:spacing w:val="0"/>
                <w:sz w:val="20"/>
              </w:rPr>
              <w:t>)</w:t>
            </w:r>
            <w:r>
              <w:rPr>
                <w:rFonts w:ascii="times new roman;times" w:hAnsi="times new roman;times"/>
              </w:rPr>
              <w:t>xxxxXX(2xx)</w:t>
            </w:r>
          </w:p>
        </w:tc>
        <w:tc>
          <w:tcPr>
            <w:tcW w:w="185"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23"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159" w:type="dxa"/>
            <w:tcBorders/>
            <w:shd w:fill="CCEEFF" w:val="clear"/>
            <w:vAlign w:val="center"/>
          </w:tcPr>
          <w:p>
            <w:pPr>
              <w:pStyle w:val="TableContents"/>
              <w:bidi w:val="0"/>
              <w:spacing w:before="0" w:after="283"/>
              <w:jc w:val="left"/>
              <w:rPr/>
            </w:pPr>
            <w:r>
              <w:rPr/>
              <w:t>$</w:t>
            </w:r>
          </w:p>
        </w:tc>
        <w:tc>
          <w:tcPr>
            <w:tcW w:w="777" w:type="dxa"/>
            <w:tcBorders/>
            <w:shd w:fill="CCEEFF" w:val="clear"/>
            <w:vAlign w:val="center"/>
          </w:tcPr>
          <w:p>
            <w:pPr>
              <w:pStyle w:val="TableContents"/>
              <w:bidi w:val="0"/>
              <w:spacing w:before="0" w:after="283"/>
              <w:jc w:val="right"/>
              <w:rPr/>
            </w:pPr>
            <w:r>
              <w:rPr/>
              <w:t>0.7352</w:t>
            </w:r>
          </w:p>
        </w:tc>
        <w:tc>
          <w:tcPr>
            <w:tcW w:w="25" w:type="dxa"/>
            <w:tcBorders/>
            <w:shd w:fill="CCEEFF" w:val="clear"/>
            <w:vAlign w:val="center"/>
          </w:tcPr>
          <w:p>
            <w:pPr>
              <w:pStyle w:val="TableContents"/>
              <w:bidi w:val="0"/>
              <w:spacing w:before="0" w:after="283"/>
              <w:jc w:val="left"/>
              <w:rPr/>
            </w:pPr>
            <w:r>
              <w:rPr/>
            </w:r>
          </w:p>
        </w:tc>
        <w:tc>
          <w:tcPr>
            <w:tcW w:w="25" w:type="dxa"/>
            <w:tcBorders/>
            <w:shd w:fill="CCEEFF" w:val="clear"/>
            <w:vAlign w:val="center"/>
          </w:tcPr>
          <w:p>
            <w:pPr>
              <w:pStyle w:val="TableContents"/>
              <w:bidi w:val="0"/>
              <w:spacing w:before="0" w:after="283"/>
              <w:jc w:val="left"/>
              <w:rPr/>
            </w:pPr>
            <w:r>
              <w:rPr/>
            </w:r>
          </w:p>
        </w:tc>
        <w:tc>
          <w:tcPr>
            <w:tcW w:w="159" w:type="dxa"/>
            <w:tcBorders/>
            <w:shd w:fill="CCEEFF" w:val="clear"/>
            <w:vAlign w:val="center"/>
          </w:tcPr>
          <w:p>
            <w:pPr>
              <w:pStyle w:val="TableContents"/>
              <w:bidi w:val="0"/>
              <w:spacing w:before="0" w:after="283"/>
              <w:jc w:val="left"/>
              <w:rPr/>
            </w:pPr>
            <w:r>
              <w:rPr/>
              <w:t>$</w:t>
            </w:r>
          </w:p>
        </w:tc>
        <w:tc>
          <w:tcPr>
            <w:tcW w:w="777" w:type="dxa"/>
            <w:tcBorders/>
            <w:shd w:fill="CCEEFF" w:val="clear"/>
            <w:vAlign w:val="center"/>
          </w:tcPr>
          <w:p>
            <w:pPr>
              <w:pStyle w:val="TableContents"/>
              <w:bidi w:val="0"/>
              <w:spacing w:before="0" w:after="283"/>
              <w:jc w:val="right"/>
              <w:rPr/>
            </w:pPr>
            <w:r>
              <w:rPr/>
              <w:t>0.7423</w:t>
            </w:r>
          </w:p>
        </w:tc>
        <w:tc>
          <w:tcPr>
            <w:tcW w:w="25"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763" w:type="dxa"/>
            <w:tcBorders/>
            <w:shd w:fill="CCEEFF" w:val="clear"/>
            <w:vAlign w:val="center"/>
          </w:tcPr>
          <w:p>
            <w:pPr>
              <w:pStyle w:val="TableContents"/>
              <w:bidi w:val="0"/>
              <w:spacing w:before="0" w:after="283"/>
              <w:jc w:val="right"/>
              <w:rPr/>
            </w:pPr>
            <w:r>
              <w:rPr/>
              <w:t>(1)</w:t>
            </w:r>
          </w:p>
        </w:tc>
        <w:tc>
          <w:tcPr>
            <w:tcW w:w="634" w:type="dxa"/>
            <w:tcBorders/>
            <w:shd w:fill="CCEEFF" w:val="clear"/>
            <w:vAlign w:val="center"/>
          </w:tcPr>
          <w:p>
            <w:pPr>
              <w:pStyle w:val="TableContents"/>
              <w:bidi w:val="0"/>
              <w:spacing w:before="0" w:after="283"/>
              <w:jc w:val="left"/>
              <w:rPr/>
            </w:pPr>
            <w:r>
              <w:rPr/>
              <w:t>%</w:t>
            </w:r>
          </w:p>
        </w:tc>
        <w:tc>
          <w:tcPr>
            <w:tcW w:w="50" w:type="dxa"/>
            <w:tcBorders/>
            <w:shd w:fill="CCEEFF" w:val="clear"/>
            <w:vAlign w:val="center"/>
          </w:tcPr>
          <w:p>
            <w:pPr>
              <w:pStyle w:val="TableContents"/>
              <w:bidi w:val="0"/>
              <w:spacing w:before="0" w:after="283"/>
              <w:jc w:val="left"/>
              <w:rPr/>
            </w:pPr>
            <w:r>
              <w:rPr/>
            </w:r>
          </w:p>
        </w:tc>
      </w:tr>
      <w:tr>
        <w:trPr/>
        <w:tc>
          <w:tcPr>
            <w:tcW w:w="2601"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euro</w:t>
            </w:r>
          </w:p>
        </w:tc>
        <w:tc>
          <w:tcPr>
            <w:tcW w:w="60"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w:t>
            </w:r>
          </w:p>
        </w:tc>
        <w:tc>
          <w:tcPr>
            <w:tcW w:w="830"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1.0739</w:t>
            </w:r>
          </w:p>
        </w:tc>
        <w:tc>
          <w:tcPr>
            <w:tcW w:w="31" w:type="dxa"/>
            <w:tcBorders/>
            <w:vAlign w:val="center"/>
          </w:tcPr>
          <w:p>
            <w:pPr>
              <w:pStyle w:val="TableContents"/>
              <w:bidi w:val="0"/>
              <w:spacing w:before="0" w:after="0"/>
              <w:jc w:val="left"/>
              <w:rPr>
                <w:sz w:val="20"/>
              </w:rPr>
            </w:pPr>
            <w:r>
              <w:rPr>
                <w:sz w:val="20"/>
              </w:rPr>
            </w:r>
          </w:p>
        </w:tc>
        <w:tc>
          <w:tcPr>
            <w:tcW w:w="31" w:type="dxa"/>
            <w:tcBorders/>
            <w:vAlign w:val="center"/>
          </w:tcPr>
          <w:p>
            <w:pPr>
              <w:pStyle w:val="TableContents"/>
              <w:bidi w:val="0"/>
              <w:spacing w:before="0" w:after="283"/>
              <w:jc w:val="left"/>
              <w:rPr/>
            </w:pPr>
            <w:r>
              <w:rPr/>
            </w:r>
          </w:p>
        </w:tc>
        <w:tc>
          <w:tcPr>
            <w:tcW w:w="175" w:type="dxa"/>
            <w:tcBorders/>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w:t>
            </w:r>
          </w:p>
        </w:tc>
        <w:tc>
          <w:tcPr>
            <w:tcW w:w="830"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1.0885</w:t>
            </w:r>
          </w:p>
        </w:tc>
        <w:tc>
          <w:tcPr>
            <w:tcW w:w="31" w:type="dxa"/>
            <w:tcBorders/>
            <w:vAlign w:val="center"/>
          </w:tcPr>
          <w:p>
            <w:pPr>
              <w:pStyle w:val="TableContents"/>
              <w:bidi w:val="0"/>
              <w:spacing w:before="0" w:after="0"/>
              <w:jc w:val="left"/>
              <w:rPr>
                <w:sz w:val="20"/>
              </w:rPr>
            </w:pPr>
            <w:r>
              <w:rPr>
                <w:sz w:val="20"/>
              </w:rPr>
            </w:r>
          </w:p>
        </w:tc>
        <w:tc>
          <w:tcPr>
            <w:tcW w:w="23"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w:t>
            </w:r>
          </w:p>
        </w:tc>
        <w:tc>
          <w:tcPr>
            <w:tcW w:w="185"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159" w:type="dxa"/>
            <w:tcBorders/>
            <w:vAlign w:val="center"/>
          </w:tcPr>
          <w:p>
            <w:pPr>
              <w:pStyle w:val="TableContents"/>
              <w:bidi w:val="0"/>
              <w:spacing w:before="0" w:after="283"/>
              <w:jc w:val="left"/>
              <w:rPr/>
            </w:pPr>
            <w:r>
              <w:rPr/>
              <w:t>$</w:t>
            </w:r>
          </w:p>
        </w:tc>
        <w:tc>
          <w:tcPr>
            <w:tcW w:w="777" w:type="dxa"/>
            <w:tcBorders/>
            <w:vAlign w:val="center"/>
          </w:tcPr>
          <w:p>
            <w:pPr>
              <w:pStyle w:val="TableContents"/>
              <w:bidi w:val="0"/>
              <w:spacing w:before="0" w:after="283"/>
              <w:jc w:val="right"/>
              <w:rPr/>
            </w:pPr>
            <w:r>
              <w:rPr/>
              <w:t>1.0770</w:t>
            </w:r>
          </w:p>
        </w:tc>
        <w:tc>
          <w:tcPr>
            <w:tcW w:w="25" w:type="dxa"/>
            <w:tcBorders/>
            <w:vAlign w:val="center"/>
          </w:tcPr>
          <w:p>
            <w:pPr>
              <w:pStyle w:val="TableContents"/>
              <w:bidi w:val="0"/>
              <w:spacing w:before="0" w:after="283"/>
              <w:jc w:val="left"/>
              <w:rPr/>
            </w:pPr>
            <w:r>
              <w:rPr/>
            </w:r>
          </w:p>
        </w:tc>
        <w:tc>
          <w:tcPr>
            <w:tcW w:w="25" w:type="dxa"/>
            <w:tcBorders/>
            <w:vAlign w:val="center"/>
          </w:tcPr>
          <w:p>
            <w:pPr>
              <w:pStyle w:val="TableContents"/>
              <w:bidi w:val="0"/>
              <w:spacing w:before="0" w:after="283"/>
              <w:jc w:val="left"/>
              <w:rPr/>
            </w:pPr>
            <w:r>
              <w:rPr/>
            </w:r>
          </w:p>
        </w:tc>
        <w:tc>
          <w:tcPr>
            <w:tcW w:w="159" w:type="dxa"/>
            <w:tcBorders/>
            <w:vAlign w:val="center"/>
          </w:tcPr>
          <w:p>
            <w:pPr>
              <w:pStyle w:val="TableContents"/>
              <w:bidi w:val="0"/>
              <w:spacing w:before="0" w:after="283"/>
              <w:jc w:val="left"/>
              <w:rPr/>
            </w:pPr>
            <w:r>
              <w:rPr/>
              <w:t>$</w:t>
            </w:r>
          </w:p>
        </w:tc>
        <w:tc>
          <w:tcPr>
            <w:tcW w:w="777" w:type="dxa"/>
            <w:tcBorders/>
            <w:vAlign w:val="center"/>
          </w:tcPr>
          <w:p>
            <w:pPr>
              <w:pStyle w:val="TableContents"/>
              <w:bidi w:val="0"/>
              <w:spacing w:before="0" w:after="283"/>
              <w:jc w:val="right"/>
              <w:rPr/>
            </w:pPr>
            <w:r>
              <w:rPr/>
              <w:t>1.0805</w:t>
            </w:r>
          </w:p>
        </w:tc>
        <w:tc>
          <w:tcPr>
            <w:tcW w:w="25"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763" w:type="dxa"/>
            <w:tcBorders/>
            <w:vAlign w:val="center"/>
          </w:tcPr>
          <w:p>
            <w:pPr>
              <w:pStyle w:val="TableContents"/>
              <w:bidi w:val="0"/>
              <w:spacing w:before="0" w:after="283"/>
              <w:jc w:val="right"/>
              <w:rPr/>
            </w:pPr>
            <w:r>
              <w:rPr/>
              <w:t>(0)</w:t>
            </w:r>
          </w:p>
        </w:tc>
        <w:tc>
          <w:tcPr>
            <w:tcW w:w="634" w:type="dxa"/>
            <w:tcBorders/>
            <w:vAlign w:val="center"/>
          </w:tcPr>
          <w:p>
            <w:pPr>
              <w:pStyle w:val="TableContents"/>
              <w:bidi w:val="0"/>
              <w:spacing w:before="0" w:after="283"/>
              <w:jc w:val="left"/>
              <w:rPr/>
            </w:pPr>
            <w:r>
              <w:rPr/>
              <w:t>%</w:t>
            </w:r>
          </w:p>
        </w:tc>
        <w:tc>
          <w:tcPr>
            <w:tcW w:w="50" w:type="dxa"/>
            <w:tcBorders/>
            <w:vAlign w:val="center"/>
          </w:tcPr>
          <w:p>
            <w:pPr>
              <w:pStyle w:val="TableContents"/>
              <w:bidi w:val="0"/>
              <w:spacing w:before="0" w:after="283"/>
              <w:jc w:val="left"/>
              <w:rPr/>
            </w:pPr>
            <w:r>
              <w:rPr/>
            </w:r>
          </w:p>
        </w:tc>
      </w:tr>
      <w:tr>
        <w:trPr/>
        <w:tc>
          <w:tcPr>
            <w:tcW w:w="2601"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Hungarian forint</w:t>
            </w:r>
          </w:p>
        </w:tc>
        <w:tc>
          <w:tcPr>
            <w:tcW w:w="60" w:type="dxa"/>
            <w:tcBorders/>
            <w:shd w:fill="CCEEFF" w:val="clear"/>
            <w:vAlign w:val="center"/>
          </w:tcPr>
          <w:p>
            <w:pPr>
              <w:pStyle w:val="TableContents"/>
              <w:bidi w:val="0"/>
              <w:spacing w:before="0" w:after="0"/>
              <w:jc w:val="left"/>
              <w:rPr/>
            </w:pPr>
            <w:r>
              <w:rPr/>
              <w:t> </w:t>
            </w:r>
          </w:p>
        </w:tc>
        <w:tc>
          <w:tcPr>
            <w:tcW w:w="175" w:type="dxa"/>
            <w:tcBorders/>
            <w:shd w:fill="CCEEFF" w:val="clear"/>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w:t>
            </w:r>
          </w:p>
        </w:tc>
        <w:tc>
          <w:tcPr>
            <w:tcW w:w="830"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0.0027</w:t>
            </w:r>
          </w:p>
        </w:tc>
        <w:tc>
          <w:tcPr>
            <w:tcW w:w="31" w:type="dxa"/>
            <w:tcBorders/>
            <w:shd w:fill="CCEEFF" w:val="clear"/>
            <w:vAlign w:val="center"/>
          </w:tcPr>
          <w:p>
            <w:pPr>
              <w:pStyle w:val="TableContents"/>
              <w:bidi w:val="0"/>
              <w:spacing w:before="0" w:after="0"/>
              <w:jc w:val="left"/>
              <w:rPr>
                <w:sz w:val="20"/>
              </w:rPr>
            </w:pPr>
            <w:r>
              <w:rPr>
                <w:sz w:val="20"/>
              </w:rPr>
            </w:r>
          </w:p>
        </w:tc>
        <w:tc>
          <w:tcPr>
            <w:tcW w:w="31" w:type="dxa"/>
            <w:tcBorders/>
            <w:shd w:fill="CCEEFF" w:val="clear"/>
            <w:vAlign w:val="center"/>
          </w:tcPr>
          <w:p>
            <w:pPr>
              <w:pStyle w:val="TableContents"/>
              <w:bidi w:val="0"/>
              <w:spacing w:before="0" w:after="283"/>
              <w:jc w:val="left"/>
              <w:rPr/>
            </w:pPr>
            <w:r>
              <w:rPr/>
            </w:r>
          </w:p>
        </w:tc>
        <w:tc>
          <w:tcPr>
            <w:tcW w:w="175" w:type="dxa"/>
            <w:tcBorders/>
            <w:shd w:fill="CCEEFF" w:val="clear"/>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w:t>
            </w:r>
          </w:p>
        </w:tc>
        <w:tc>
          <w:tcPr>
            <w:tcW w:w="830"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0.0029</w:t>
            </w:r>
          </w:p>
        </w:tc>
        <w:tc>
          <w:tcPr>
            <w:tcW w:w="31" w:type="dxa"/>
            <w:tcBorders/>
            <w:shd w:fill="CCEEFF" w:val="clear"/>
            <w:vAlign w:val="center"/>
          </w:tcPr>
          <w:p>
            <w:pPr>
              <w:pStyle w:val="TableContents"/>
              <w:bidi w:val="0"/>
              <w:spacing w:before="0" w:after="0"/>
              <w:jc w:val="left"/>
              <w:rPr>
                <w:sz w:val="20"/>
              </w:rPr>
            </w:pPr>
            <w:r>
              <w:rPr>
                <w:sz w:val="20"/>
              </w:rPr>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1770"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(7)</w:t>
            </w:r>
          </w:p>
        </w:tc>
        <w:tc>
          <w:tcPr>
            <w:tcW w:w="185"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23"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159" w:type="dxa"/>
            <w:tcBorders/>
            <w:shd w:fill="CCEEFF" w:val="clear"/>
            <w:vAlign w:val="center"/>
          </w:tcPr>
          <w:p>
            <w:pPr>
              <w:pStyle w:val="TableContents"/>
              <w:bidi w:val="0"/>
              <w:spacing w:before="0" w:after="283"/>
              <w:jc w:val="left"/>
              <w:rPr/>
            </w:pPr>
            <w:r>
              <w:rPr/>
              <w:t>$</w:t>
            </w:r>
          </w:p>
        </w:tc>
        <w:tc>
          <w:tcPr>
            <w:tcW w:w="777" w:type="dxa"/>
            <w:tcBorders/>
            <w:shd w:fill="CCEEFF" w:val="clear"/>
            <w:vAlign w:val="center"/>
          </w:tcPr>
          <w:p>
            <w:pPr>
              <w:pStyle w:val="TableContents"/>
              <w:bidi w:val="0"/>
              <w:spacing w:before="0" w:after="283"/>
              <w:jc w:val="right"/>
              <w:rPr/>
            </w:pPr>
            <w:r>
              <w:rPr/>
              <w:t>0.0028</w:t>
            </w:r>
          </w:p>
        </w:tc>
        <w:tc>
          <w:tcPr>
            <w:tcW w:w="25" w:type="dxa"/>
            <w:tcBorders/>
            <w:shd w:fill="CCEEFF" w:val="clear"/>
            <w:vAlign w:val="center"/>
          </w:tcPr>
          <w:p>
            <w:pPr>
              <w:pStyle w:val="TableContents"/>
              <w:bidi w:val="0"/>
              <w:spacing w:before="0" w:after="283"/>
              <w:jc w:val="left"/>
              <w:rPr/>
            </w:pPr>
            <w:r>
              <w:rPr/>
            </w:r>
          </w:p>
        </w:tc>
        <w:tc>
          <w:tcPr>
            <w:tcW w:w="25" w:type="dxa"/>
            <w:tcBorders/>
            <w:shd w:fill="CCEEFF" w:val="clear"/>
            <w:vAlign w:val="center"/>
          </w:tcPr>
          <w:p>
            <w:pPr>
              <w:pStyle w:val="TableContents"/>
              <w:bidi w:val="0"/>
              <w:spacing w:before="0" w:after="283"/>
              <w:jc w:val="left"/>
              <w:rPr/>
            </w:pPr>
            <w:r>
              <w:rPr/>
            </w:r>
          </w:p>
        </w:tc>
        <w:tc>
          <w:tcPr>
            <w:tcW w:w="159" w:type="dxa"/>
            <w:tcBorders/>
            <w:shd w:fill="CCEEFF" w:val="clear"/>
            <w:vAlign w:val="center"/>
          </w:tcPr>
          <w:p>
            <w:pPr>
              <w:pStyle w:val="TableContents"/>
              <w:bidi w:val="0"/>
              <w:spacing w:before="0" w:after="283"/>
              <w:jc w:val="left"/>
              <w:rPr/>
            </w:pPr>
            <w:r>
              <w:rPr/>
              <w:t>$</w:t>
            </w:r>
          </w:p>
        </w:tc>
        <w:tc>
          <w:tcPr>
            <w:tcW w:w="777" w:type="dxa"/>
            <w:tcBorders/>
            <w:shd w:fill="CCEEFF" w:val="clear"/>
            <w:vAlign w:val="center"/>
          </w:tcPr>
          <w:p>
            <w:pPr>
              <w:pStyle w:val="TableContents"/>
              <w:bidi w:val="0"/>
              <w:spacing w:before="0" w:after="283"/>
              <w:jc w:val="right"/>
              <w:rPr/>
            </w:pPr>
            <w:r>
              <w:rPr/>
              <w:t>0.0028</w:t>
            </w:r>
          </w:p>
        </w:tc>
        <w:tc>
          <w:tcPr>
            <w:tcW w:w="25"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763" w:type="dxa"/>
            <w:tcBorders/>
            <w:shd w:fill="CCEEFF" w:val="clear"/>
            <w:vAlign w:val="center"/>
          </w:tcPr>
          <w:p>
            <w:pPr>
              <w:pStyle w:val="TableContents"/>
              <w:bidi w:val="0"/>
              <w:spacing w:before="0" w:after="283"/>
              <w:jc w:val="right"/>
              <w:rPr/>
            </w:pPr>
            <w:r>
              <w:rPr/>
              <w:t>—</w:t>
            </w:r>
          </w:p>
        </w:tc>
        <w:tc>
          <w:tcPr>
            <w:tcW w:w="634" w:type="dxa"/>
            <w:tcBorders/>
            <w:shd w:fill="CCEEFF" w:val="clear"/>
            <w:vAlign w:val="center"/>
          </w:tcPr>
          <w:p>
            <w:pPr>
              <w:pStyle w:val="TableContents"/>
              <w:bidi w:val="0"/>
              <w:spacing w:before="0" w:after="283"/>
              <w:jc w:val="left"/>
              <w:rPr/>
            </w:pPr>
            <w:r>
              <w:rPr/>
              <w:t>%</w:t>
            </w:r>
          </w:p>
        </w:tc>
        <w:tc>
          <w:tcPr>
            <w:tcW w:w="50" w:type="dxa"/>
            <w:tcBorders/>
            <w:shd w:fill="CCEEFF" w:val="clear"/>
            <w:vAlign w:val="center"/>
          </w:tcPr>
          <w:p>
            <w:pPr>
              <w:pStyle w:val="TableContents"/>
              <w:bidi w:val="0"/>
              <w:spacing w:before="0" w:after="283"/>
              <w:jc w:val="left"/>
              <w:rPr/>
            </w:pPr>
            <w:r>
              <w:rPr/>
            </w:r>
          </w:p>
        </w:tc>
      </w:tr>
      <w:tr>
        <w:trPr/>
        <w:tc>
          <w:tcPr>
            <w:tcW w:w="2601"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Indian rupee</w:t>
            </w:r>
          </w:p>
        </w:tc>
        <w:tc>
          <w:tcPr>
            <w:tcW w:w="60"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w:t>
            </w:r>
          </w:p>
        </w:tc>
        <w:tc>
          <w:tcPr>
            <w:tcW w:w="830"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0.0120</w:t>
            </w:r>
          </w:p>
        </w:tc>
        <w:tc>
          <w:tcPr>
            <w:tcW w:w="31" w:type="dxa"/>
            <w:tcBorders/>
            <w:vAlign w:val="center"/>
          </w:tcPr>
          <w:p>
            <w:pPr>
              <w:pStyle w:val="TableContents"/>
              <w:bidi w:val="0"/>
              <w:spacing w:before="0" w:after="0"/>
              <w:jc w:val="left"/>
              <w:rPr>
                <w:sz w:val="20"/>
              </w:rPr>
            </w:pPr>
            <w:r>
              <w:rPr>
                <w:sz w:val="20"/>
              </w:rPr>
            </w:r>
          </w:p>
        </w:tc>
        <w:tc>
          <w:tcPr>
            <w:tcW w:w="31" w:type="dxa"/>
            <w:tcBorders/>
            <w:vAlign w:val="center"/>
          </w:tcPr>
          <w:p>
            <w:pPr>
              <w:pStyle w:val="TableContents"/>
              <w:bidi w:val="0"/>
              <w:spacing w:before="0" w:after="283"/>
              <w:jc w:val="left"/>
              <w:rPr/>
            </w:pPr>
            <w:r>
              <w:rPr/>
            </w:r>
          </w:p>
        </w:tc>
        <w:tc>
          <w:tcPr>
            <w:tcW w:w="175" w:type="dxa"/>
            <w:tcBorders/>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w:t>
            </w:r>
          </w:p>
        </w:tc>
        <w:tc>
          <w:tcPr>
            <w:tcW w:w="830"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0.0122</w:t>
            </w:r>
          </w:p>
        </w:tc>
        <w:tc>
          <w:tcPr>
            <w:tcW w:w="31" w:type="dxa"/>
            <w:tcBorders/>
            <w:vAlign w:val="center"/>
          </w:tcPr>
          <w:p>
            <w:pPr>
              <w:pStyle w:val="TableContents"/>
              <w:bidi w:val="0"/>
              <w:spacing w:before="0" w:after="0"/>
              <w:jc w:val="left"/>
              <w:rPr>
                <w:sz w:val="20"/>
              </w:rPr>
            </w:pPr>
            <w:r>
              <w:rPr>
                <w:sz w:val="20"/>
              </w:rPr>
            </w:r>
          </w:p>
        </w:tc>
        <w:tc>
          <w:tcPr>
            <w:tcW w:w="23"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w:t>
            </w:r>
          </w:p>
        </w:tc>
        <w:tc>
          <w:tcPr>
            <w:tcW w:w="185"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159" w:type="dxa"/>
            <w:tcBorders/>
            <w:vAlign w:val="center"/>
          </w:tcPr>
          <w:p>
            <w:pPr>
              <w:pStyle w:val="TableContents"/>
              <w:bidi w:val="0"/>
              <w:spacing w:before="0" w:after="283"/>
              <w:jc w:val="left"/>
              <w:rPr/>
            </w:pPr>
            <w:r>
              <w:rPr/>
              <w:t>$</w:t>
            </w:r>
          </w:p>
        </w:tc>
        <w:tc>
          <w:tcPr>
            <w:tcW w:w="777" w:type="dxa"/>
            <w:tcBorders/>
            <w:vAlign w:val="center"/>
          </w:tcPr>
          <w:p>
            <w:pPr>
              <w:pStyle w:val="TableContents"/>
              <w:bidi w:val="0"/>
              <w:spacing w:before="0" w:after="283"/>
              <w:jc w:val="right"/>
              <w:rPr/>
            </w:pPr>
            <w:r>
              <w:rPr/>
              <w:t>0.0120</w:t>
            </w:r>
          </w:p>
        </w:tc>
        <w:tc>
          <w:tcPr>
            <w:tcW w:w="25" w:type="dxa"/>
            <w:tcBorders/>
            <w:vAlign w:val="center"/>
          </w:tcPr>
          <w:p>
            <w:pPr>
              <w:pStyle w:val="TableContents"/>
              <w:bidi w:val="0"/>
              <w:spacing w:before="0" w:after="283"/>
              <w:jc w:val="left"/>
              <w:rPr/>
            </w:pPr>
            <w:r>
              <w:rPr/>
            </w:r>
          </w:p>
        </w:tc>
        <w:tc>
          <w:tcPr>
            <w:tcW w:w="25" w:type="dxa"/>
            <w:tcBorders/>
            <w:vAlign w:val="center"/>
          </w:tcPr>
          <w:p>
            <w:pPr>
              <w:pStyle w:val="TableContents"/>
              <w:bidi w:val="0"/>
              <w:spacing w:before="0" w:after="283"/>
              <w:jc w:val="left"/>
              <w:rPr/>
            </w:pPr>
            <w:r>
              <w:rPr/>
            </w:r>
          </w:p>
        </w:tc>
        <w:tc>
          <w:tcPr>
            <w:tcW w:w="159" w:type="dxa"/>
            <w:tcBorders/>
            <w:vAlign w:val="center"/>
          </w:tcPr>
          <w:p>
            <w:pPr>
              <w:pStyle w:val="TableContents"/>
              <w:bidi w:val="0"/>
              <w:spacing w:before="0" w:after="283"/>
              <w:jc w:val="left"/>
              <w:rPr/>
            </w:pPr>
            <w:r>
              <w:rPr/>
              <w:t>$</w:t>
            </w:r>
          </w:p>
        </w:tc>
        <w:tc>
          <w:tcPr>
            <w:tcW w:w="777" w:type="dxa"/>
            <w:tcBorders/>
            <w:vAlign w:val="center"/>
          </w:tcPr>
          <w:p>
            <w:pPr>
              <w:pStyle w:val="TableContents"/>
              <w:bidi w:val="0"/>
              <w:spacing w:before="0" w:after="283"/>
              <w:jc w:val="right"/>
              <w:rPr/>
            </w:pPr>
            <w:r>
              <w:rPr/>
              <w:t>0.0122</w:t>
            </w:r>
          </w:p>
        </w:tc>
        <w:tc>
          <w:tcPr>
            <w:tcW w:w="25"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763" w:type="dxa"/>
            <w:tcBorders/>
            <w:vAlign w:val="center"/>
          </w:tcPr>
          <w:p>
            <w:pPr>
              <w:pStyle w:val="TableContents"/>
              <w:bidi w:val="0"/>
              <w:spacing w:before="0" w:after="283"/>
              <w:jc w:val="right"/>
              <w:rPr/>
            </w:pPr>
            <w:r>
              <w:rPr/>
              <w:t>(2)</w:t>
            </w:r>
          </w:p>
        </w:tc>
        <w:tc>
          <w:tcPr>
            <w:tcW w:w="634" w:type="dxa"/>
            <w:tcBorders/>
            <w:vAlign w:val="center"/>
          </w:tcPr>
          <w:p>
            <w:pPr>
              <w:pStyle w:val="TableContents"/>
              <w:bidi w:val="0"/>
              <w:spacing w:before="0" w:after="283"/>
              <w:jc w:val="left"/>
              <w:rPr/>
            </w:pPr>
            <w:r>
              <w:rPr/>
              <w:t>%</w:t>
            </w:r>
          </w:p>
        </w:tc>
        <w:tc>
          <w:tcPr>
            <w:tcW w:w="50" w:type="dxa"/>
            <w:tcBorders/>
            <w:vAlign w:val="center"/>
          </w:tcPr>
          <w:p>
            <w:pPr>
              <w:pStyle w:val="TableContents"/>
              <w:bidi w:val="0"/>
              <w:spacing w:before="0" w:after="283"/>
              <w:jc w:val="left"/>
              <w:rPr/>
            </w:pPr>
            <w:r>
              <w:rPr/>
            </w:r>
          </w:p>
        </w:tc>
      </w:tr>
      <w:tr>
        <w:trPr/>
        <w:tc>
          <w:tcPr>
            <w:tcW w:w="2601"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Malaysian ringgit</w:t>
            </w:r>
          </w:p>
        </w:tc>
        <w:tc>
          <w:tcPr>
            <w:tcW w:w="60" w:type="dxa"/>
            <w:tcBorders/>
            <w:shd w:fill="CCEEFF" w:val="clear"/>
            <w:vAlign w:val="center"/>
          </w:tcPr>
          <w:p>
            <w:pPr>
              <w:pStyle w:val="TableContents"/>
              <w:bidi w:val="0"/>
              <w:spacing w:before="0" w:after="0"/>
              <w:jc w:val="left"/>
              <w:rPr/>
            </w:pPr>
            <w:r>
              <w:rPr/>
              <w:t> </w:t>
            </w:r>
          </w:p>
        </w:tc>
        <w:tc>
          <w:tcPr>
            <w:tcW w:w="175" w:type="dxa"/>
            <w:tcBorders/>
            <w:shd w:fill="CCEEFF" w:val="clear"/>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w:t>
            </w:r>
          </w:p>
        </w:tc>
        <w:tc>
          <w:tcPr>
            <w:tcW w:w="830"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0.2114</w:t>
            </w:r>
          </w:p>
        </w:tc>
        <w:tc>
          <w:tcPr>
            <w:tcW w:w="31" w:type="dxa"/>
            <w:tcBorders/>
            <w:shd w:fill="CCEEFF" w:val="clear"/>
            <w:vAlign w:val="center"/>
          </w:tcPr>
          <w:p>
            <w:pPr>
              <w:pStyle w:val="TableContents"/>
              <w:bidi w:val="0"/>
              <w:spacing w:before="0" w:after="0"/>
              <w:jc w:val="left"/>
              <w:rPr>
                <w:sz w:val="20"/>
              </w:rPr>
            </w:pPr>
            <w:r>
              <w:rPr>
                <w:sz w:val="20"/>
              </w:rPr>
            </w:r>
          </w:p>
        </w:tc>
        <w:tc>
          <w:tcPr>
            <w:tcW w:w="31" w:type="dxa"/>
            <w:tcBorders/>
            <w:shd w:fill="CCEEFF" w:val="clear"/>
            <w:vAlign w:val="center"/>
          </w:tcPr>
          <w:p>
            <w:pPr>
              <w:pStyle w:val="TableContents"/>
              <w:bidi w:val="0"/>
              <w:spacing w:before="0" w:after="283"/>
              <w:jc w:val="left"/>
              <w:rPr/>
            </w:pPr>
            <w:r>
              <w:rPr/>
            </w:r>
          </w:p>
        </w:tc>
        <w:tc>
          <w:tcPr>
            <w:tcW w:w="175" w:type="dxa"/>
            <w:tcBorders/>
            <w:shd w:fill="CCEEFF" w:val="clear"/>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w:t>
            </w:r>
          </w:p>
        </w:tc>
        <w:tc>
          <w:tcPr>
            <w:tcW w:w="830"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0.2213</w:t>
            </w:r>
          </w:p>
        </w:tc>
        <w:tc>
          <w:tcPr>
            <w:tcW w:w="31" w:type="dxa"/>
            <w:tcBorders/>
            <w:shd w:fill="CCEEFF" w:val="clear"/>
            <w:vAlign w:val="center"/>
          </w:tcPr>
          <w:p>
            <w:pPr>
              <w:pStyle w:val="TableContents"/>
              <w:bidi w:val="0"/>
              <w:spacing w:before="0" w:after="0"/>
              <w:jc w:val="left"/>
              <w:rPr>
                <w:sz w:val="20"/>
              </w:rPr>
            </w:pPr>
            <w:r>
              <w:rPr>
                <w:sz w:val="20"/>
              </w:rPr>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1770"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(4)</w:t>
            </w:r>
          </w:p>
        </w:tc>
        <w:tc>
          <w:tcPr>
            <w:tcW w:w="185"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23"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159" w:type="dxa"/>
            <w:tcBorders/>
            <w:shd w:fill="CCEEFF" w:val="clear"/>
            <w:vAlign w:val="center"/>
          </w:tcPr>
          <w:p>
            <w:pPr>
              <w:pStyle w:val="TableContents"/>
              <w:bidi w:val="0"/>
              <w:spacing w:before="0" w:after="283"/>
              <w:jc w:val="left"/>
              <w:rPr/>
            </w:pPr>
            <w:r>
              <w:rPr/>
              <w:t>$</w:t>
            </w:r>
          </w:p>
        </w:tc>
        <w:tc>
          <w:tcPr>
            <w:tcW w:w="777" w:type="dxa"/>
            <w:tcBorders/>
            <w:shd w:fill="CCEEFF" w:val="clear"/>
            <w:vAlign w:val="center"/>
          </w:tcPr>
          <w:p>
            <w:pPr>
              <w:pStyle w:val="TableContents"/>
              <w:bidi w:val="0"/>
              <w:spacing w:before="0" w:after="283"/>
              <w:jc w:val="right"/>
              <w:rPr/>
            </w:pPr>
            <w:r>
              <w:rPr/>
              <w:t>0.2114</w:t>
            </w:r>
          </w:p>
        </w:tc>
        <w:tc>
          <w:tcPr>
            <w:tcW w:w="25" w:type="dxa"/>
            <w:tcBorders/>
            <w:shd w:fill="CCEEFF" w:val="clear"/>
            <w:vAlign w:val="center"/>
          </w:tcPr>
          <w:p>
            <w:pPr>
              <w:pStyle w:val="TableContents"/>
              <w:bidi w:val="0"/>
              <w:spacing w:before="0" w:after="283"/>
              <w:jc w:val="left"/>
              <w:rPr/>
            </w:pPr>
            <w:r>
              <w:rPr/>
            </w:r>
          </w:p>
        </w:tc>
        <w:tc>
          <w:tcPr>
            <w:tcW w:w="25" w:type="dxa"/>
            <w:tcBorders/>
            <w:shd w:fill="CCEEFF" w:val="clear"/>
            <w:vAlign w:val="center"/>
          </w:tcPr>
          <w:p>
            <w:pPr>
              <w:pStyle w:val="TableContents"/>
              <w:bidi w:val="0"/>
              <w:spacing w:before="0" w:after="283"/>
              <w:jc w:val="left"/>
              <w:rPr/>
            </w:pPr>
            <w:r>
              <w:rPr/>
            </w:r>
          </w:p>
        </w:tc>
        <w:tc>
          <w:tcPr>
            <w:tcW w:w="159" w:type="dxa"/>
            <w:tcBorders/>
            <w:shd w:fill="CCEEFF" w:val="clear"/>
            <w:vAlign w:val="center"/>
          </w:tcPr>
          <w:p>
            <w:pPr>
              <w:pStyle w:val="TableContents"/>
              <w:bidi w:val="0"/>
              <w:spacing w:before="0" w:after="283"/>
              <w:jc w:val="left"/>
              <w:rPr/>
            </w:pPr>
            <w:r>
              <w:rPr/>
              <w:t>$</w:t>
            </w:r>
          </w:p>
        </w:tc>
        <w:tc>
          <w:tcPr>
            <w:tcW w:w="777" w:type="dxa"/>
            <w:tcBorders/>
            <w:shd w:fill="CCEEFF" w:val="clear"/>
            <w:vAlign w:val="center"/>
          </w:tcPr>
          <w:p>
            <w:pPr>
              <w:pStyle w:val="TableContents"/>
              <w:bidi w:val="0"/>
              <w:spacing w:before="0" w:after="283"/>
              <w:jc w:val="right"/>
              <w:rPr/>
            </w:pPr>
            <w:r>
              <w:rPr/>
              <w:t>0.2247</w:t>
            </w:r>
          </w:p>
        </w:tc>
        <w:tc>
          <w:tcPr>
            <w:tcW w:w="25"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763" w:type="dxa"/>
            <w:tcBorders/>
            <w:shd w:fill="CCEEFF" w:val="clear"/>
            <w:vAlign w:val="center"/>
          </w:tcPr>
          <w:p>
            <w:pPr>
              <w:pStyle w:val="TableContents"/>
              <w:bidi w:val="0"/>
              <w:spacing w:before="0" w:after="283"/>
              <w:jc w:val="right"/>
              <w:rPr/>
            </w:pPr>
            <w:r>
              <w:rPr/>
              <w:t>(6)</w:t>
            </w:r>
          </w:p>
        </w:tc>
        <w:tc>
          <w:tcPr>
            <w:tcW w:w="634" w:type="dxa"/>
            <w:tcBorders/>
            <w:shd w:fill="CCEEFF" w:val="clear"/>
            <w:vAlign w:val="center"/>
          </w:tcPr>
          <w:p>
            <w:pPr>
              <w:pStyle w:val="TableContents"/>
              <w:bidi w:val="0"/>
              <w:spacing w:before="0" w:after="283"/>
              <w:jc w:val="left"/>
              <w:rPr/>
            </w:pPr>
            <w:r>
              <w:rPr/>
              <w:t>%</w:t>
            </w:r>
          </w:p>
        </w:tc>
        <w:tc>
          <w:tcPr>
            <w:tcW w:w="50" w:type="dxa"/>
            <w:tcBorders/>
            <w:shd w:fill="CCEEFF" w:val="clear"/>
            <w:vAlign w:val="center"/>
          </w:tcPr>
          <w:p>
            <w:pPr>
              <w:pStyle w:val="TableContents"/>
              <w:bidi w:val="0"/>
              <w:spacing w:before="0" w:after="283"/>
              <w:jc w:val="left"/>
              <w:rPr/>
            </w:pPr>
            <w:r>
              <w:rPr/>
            </w:r>
          </w:p>
        </w:tc>
      </w:tr>
      <w:tr>
        <w:trPr/>
        <w:tc>
          <w:tcPr>
            <w:tcW w:w="2601"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New Zealand dollar</w:t>
            </w:r>
          </w:p>
        </w:tc>
        <w:tc>
          <w:tcPr>
            <w:tcW w:w="60"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w:t>
            </w:r>
          </w:p>
        </w:tc>
        <w:tc>
          <w:tcPr>
            <w:tcW w:w="830"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0.6039</w:t>
            </w:r>
          </w:p>
        </w:tc>
        <w:tc>
          <w:tcPr>
            <w:tcW w:w="31" w:type="dxa"/>
            <w:tcBorders/>
            <w:vAlign w:val="center"/>
          </w:tcPr>
          <w:p>
            <w:pPr>
              <w:pStyle w:val="TableContents"/>
              <w:bidi w:val="0"/>
              <w:spacing w:before="0" w:after="0"/>
              <w:jc w:val="left"/>
              <w:rPr>
                <w:sz w:val="20"/>
              </w:rPr>
            </w:pPr>
            <w:r>
              <w:rPr>
                <w:sz w:val="20"/>
              </w:rPr>
            </w:r>
          </w:p>
        </w:tc>
        <w:tc>
          <w:tcPr>
            <w:tcW w:w="31" w:type="dxa"/>
            <w:tcBorders/>
            <w:vAlign w:val="center"/>
          </w:tcPr>
          <w:p>
            <w:pPr>
              <w:pStyle w:val="TableContents"/>
              <w:bidi w:val="0"/>
              <w:spacing w:before="0" w:after="283"/>
              <w:jc w:val="left"/>
              <w:rPr/>
            </w:pPr>
            <w:r>
              <w:rPr/>
            </w:r>
          </w:p>
        </w:tc>
        <w:tc>
          <w:tcPr>
            <w:tcW w:w="175" w:type="dxa"/>
            <w:tcBorders/>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w:t>
            </w:r>
          </w:p>
        </w:tc>
        <w:tc>
          <w:tcPr>
            <w:tcW w:w="830"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0.6183</w:t>
            </w:r>
          </w:p>
        </w:tc>
        <w:tc>
          <w:tcPr>
            <w:tcW w:w="31" w:type="dxa"/>
            <w:tcBorders/>
            <w:vAlign w:val="center"/>
          </w:tcPr>
          <w:p>
            <w:pPr>
              <w:pStyle w:val="TableContents"/>
              <w:bidi w:val="0"/>
              <w:spacing w:before="0" w:after="0"/>
              <w:jc w:val="left"/>
              <w:rPr>
                <w:sz w:val="20"/>
              </w:rPr>
            </w:pPr>
            <w:r>
              <w:rPr>
                <w:sz w:val="20"/>
              </w:rPr>
            </w:r>
          </w:p>
        </w:tc>
        <w:tc>
          <w:tcPr>
            <w:tcW w:w="23"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w:t>
            </w:r>
          </w:p>
        </w:tc>
        <w:tc>
          <w:tcPr>
            <w:tcW w:w="185"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159" w:type="dxa"/>
            <w:tcBorders/>
            <w:vAlign w:val="center"/>
          </w:tcPr>
          <w:p>
            <w:pPr>
              <w:pStyle w:val="TableContents"/>
              <w:bidi w:val="0"/>
              <w:spacing w:before="0" w:after="283"/>
              <w:jc w:val="left"/>
              <w:rPr/>
            </w:pPr>
            <w:r>
              <w:rPr/>
              <w:t>$</w:t>
            </w:r>
          </w:p>
        </w:tc>
        <w:tc>
          <w:tcPr>
            <w:tcW w:w="777" w:type="dxa"/>
            <w:tcBorders/>
            <w:vAlign w:val="center"/>
          </w:tcPr>
          <w:p>
            <w:pPr>
              <w:pStyle w:val="TableContents"/>
              <w:bidi w:val="0"/>
              <w:spacing w:before="0" w:after="283"/>
              <w:jc w:val="right"/>
              <w:rPr/>
            </w:pPr>
            <w:r>
              <w:rPr/>
              <w:t>0.6047</w:t>
            </w:r>
          </w:p>
        </w:tc>
        <w:tc>
          <w:tcPr>
            <w:tcW w:w="25" w:type="dxa"/>
            <w:tcBorders/>
            <w:vAlign w:val="center"/>
          </w:tcPr>
          <w:p>
            <w:pPr>
              <w:pStyle w:val="TableContents"/>
              <w:bidi w:val="0"/>
              <w:spacing w:before="0" w:after="283"/>
              <w:jc w:val="left"/>
              <w:rPr/>
            </w:pPr>
            <w:r>
              <w:rPr/>
            </w:r>
          </w:p>
        </w:tc>
        <w:tc>
          <w:tcPr>
            <w:tcW w:w="25" w:type="dxa"/>
            <w:tcBorders/>
            <w:vAlign w:val="center"/>
          </w:tcPr>
          <w:p>
            <w:pPr>
              <w:pStyle w:val="TableContents"/>
              <w:bidi w:val="0"/>
              <w:spacing w:before="0" w:after="283"/>
              <w:jc w:val="left"/>
              <w:rPr/>
            </w:pPr>
            <w:r>
              <w:rPr/>
            </w:r>
          </w:p>
        </w:tc>
        <w:tc>
          <w:tcPr>
            <w:tcW w:w="159" w:type="dxa"/>
            <w:tcBorders/>
            <w:vAlign w:val="center"/>
          </w:tcPr>
          <w:p>
            <w:pPr>
              <w:pStyle w:val="TableContents"/>
              <w:bidi w:val="0"/>
              <w:spacing w:before="0" w:after="283"/>
              <w:jc w:val="left"/>
              <w:rPr/>
            </w:pPr>
            <w:r>
              <w:rPr/>
              <w:t>$</w:t>
            </w:r>
          </w:p>
        </w:tc>
        <w:tc>
          <w:tcPr>
            <w:tcW w:w="777" w:type="dxa"/>
            <w:tcBorders/>
            <w:vAlign w:val="center"/>
          </w:tcPr>
          <w:p>
            <w:pPr>
              <w:pStyle w:val="TableContents"/>
              <w:bidi w:val="0"/>
              <w:spacing w:before="0" w:after="283"/>
              <w:jc w:val="right"/>
              <w:rPr/>
            </w:pPr>
            <w:r>
              <w:rPr/>
              <w:t>0.6239</w:t>
            </w:r>
          </w:p>
        </w:tc>
        <w:tc>
          <w:tcPr>
            <w:tcW w:w="25"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763" w:type="dxa"/>
            <w:tcBorders/>
            <w:vAlign w:val="center"/>
          </w:tcPr>
          <w:p>
            <w:pPr>
              <w:pStyle w:val="TableContents"/>
              <w:bidi w:val="0"/>
              <w:spacing w:before="0" w:after="283"/>
              <w:jc w:val="right"/>
              <w:rPr/>
            </w:pPr>
            <w:r>
              <w:rPr/>
              <w:t>(3)</w:t>
            </w:r>
          </w:p>
        </w:tc>
        <w:tc>
          <w:tcPr>
            <w:tcW w:w="634" w:type="dxa"/>
            <w:tcBorders/>
            <w:vAlign w:val="center"/>
          </w:tcPr>
          <w:p>
            <w:pPr>
              <w:pStyle w:val="TableContents"/>
              <w:bidi w:val="0"/>
              <w:spacing w:before="0" w:after="283"/>
              <w:jc w:val="left"/>
              <w:rPr/>
            </w:pPr>
            <w:r>
              <w:rPr/>
              <w:t>%</w:t>
            </w:r>
          </w:p>
        </w:tc>
        <w:tc>
          <w:tcPr>
            <w:tcW w:w="50" w:type="dxa"/>
            <w:tcBorders/>
            <w:vAlign w:val="center"/>
          </w:tcPr>
          <w:p>
            <w:pPr>
              <w:pStyle w:val="TableContents"/>
              <w:bidi w:val="0"/>
              <w:spacing w:before="0" w:after="283"/>
              <w:jc w:val="left"/>
              <w:rPr/>
            </w:pPr>
            <w:r>
              <w:rPr/>
            </w:r>
          </w:p>
        </w:tc>
      </w:tr>
      <w:tr>
        <w:trPr/>
        <w:tc>
          <w:tcPr>
            <w:tcW w:w="2601"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Polish zloty</w:t>
            </w:r>
          </w:p>
        </w:tc>
        <w:tc>
          <w:tcPr>
            <w:tcW w:w="60" w:type="dxa"/>
            <w:tcBorders/>
            <w:shd w:fill="CCEEFF" w:val="clear"/>
            <w:vAlign w:val="center"/>
          </w:tcPr>
          <w:p>
            <w:pPr>
              <w:pStyle w:val="TableContents"/>
              <w:bidi w:val="0"/>
              <w:spacing w:before="0" w:after="0"/>
              <w:jc w:val="left"/>
              <w:rPr/>
            </w:pPr>
            <w:r>
              <w:rPr/>
              <w:t> </w:t>
            </w:r>
          </w:p>
        </w:tc>
        <w:tc>
          <w:tcPr>
            <w:tcW w:w="175" w:type="dxa"/>
            <w:tcBorders/>
            <w:shd w:fill="CCEEFF" w:val="clear"/>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w:t>
            </w:r>
          </w:p>
        </w:tc>
        <w:tc>
          <w:tcPr>
            <w:tcW w:w="830"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0.2497</w:t>
            </w:r>
          </w:p>
        </w:tc>
        <w:tc>
          <w:tcPr>
            <w:tcW w:w="31" w:type="dxa"/>
            <w:tcBorders/>
            <w:shd w:fill="CCEEFF" w:val="clear"/>
            <w:vAlign w:val="center"/>
          </w:tcPr>
          <w:p>
            <w:pPr>
              <w:pStyle w:val="TableContents"/>
              <w:bidi w:val="0"/>
              <w:spacing w:before="0" w:after="0"/>
              <w:jc w:val="left"/>
              <w:rPr>
                <w:sz w:val="20"/>
              </w:rPr>
            </w:pPr>
            <w:r>
              <w:rPr>
                <w:sz w:val="20"/>
              </w:rPr>
            </w:r>
          </w:p>
        </w:tc>
        <w:tc>
          <w:tcPr>
            <w:tcW w:w="31" w:type="dxa"/>
            <w:tcBorders/>
            <w:shd w:fill="CCEEFF" w:val="clear"/>
            <w:vAlign w:val="center"/>
          </w:tcPr>
          <w:p>
            <w:pPr>
              <w:pStyle w:val="TableContents"/>
              <w:bidi w:val="0"/>
              <w:spacing w:before="0" w:after="283"/>
              <w:jc w:val="left"/>
              <w:rPr/>
            </w:pPr>
            <w:r>
              <w:rPr/>
            </w:r>
          </w:p>
        </w:tc>
        <w:tc>
          <w:tcPr>
            <w:tcW w:w="175" w:type="dxa"/>
            <w:tcBorders/>
            <w:shd w:fill="CCEEFF" w:val="clear"/>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w:t>
            </w:r>
          </w:p>
        </w:tc>
        <w:tc>
          <w:tcPr>
            <w:tcW w:w="830"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0.2398</w:t>
            </w:r>
          </w:p>
        </w:tc>
        <w:tc>
          <w:tcPr>
            <w:tcW w:w="31" w:type="dxa"/>
            <w:tcBorders/>
            <w:shd w:fill="CCEEFF" w:val="clear"/>
            <w:vAlign w:val="center"/>
          </w:tcPr>
          <w:p>
            <w:pPr>
              <w:pStyle w:val="TableContents"/>
              <w:bidi w:val="0"/>
              <w:spacing w:before="0" w:after="0"/>
              <w:jc w:val="left"/>
              <w:rPr>
                <w:sz w:val="20"/>
              </w:rPr>
            </w:pPr>
            <w:r>
              <w:rPr>
                <w:sz w:val="20"/>
              </w:rPr>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1770" w:type="dxa"/>
            <w:tcBorders/>
            <w:shd w:fill="CCEEFF" w:val="clear"/>
            <w:vAlign w:val="center"/>
          </w:tcPr>
          <w:p>
            <w:pPr>
              <w:pStyle w:val="TableContents"/>
              <w:bidi w:val="0"/>
              <w:spacing w:before="0" w:after="283"/>
              <w:jc w:val="right"/>
              <w:rPr/>
            </w:pPr>
            <w:r>
              <w:rPr/>
              <w:t>4</w:t>
            </w:r>
          </w:p>
        </w:tc>
        <w:tc>
          <w:tcPr>
            <w:tcW w:w="185"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23"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159" w:type="dxa"/>
            <w:tcBorders/>
            <w:shd w:fill="CCEEFF" w:val="clear"/>
            <w:vAlign w:val="center"/>
          </w:tcPr>
          <w:p>
            <w:pPr>
              <w:pStyle w:val="TableContents"/>
              <w:bidi w:val="0"/>
              <w:spacing w:before="0" w:after="283"/>
              <w:jc w:val="left"/>
              <w:rPr/>
            </w:pPr>
            <w:r>
              <w:rPr/>
              <w:t>$</w:t>
            </w:r>
          </w:p>
        </w:tc>
        <w:tc>
          <w:tcPr>
            <w:tcW w:w="777" w:type="dxa"/>
            <w:tcBorders/>
            <w:shd w:fill="CCEEFF" w:val="clear"/>
            <w:vAlign w:val="center"/>
          </w:tcPr>
          <w:p>
            <w:pPr>
              <w:pStyle w:val="TableContents"/>
              <w:bidi w:val="0"/>
              <w:spacing w:before="0" w:after="283"/>
              <w:jc w:val="right"/>
              <w:rPr/>
            </w:pPr>
            <w:r>
              <w:rPr/>
              <w:t>0.2503</w:t>
            </w:r>
          </w:p>
        </w:tc>
        <w:tc>
          <w:tcPr>
            <w:tcW w:w="25" w:type="dxa"/>
            <w:tcBorders/>
            <w:shd w:fill="CCEEFF" w:val="clear"/>
            <w:vAlign w:val="center"/>
          </w:tcPr>
          <w:p>
            <w:pPr>
              <w:pStyle w:val="TableContents"/>
              <w:bidi w:val="0"/>
              <w:spacing w:before="0" w:after="283"/>
              <w:jc w:val="left"/>
              <w:rPr/>
            </w:pPr>
            <w:r>
              <w:rPr/>
            </w:r>
          </w:p>
        </w:tc>
        <w:tc>
          <w:tcPr>
            <w:tcW w:w="25" w:type="dxa"/>
            <w:tcBorders/>
            <w:shd w:fill="CCEEFF" w:val="clear"/>
            <w:vAlign w:val="center"/>
          </w:tcPr>
          <w:p>
            <w:pPr>
              <w:pStyle w:val="TableContents"/>
              <w:bidi w:val="0"/>
              <w:spacing w:before="0" w:after="283"/>
              <w:jc w:val="left"/>
              <w:rPr/>
            </w:pPr>
            <w:r>
              <w:rPr/>
            </w:r>
          </w:p>
        </w:tc>
        <w:tc>
          <w:tcPr>
            <w:tcW w:w="159" w:type="dxa"/>
            <w:tcBorders/>
            <w:shd w:fill="CCEEFF" w:val="clear"/>
            <w:vAlign w:val="center"/>
          </w:tcPr>
          <w:p>
            <w:pPr>
              <w:pStyle w:val="TableContents"/>
              <w:bidi w:val="0"/>
              <w:spacing w:before="0" w:after="283"/>
              <w:jc w:val="left"/>
              <w:rPr/>
            </w:pPr>
            <w:r>
              <w:rPr/>
              <w:t>$</w:t>
            </w:r>
          </w:p>
        </w:tc>
        <w:tc>
          <w:tcPr>
            <w:tcW w:w="777" w:type="dxa"/>
            <w:tcBorders/>
            <w:shd w:fill="CCEEFF" w:val="clear"/>
            <w:vAlign w:val="center"/>
          </w:tcPr>
          <w:p>
            <w:pPr>
              <w:pStyle w:val="TableContents"/>
              <w:bidi w:val="0"/>
              <w:spacing w:before="0" w:after="283"/>
              <w:jc w:val="right"/>
              <w:rPr/>
            </w:pPr>
            <w:r>
              <w:rPr/>
              <w:t>0.2338</w:t>
            </w:r>
          </w:p>
        </w:tc>
        <w:tc>
          <w:tcPr>
            <w:tcW w:w="25"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763" w:type="dxa"/>
            <w:tcBorders/>
            <w:shd w:fill="CCEEFF" w:val="clear"/>
            <w:vAlign w:val="center"/>
          </w:tcPr>
          <w:p>
            <w:pPr>
              <w:pStyle w:val="TableContents"/>
              <w:bidi w:val="0"/>
              <w:spacing w:before="0" w:after="283"/>
              <w:jc w:val="right"/>
              <w:rPr/>
            </w:pPr>
            <w:r>
              <w:rPr/>
              <w:t>7</w:t>
            </w:r>
          </w:p>
        </w:tc>
        <w:tc>
          <w:tcPr>
            <w:tcW w:w="634" w:type="dxa"/>
            <w:tcBorders/>
            <w:shd w:fill="CCEEFF" w:val="clear"/>
            <w:vAlign w:val="center"/>
          </w:tcPr>
          <w:p>
            <w:pPr>
              <w:pStyle w:val="TableContents"/>
              <w:bidi w:val="0"/>
              <w:spacing w:before="0" w:after="283"/>
              <w:jc w:val="left"/>
              <w:rPr/>
            </w:pPr>
            <w:r>
              <w:rPr/>
              <w:t>%</w:t>
            </w:r>
          </w:p>
        </w:tc>
        <w:tc>
          <w:tcPr>
            <w:tcW w:w="50" w:type="dxa"/>
            <w:tcBorders/>
            <w:shd w:fill="CCEEFF" w:val="clear"/>
            <w:vAlign w:val="center"/>
          </w:tcPr>
          <w:p>
            <w:pPr>
              <w:pStyle w:val="TableContents"/>
              <w:bidi w:val="0"/>
              <w:spacing w:before="0" w:after="283"/>
              <w:jc w:val="left"/>
              <w:rPr/>
            </w:pPr>
            <w:r>
              <w:rPr/>
            </w:r>
          </w:p>
        </w:tc>
      </w:tr>
    </w:tbl>
    <w:p>
      <w:pPr>
        <w:pStyle w:val="TextBody"/>
        <w:widowControl/>
        <w:bidi w:val="0"/>
        <w:spacing w:before="0" w:after="0"/>
        <w:ind w:left="0" w:right="0" w:hanging="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16" w:type="dxa"/>
        <w:jc w:val="left"/>
        <w:tblInd w:w="0" w:type="dxa"/>
        <w:tblLayout w:type="fixed"/>
        <w:tblCellMar>
          <w:top w:w="0" w:type="dxa"/>
          <w:left w:w="0" w:type="dxa"/>
          <w:bottom w:w="0" w:type="dxa"/>
          <w:right w:w="0" w:type="dxa"/>
        </w:tblCellMar>
      </w:tblPr>
      <w:tblGrid>
        <w:gridCol w:w="316"/>
      </w:tblGrid>
      <w:tr>
        <w:trPr/>
        <w:tc>
          <w:tcPr>
            <w:tcW w:w="31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28</w:t>
            </w:r>
          </w:p>
        </w:tc>
      </w:tr>
    </w:tbl>
    <w:p>
      <w:pPr>
        <w:pStyle w:val="TextBody"/>
        <w:widowControl/>
        <w:bidi w:val="0"/>
        <w:spacing w:lineRule="atLeast" w:line="240"/>
        <w:jc w:val="left"/>
        <w:rPr>
          <w:caps w:val="false"/>
          <w:smallCaps w:val="false"/>
          <w:color w:val="000000"/>
          <w:spacing w:val="0"/>
        </w:rPr>
      </w:pPr>
      <w:r>
        <w:rPr>
          <w:caps w:val="false"/>
          <w:smallCaps w:val="false"/>
          <w:color w:val="000000"/>
          <w:spacing w:val="0"/>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widowControl/>
        <w:bidi w:val="0"/>
        <w:spacing w:lineRule="atLeast" w:line="240"/>
        <w:jc w:val="left"/>
        <w:rPr/>
      </w:pPr>
      <w:r>
        <w:rPr/>
      </w:r>
    </w:p>
    <w:p>
      <w:pPr>
        <w:pStyle w:val="TextBody"/>
        <w:widowControl/>
        <w:bidi w:val="0"/>
        <w:spacing w:lineRule="atLeast" w:line="240" w:before="0" w:after="0"/>
        <w:jc w:val="left"/>
        <w:rPr>
          <w:sz w:val="20"/>
        </w:rPr>
      </w:pPr>
      <w:r>
        <w:rPr>
          <w:sz w:val="20"/>
        </w:rPr>
      </w:r>
    </w:p>
    <w:p>
      <w:pPr>
        <w:pStyle w:val="TextBody"/>
        <w:widowControl/>
        <w:bidi w:val="0"/>
        <w:spacing w:lineRule="auto" w:line="288" w:before="0" w:after="0"/>
        <w:jc w:val="left"/>
        <w:rPr>
          <w:sz w:val="20"/>
        </w:rPr>
      </w:pPr>
      <w:r>
        <w:rPr>
          <w:sz w:val="20"/>
        </w:rPr>
      </w:r>
    </w:p>
    <w:p>
      <w:pPr>
        <w:pStyle w:val="TextBody"/>
        <w:widowControl/>
        <w:bidi w:val="0"/>
        <w:spacing w:lineRule="auto" w:line="288" w:before="0" w:after="0"/>
        <w:ind w:left="0" w:right="0" w:hanging="0"/>
        <w:jc w:val="both"/>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COMPARISON OF OPERATING RESULTS FOR THE THREE </w:t>
      </w:r>
      <w:r>
        <w:rPr>
          <w:rFonts w:ascii="times new roman;times" w:hAnsi="times new roman;times"/>
          <w:b/>
          <w:i w:val="false"/>
          <w:caps w:val="false"/>
          <w:smallCaps w:val="false"/>
          <w:color w:val="000000"/>
          <w:spacing w:val="0"/>
          <w:sz w:val="20"/>
        </w:rPr>
        <w:t>AND SIX MONTHS ENDED JUNE 30, </w:t>
      </w:r>
      <w:r>
        <w:rPr>
          <w:rFonts w:ascii="times new roman;times" w:hAnsi="times new roman;times"/>
          <w:b/>
          <w:i w:val="false"/>
          <w:caps w:val="false"/>
          <w:smallCaps w:val="false"/>
          <w:color w:val="000000"/>
          <w:spacing w:val="0"/>
          <w:sz w:val="20"/>
        </w:rPr>
        <w:t>2024</w:t>
      </w:r>
      <w:r>
        <w:rPr>
          <w:rFonts w:ascii="times new roman;times" w:hAnsi="times new roman;times"/>
          <w:b/>
          <w:i w:val="false"/>
          <w:caps w:val="false"/>
          <w:smallCaps w:val="false"/>
          <w:color w:val="000000"/>
          <w:spacing w:val="0"/>
          <w:sz w:val="20"/>
        </w:rPr>
        <w:t> AND </w:t>
      </w:r>
      <w:r>
        <w:rPr>
          <w:rFonts w:ascii="times new roman;times" w:hAnsi="times new roman;times"/>
          <w:b/>
          <w:i w:val="false"/>
          <w:caps w:val="false"/>
          <w:smallCaps w:val="false"/>
          <w:color w:val="000000"/>
          <w:spacing w:val="0"/>
          <w:sz w:val="20"/>
        </w:rPr>
        <w:t>2023</w:t>
      </w:r>
    </w:p>
    <w:p>
      <w:pPr>
        <w:pStyle w:val="TextBody"/>
        <w:widowControl/>
        <w:bidi w:val="0"/>
        <w:spacing w:lineRule="auto" w:line="288" w:before="0" w:after="0"/>
        <w:jc w:val="both"/>
        <w:rPr>
          <w:caps w:val="false"/>
          <w:smallCaps w:val="false"/>
          <w:strike w:val="false"/>
          <w:dstrike w:val="false"/>
          <w:color w:val="000000"/>
          <w:spacing w:val="0"/>
          <w:u w:val="none"/>
          <w:effect w:val="none"/>
        </w:rPr>
      </w:pPr>
      <w:r>
        <w:rPr>
          <w:caps w:val="false"/>
          <w:smallCaps w:val="false"/>
          <w:strike w:val="false"/>
          <w:dstrike w:val="false"/>
          <w:color w:val="000000"/>
          <w:spacing w:val="0"/>
          <w:u w:val="none"/>
          <w:effect w:val="none"/>
        </w:rPr>
        <w:t> </w:t>
      </w:r>
    </w:p>
    <w:p>
      <w:pPr>
        <w:pStyle w:val="TextBody"/>
        <w:widowControl/>
        <w:bidi w:val="0"/>
        <w:ind w:left="0" w:right="0" w:hanging="0"/>
        <w:jc w:val="left"/>
        <w:rPr>
          <w:rFonts w:ascii="Times New Roman" w:hAnsi="Times New Roman"/>
          <w:b w:val="false"/>
          <w:i w:val="false"/>
          <w:caps w:val="false"/>
          <w:smallCaps w:val="false"/>
          <w:color w:val="000000"/>
          <w:spacing w:val="0"/>
          <w:sz w:val="20"/>
        </w:rPr>
      </w:pPr>
      <w:r>
        <w:rPr>
          <w:rFonts w:ascii="times new roman;times" w:hAnsi="times new roman;times"/>
          <w:b/>
          <w:i w:val="false"/>
          <w:caps w:val="false"/>
          <w:smallCaps w:val="false"/>
          <w:color w:val="000000"/>
          <w:spacing w:val="0"/>
          <w:sz w:val="20"/>
        </w:rPr>
        <w:t>EFT PROCESSING SEGMENT</w:t>
        <w:br/>
      </w:r>
      <w:r>
        <w:rPr>
          <w:rFonts w:ascii="Times New Roman" w:hAnsi="Times New Roman"/>
          <w:b w:val="false"/>
          <w:i w:val="false"/>
          <w:caps w:val="false"/>
          <w:smallCaps w:val="false"/>
          <w:color w:val="000000"/>
          <w:spacing w:val="0"/>
          <w:sz w:val="20"/>
        </w:rPr>
        <w:br/>
      </w:r>
      <w:r>
        <w:rPr>
          <w:rFonts w:ascii="times new roman;times" w:hAnsi="times new roman;times"/>
          <w:b w:val="false"/>
          <w:i w:val="false"/>
          <w:caps w:val="false"/>
          <w:smallCaps w:val="false"/>
          <w:color w:val="000000"/>
          <w:spacing w:val="0"/>
          <w:sz w:val="20"/>
        </w:rPr>
        <w:t>The following table summarizes the results of operations for our EFT Processing Segment for the </w:t>
      </w:r>
      <w:r>
        <w:rPr>
          <w:rFonts w:ascii="times new roman;times" w:hAnsi="times new roman;times"/>
          <w:b w:val="false"/>
          <w:i w:val="false"/>
          <w:caps w:val="false"/>
          <w:smallCaps w:val="false"/>
          <w:color w:val="000000"/>
          <w:spacing w:val="0"/>
          <w:sz w:val="20"/>
        </w:rPr>
        <w:t>three and six</w:t>
      </w:r>
      <w:r>
        <w:rPr>
          <w:rFonts w:ascii="times new roman;times" w:hAnsi="times new roman;times"/>
          <w:b w:val="false"/>
          <w:i w:val="false"/>
          <w:caps w:val="false"/>
          <w:smallCaps w:val="false"/>
          <w:color w:val="000000"/>
          <w:spacing w:val="0"/>
          <w:sz w:val="20"/>
        </w:rPr>
        <w:t> months ended </w:t>
      </w:r>
      <w:r>
        <w:rPr>
          <w:rFonts w:ascii="times new roman;times" w:hAnsi="times new roman;times"/>
          <w:b w:val="false"/>
          <w:i w:val="false"/>
          <w:caps w:val="false"/>
          <w:smallCaps w:val="false"/>
          <w:strike w:val="false"/>
          <w:dstrike w:val="false"/>
          <w:color w:val="000000"/>
          <w:spacing w:val="0"/>
          <w:sz w:val="20"/>
          <w:u w:val="none"/>
          <w:effect w:val="none"/>
        </w:rPr>
        <w:t>June 30, 2024</w:t>
      </w:r>
      <w:r>
        <w:rPr>
          <w:rFonts w:ascii="times new roman;times" w:hAnsi="times new roman;times"/>
          <w:b w:val="false"/>
          <w:i w:val="false"/>
          <w:caps w:val="false"/>
          <w:smallCaps w:val="false"/>
          <w:color w:val="000000"/>
          <w:spacing w:val="0"/>
          <w:sz w:val="20"/>
        </w:rPr>
        <w:t> and </w:t>
      </w:r>
      <w:r>
        <w:rPr>
          <w:rFonts w:ascii="times new roman;times" w:hAnsi="times new roman;times"/>
          <w:b w:val="false"/>
          <w:i w:val="false"/>
          <w:caps w:val="false"/>
          <w:smallCaps w:val="false"/>
          <w:strike w:val="false"/>
          <w:dstrike w:val="false"/>
          <w:color w:val="000000"/>
          <w:spacing w:val="0"/>
          <w:sz w:val="20"/>
          <w:u w:val="none"/>
          <w:effect w:val="none"/>
        </w:rPr>
        <w:t>2023</w:t>
      </w:r>
      <w:r>
        <w:rPr>
          <w:rFonts w:ascii="times new roman;times" w:hAnsi="times new roman;times"/>
          <w:b w:val="false"/>
          <w:i w:val="false"/>
          <w:caps w:val="false"/>
          <w:smallCaps w:val="false"/>
          <w:color w:val="000000"/>
          <w:spacing w:val="0"/>
          <w:sz w:val="20"/>
        </w:rPr>
        <w:t>: </w:t>
      </w:r>
    </w:p>
    <w:p>
      <w:pPr>
        <w:pStyle w:val="TextBody"/>
        <w:bidi w:val="0"/>
        <w:spacing w:lineRule="auto" w:line="288" w:before="0" w:after="0"/>
        <w:ind w:left="0" w:right="0" w:hanging="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10205" w:type="dxa"/>
        <w:jc w:val="left"/>
        <w:tblInd w:w="0" w:type="dxa"/>
        <w:tblLayout w:type="fixed"/>
        <w:tblCellMar>
          <w:top w:w="0" w:type="dxa"/>
          <w:left w:w="0" w:type="dxa"/>
          <w:bottom w:w="0" w:type="dxa"/>
          <w:right w:w="0" w:type="dxa"/>
        </w:tblCellMar>
      </w:tblPr>
      <w:tblGrid>
        <w:gridCol w:w="1609"/>
        <w:gridCol w:w="60"/>
        <w:gridCol w:w="147"/>
        <w:gridCol w:w="570"/>
        <w:gridCol w:w="26"/>
        <w:gridCol w:w="70"/>
        <w:gridCol w:w="147"/>
        <w:gridCol w:w="570"/>
        <w:gridCol w:w="26"/>
        <w:gridCol w:w="60"/>
        <w:gridCol w:w="253"/>
        <w:gridCol w:w="723"/>
        <w:gridCol w:w="158"/>
        <w:gridCol w:w="67"/>
        <w:gridCol w:w="1037"/>
        <w:gridCol w:w="557"/>
        <w:gridCol w:w="23"/>
        <w:gridCol w:w="23"/>
        <w:gridCol w:w="144"/>
        <w:gridCol w:w="705"/>
        <w:gridCol w:w="23"/>
        <w:gridCol w:w="23"/>
        <w:gridCol w:w="144"/>
        <w:gridCol w:w="705"/>
        <w:gridCol w:w="23"/>
        <w:gridCol w:w="23"/>
        <w:gridCol w:w="201"/>
        <w:gridCol w:w="805"/>
        <w:gridCol w:w="136"/>
        <w:gridCol w:w="23"/>
        <w:gridCol w:w="652"/>
        <w:gridCol w:w="419"/>
        <w:gridCol w:w="53"/>
      </w:tblGrid>
      <w:tr>
        <w:trPr/>
        <w:tc>
          <w:tcPr>
            <w:tcW w:w="1609"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556" w:type="dxa"/>
            <w:gridSpan w:val="7"/>
            <w:tcBorders/>
            <w:vAlign w:val="center"/>
          </w:tcPr>
          <w:p>
            <w:pPr>
              <w:pStyle w:val="TableContents"/>
              <w:bidi w:val="0"/>
              <w:spacing w:before="0" w:after="0"/>
              <w:jc w:val="center"/>
              <w:rPr>
                <w:rFonts w:ascii="times new roman;times" w:hAnsi="times new roman;times"/>
                <w:sz w:val="16"/>
              </w:rPr>
            </w:pPr>
            <w:r>
              <w:rPr>
                <w:rFonts w:ascii="times new roman;times" w:hAnsi="times new roman;times"/>
                <w:b/>
                <w:sz w:val="16"/>
              </w:rPr>
              <w:t>Three Months Ended</w:t>
            </w:r>
            <w:r>
              <w:rPr>
                <w:rFonts w:ascii="times new roman;times" w:hAnsi="times new roman;times"/>
                <w:sz w:val="16"/>
              </w:rPr>
              <w:t xml:space="preserve"> </w:t>
            </w:r>
            <w:r>
              <w:rPr>
                <w:rFonts w:ascii="times new roman;times" w:hAnsi="times new roman;times"/>
                <w:b/>
                <w:sz w:val="16"/>
              </w:rPr>
              <w:t>June 30,</w:t>
            </w:r>
          </w:p>
        </w:tc>
        <w:tc>
          <w:tcPr>
            <w:tcW w:w="60" w:type="dxa"/>
            <w:tcBorders/>
            <w:vAlign w:val="center"/>
          </w:tcPr>
          <w:p>
            <w:pPr>
              <w:pStyle w:val="TableContents"/>
              <w:bidi w:val="0"/>
              <w:spacing w:before="0" w:after="0"/>
              <w:jc w:val="left"/>
              <w:rPr/>
            </w:pPr>
            <w:r>
              <w:rPr/>
              <w:t> </w:t>
            </w:r>
          </w:p>
        </w:tc>
        <w:tc>
          <w:tcPr>
            <w:tcW w:w="2795" w:type="dxa"/>
            <w:gridSpan w:val="6"/>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Year-over-Year Change</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pPr>
            <w:r>
              <w:rPr/>
            </w:r>
          </w:p>
        </w:tc>
        <w:tc>
          <w:tcPr>
            <w:tcW w:w="1767" w:type="dxa"/>
            <w:gridSpan w:val="7"/>
            <w:tcBorders/>
            <w:vAlign w:val="center"/>
          </w:tcPr>
          <w:p>
            <w:pPr>
              <w:pStyle w:val="TableContents"/>
              <w:bidi w:val="0"/>
              <w:spacing w:before="0" w:after="283"/>
              <w:jc w:val="center"/>
              <w:rPr>
                <w:b/>
                <w:sz w:val="16"/>
              </w:rPr>
            </w:pPr>
            <w:r>
              <w:rPr>
                <w:b/>
                <w:sz w:val="16"/>
              </w:rPr>
              <w:t>Six Months EndedJune 30,</w:t>
            </w:r>
          </w:p>
        </w:tc>
        <w:tc>
          <w:tcPr>
            <w:tcW w:w="23" w:type="dxa"/>
            <w:tcBorders/>
            <w:vAlign w:val="center"/>
          </w:tcPr>
          <w:p>
            <w:pPr>
              <w:pStyle w:val="TableContents"/>
              <w:bidi w:val="0"/>
              <w:spacing w:before="0" w:after="283"/>
              <w:jc w:val="left"/>
              <w:rPr/>
            </w:pPr>
            <w:r>
              <w:rPr/>
            </w:r>
          </w:p>
        </w:tc>
        <w:tc>
          <w:tcPr>
            <w:tcW w:w="2236" w:type="dxa"/>
            <w:gridSpan w:val="6"/>
            <w:tcBorders/>
            <w:vAlign w:val="center"/>
          </w:tcPr>
          <w:p>
            <w:pPr>
              <w:pStyle w:val="TableContents"/>
              <w:widowControl/>
              <w:bidi w:val="0"/>
              <w:spacing w:before="0" w:after="283"/>
              <w:ind w:left="0" w:right="0" w:hanging="0"/>
              <w:jc w:val="center"/>
              <w:rPr>
                <w:rFonts w:ascii="times new roman;times" w:hAnsi="times new roman;times"/>
                <w:b/>
                <w:color w:val="000000"/>
                <w:spacing w:val="0"/>
                <w:sz w:val="15"/>
              </w:rPr>
            </w:pPr>
            <w:r>
              <w:rPr>
                <w:rFonts w:ascii="times new roman;times" w:hAnsi="times new roman;times"/>
                <w:b/>
                <w:color w:val="000000"/>
                <w:spacing w:val="0"/>
                <w:sz w:val="15"/>
              </w:rPr>
              <w:t>Year-over-Year Change</w:t>
            </w:r>
          </w:p>
        </w:tc>
        <w:tc>
          <w:tcPr>
            <w:tcW w:w="53" w:type="dxa"/>
            <w:tcBorders/>
            <w:vAlign w:val="center"/>
          </w:tcPr>
          <w:p>
            <w:pPr>
              <w:pStyle w:val="TableContents"/>
              <w:bidi w:val="0"/>
              <w:spacing w:before="0" w:after="283"/>
              <w:jc w:val="left"/>
              <w:rPr/>
            </w:pPr>
            <w:r>
              <w:rPr/>
            </w:r>
          </w:p>
        </w:tc>
      </w:tr>
      <w:tr>
        <w:trPr/>
        <w:tc>
          <w:tcPr>
            <w:tcW w:w="1609" w:type="dxa"/>
            <w:tcBorders/>
            <w:vAlign w:val="center"/>
          </w:tcPr>
          <w:p>
            <w:pPr>
              <w:pStyle w:val="TableContents"/>
              <w:widowControl/>
              <w:bidi w:val="0"/>
              <w:spacing w:before="0" w:after="0"/>
              <w:ind w:left="0" w:right="0" w:hanging="0"/>
              <w:jc w:val="left"/>
              <w:rPr>
                <w:rFonts w:ascii="times new roman;times" w:hAnsi="times new roman;times"/>
                <w:sz w:val="16"/>
              </w:rPr>
            </w:pPr>
            <w:r>
              <w:rPr>
                <w:rFonts w:ascii="times new roman;times" w:hAnsi="times new roman;times"/>
                <w:sz w:val="16"/>
              </w:rPr>
              <w:t xml:space="preserve">(dollar amounts in </w:t>
            </w:r>
            <w:r>
              <w:rPr>
                <w:rFonts w:ascii="times new roman;times" w:hAnsi="times new roman;times"/>
                <w:b w:val="false"/>
                <w:color w:val="000000"/>
                <w:spacing w:val="0"/>
                <w:sz w:val="16"/>
              </w:rPr>
              <w:t>millions</w:t>
            </w:r>
            <w:r>
              <w:rPr>
                <w:rFonts w:ascii="times new roman;times" w:hAnsi="times new roman;times"/>
                <w:sz w:val="16"/>
              </w:rPr>
              <w:t>)</w:t>
            </w:r>
          </w:p>
        </w:tc>
        <w:tc>
          <w:tcPr>
            <w:tcW w:w="60" w:type="dxa"/>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2024</w:t>
            </w:r>
          </w:p>
        </w:tc>
        <w:tc>
          <w:tcPr>
            <w:tcW w:w="70" w:type="dxa"/>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2023</w:t>
            </w:r>
          </w:p>
        </w:tc>
        <w:tc>
          <w:tcPr>
            <w:tcW w:w="60" w:type="dxa"/>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Increase (Decrease) Amount</w:t>
            </w:r>
          </w:p>
        </w:tc>
        <w:tc>
          <w:tcPr>
            <w:tcW w:w="67" w:type="dxa"/>
            <w:tcBorders/>
            <w:vAlign w:val="center"/>
          </w:tcPr>
          <w:p>
            <w:pPr>
              <w:pStyle w:val="TableContents"/>
              <w:bidi w:val="0"/>
              <w:spacing w:before="0" w:after="283"/>
              <w:jc w:val="left"/>
              <w:rPr>
                <w:sz w:val="4"/>
                <w:szCs w:val="4"/>
              </w:rPr>
            </w:pPr>
            <w:r>
              <w:rPr>
                <w:sz w:val="4"/>
                <w:szCs w:val="4"/>
              </w:rPr>
            </w:r>
          </w:p>
        </w:tc>
        <w:tc>
          <w:tcPr>
            <w:tcW w:w="1594" w:type="dxa"/>
            <w:gridSpan w:val="2"/>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Increase (Decrease) Percent</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705" w:type="dxa"/>
            <w:tcBorders/>
            <w:vAlign w:val="bottom"/>
          </w:tcPr>
          <w:p>
            <w:pPr>
              <w:pStyle w:val="TableContents"/>
              <w:bidi w:val="0"/>
              <w:spacing w:before="0" w:after="283"/>
              <w:jc w:val="center"/>
              <w:rPr>
                <w:b/>
                <w:sz w:val="16"/>
              </w:rPr>
            </w:pPr>
            <w:r>
              <w:rPr>
                <w:b/>
                <w:sz w:val="16"/>
              </w:rPr>
              <w:t>2024</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center"/>
              <w:rPr>
                <w:b/>
                <w:sz w:val="16"/>
              </w:rPr>
            </w:pPr>
            <w:r>
              <w:rPr>
                <w:b/>
                <w:sz w:val="16"/>
              </w:rPr>
              <w:t>2023</w:t>
            </w:r>
          </w:p>
        </w:tc>
        <w:tc>
          <w:tcPr>
            <w:tcW w:w="23" w:type="dxa"/>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Increase (Decrease) Amount</w:t>
            </w:r>
          </w:p>
        </w:tc>
        <w:tc>
          <w:tcPr>
            <w:tcW w:w="23" w:type="dxa"/>
            <w:tcBorders/>
            <w:vAlign w:val="center"/>
          </w:tcPr>
          <w:p>
            <w:pPr>
              <w:pStyle w:val="TableContents"/>
              <w:bidi w:val="0"/>
              <w:spacing w:before="0" w:after="283"/>
              <w:jc w:val="left"/>
              <w:rPr>
                <w:sz w:val="4"/>
                <w:szCs w:val="4"/>
              </w:rPr>
            </w:pPr>
            <w:r>
              <w:rPr>
                <w:sz w:val="4"/>
                <w:szCs w:val="4"/>
              </w:rPr>
            </w:r>
          </w:p>
        </w:tc>
        <w:tc>
          <w:tcPr>
            <w:tcW w:w="1071" w:type="dxa"/>
            <w:gridSpan w:val="2"/>
            <w:tcBorders/>
            <w:vAlign w:val="center"/>
          </w:tcPr>
          <w:p>
            <w:pPr>
              <w:pStyle w:val="TableContents"/>
              <w:widowControl/>
              <w:bidi w:val="0"/>
              <w:spacing w:before="0" w:after="0"/>
              <w:ind w:left="0" w:right="0" w:hanging="0"/>
              <w:jc w:val="left"/>
              <w:rPr>
                <w:rFonts w:ascii="times new roman" w:hAnsi="times new roman"/>
                <w:b/>
                <w:color w:val="000000"/>
                <w:spacing w:val="0"/>
                <w:sz w:val="16"/>
              </w:rPr>
            </w:pPr>
            <w:r>
              <w:rPr>
                <w:rFonts w:ascii="times new roman" w:hAnsi="times new roman"/>
                <w:b/>
                <w:color w:val="000000"/>
                <w:spacing w:val="0"/>
                <w:sz w:val="16"/>
              </w:rPr>
              <w:t>Increase(Decrease) Percent</w:t>
            </w:r>
          </w:p>
        </w:tc>
        <w:tc>
          <w:tcPr>
            <w:tcW w:w="53" w:type="dxa"/>
            <w:tcBorders/>
            <w:vAlign w:val="center"/>
          </w:tcPr>
          <w:p>
            <w:pPr>
              <w:pStyle w:val="TableContents"/>
              <w:widowControl/>
              <w:bidi w:val="0"/>
              <w:spacing w:before="0" w:after="0"/>
              <w:ind w:left="0" w:right="0" w:hanging="0"/>
              <w:jc w:val="left"/>
              <w:rPr>
                <w:rFonts w:ascii="times new roman" w:hAnsi="times new roman"/>
                <w:b w:val="false"/>
                <w:color w:val="000000"/>
                <w:spacing w:val="0"/>
              </w:rPr>
            </w:pPr>
            <w:r>
              <w:rPr>
                <w:rFonts w:ascii="times new roman" w:hAnsi="times new roman"/>
                <w:b w:val="false"/>
                <w:color w:val="000000"/>
                <w:spacing w:val="0"/>
              </w:rPr>
            </w:r>
          </w:p>
        </w:tc>
      </w:tr>
      <w:tr>
        <w:trPr/>
        <w:tc>
          <w:tcPr>
            <w:tcW w:w="1609"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Total revenues</w:t>
            </w:r>
          </w:p>
        </w:tc>
        <w:tc>
          <w:tcPr>
            <w:tcW w:w="60"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570"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305.4</w:t>
            </w:r>
          </w:p>
        </w:tc>
        <w:tc>
          <w:tcPr>
            <w:tcW w:w="26" w:type="dxa"/>
            <w:tcBorders/>
            <w:shd w:fill="CCEEFF" w:val="clear"/>
            <w:vAlign w:val="center"/>
          </w:tcPr>
          <w:p>
            <w:pPr>
              <w:pStyle w:val="TableContents"/>
              <w:bidi w:val="0"/>
              <w:spacing w:before="0" w:after="283"/>
              <w:jc w:val="left"/>
              <w:rPr>
                <w:sz w:val="4"/>
                <w:szCs w:val="4"/>
              </w:rPr>
            </w:pPr>
            <w:r>
              <w:rPr>
                <w:sz w:val="4"/>
                <w:szCs w:val="4"/>
              </w:rPr>
            </w:r>
          </w:p>
        </w:tc>
        <w:tc>
          <w:tcPr>
            <w:tcW w:w="70"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570"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282.4</w:t>
            </w:r>
          </w:p>
        </w:tc>
        <w:tc>
          <w:tcPr>
            <w:tcW w:w="2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253"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723"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23.0</w:t>
            </w:r>
          </w:p>
        </w:tc>
        <w:tc>
          <w:tcPr>
            <w:tcW w:w="158" w:type="dxa"/>
            <w:tcBorders/>
            <w:shd w:fill="CCEEFF" w:val="clear"/>
            <w:vAlign w:val="center"/>
          </w:tcPr>
          <w:p>
            <w:pPr>
              <w:pStyle w:val="TableContents"/>
              <w:bidi w:val="0"/>
              <w:spacing w:before="0" w:after="283"/>
              <w:jc w:val="left"/>
              <w:rPr>
                <w:sz w:val="4"/>
                <w:szCs w:val="4"/>
              </w:rPr>
            </w:pPr>
            <w:r>
              <w:rPr>
                <w:sz w:val="4"/>
                <w:szCs w:val="4"/>
              </w:rPr>
            </w:r>
          </w:p>
        </w:tc>
        <w:tc>
          <w:tcPr>
            <w:tcW w:w="67" w:type="dxa"/>
            <w:tcBorders/>
            <w:shd w:fill="CCEEFF" w:val="clear"/>
            <w:vAlign w:val="center"/>
          </w:tcPr>
          <w:p>
            <w:pPr>
              <w:pStyle w:val="TableContents"/>
              <w:bidi w:val="0"/>
              <w:spacing w:before="0" w:after="0"/>
              <w:jc w:val="left"/>
              <w:rPr/>
            </w:pPr>
            <w:r>
              <w:rPr/>
              <w:t> </w:t>
            </w:r>
          </w:p>
        </w:tc>
        <w:tc>
          <w:tcPr>
            <w:tcW w:w="1037"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8</w:t>
            </w:r>
          </w:p>
        </w:tc>
        <w:tc>
          <w:tcPr>
            <w:tcW w:w="557"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pPr>
            <w:r>
              <w:rPr/>
            </w:r>
          </w:p>
        </w:tc>
        <w:tc>
          <w:tcPr>
            <w:tcW w:w="144" w:type="dxa"/>
            <w:tcBorders/>
            <w:shd w:fill="CCEEFF" w:val="clear"/>
            <w:vAlign w:val="center"/>
          </w:tcPr>
          <w:p>
            <w:pPr>
              <w:pStyle w:val="TableContents"/>
              <w:bidi w:val="0"/>
              <w:spacing w:before="0" w:after="283"/>
              <w:jc w:val="left"/>
              <w:rPr/>
            </w:pPr>
            <w:r>
              <w:rPr/>
              <w:t>$</w:t>
            </w:r>
          </w:p>
        </w:tc>
        <w:tc>
          <w:tcPr>
            <w:tcW w:w="705" w:type="dxa"/>
            <w:tcBorders/>
            <w:shd w:fill="CCEEFF" w:val="clear"/>
            <w:vAlign w:val="center"/>
          </w:tcPr>
          <w:p>
            <w:pPr>
              <w:pStyle w:val="TableContents"/>
              <w:bidi w:val="0"/>
              <w:spacing w:before="0" w:after="283"/>
              <w:jc w:val="right"/>
              <w:rPr/>
            </w:pPr>
            <w:r>
              <w:rPr/>
              <w:t>522.6</w:t>
            </w:r>
          </w:p>
        </w:tc>
        <w:tc>
          <w:tcPr>
            <w:tcW w:w="23"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144" w:type="dxa"/>
            <w:tcBorders/>
            <w:shd w:fill="CCEEFF" w:val="clear"/>
            <w:vAlign w:val="center"/>
          </w:tcPr>
          <w:p>
            <w:pPr>
              <w:pStyle w:val="TableContents"/>
              <w:bidi w:val="0"/>
              <w:spacing w:before="0" w:after="283"/>
              <w:jc w:val="left"/>
              <w:rPr/>
            </w:pPr>
            <w:r>
              <w:rPr/>
              <w:t>$</w:t>
            </w:r>
          </w:p>
        </w:tc>
        <w:tc>
          <w:tcPr>
            <w:tcW w:w="705" w:type="dxa"/>
            <w:tcBorders/>
            <w:shd w:fill="CCEEFF" w:val="clear"/>
            <w:vAlign w:val="center"/>
          </w:tcPr>
          <w:p>
            <w:pPr>
              <w:pStyle w:val="TableContents"/>
              <w:bidi w:val="0"/>
              <w:spacing w:before="0" w:after="283"/>
              <w:jc w:val="right"/>
              <w:rPr/>
            </w:pPr>
            <w:r>
              <w:rPr/>
              <w:t>474.6</w:t>
            </w:r>
          </w:p>
        </w:tc>
        <w:tc>
          <w:tcPr>
            <w:tcW w:w="23"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201" w:type="dxa"/>
            <w:tcBorders/>
            <w:shd w:fill="CCEEFF" w:val="clear"/>
            <w:vAlign w:val="center"/>
          </w:tcPr>
          <w:p>
            <w:pPr>
              <w:pStyle w:val="TableContents"/>
              <w:bidi w:val="0"/>
              <w:spacing w:before="0" w:after="283"/>
              <w:jc w:val="left"/>
              <w:rPr/>
            </w:pPr>
            <w:r>
              <w:rPr/>
              <w:t>$</w:t>
            </w:r>
          </w:p>
        </w:tc>
        <w:tc>
          <w:tcPr>
            <w:tcW w:w="805" w:type="dxa"/>
            <w:tcBorders/>
            <w:shd w:fill="CCEEFF" w:val="clear"/>
            <w:vAlign w:val="center"/>
          </w:tcPr>
          <w:p>
            <w:pPr>
              <w:pStyle w:val="TableContents"/>
              <w:bidi w:val="0"/>
              <w:spacing w:before="0" w:after="283"/>
              <w:jc w:val="right"/>
              <w:rPr/>
            </w:pPr>
            <w:r>
              <w:rPr/>
              <w:t>48.0</w:t>
            </w:r>
          </w:p>
        </w:tc>
        <w:tc>
          <w:tcPr>
            <w:tcW w:w="136" w:type="dxa"/>
            <w:tcBorders/>
            <w:shd w:fill="CCEEFF" w:val="clear"/>
            <w:vAlign w:val="center"/>
          </w:tcPr>
          <w:p>
            <w:pPr>
              <w:pStyle w:val="TableContents"/>
              <w:bidi w:val="0"/>
              <w:spacing w:before="0" w:after="283"/>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pPr>
            <w:r>
              <w:rPr/>
            </w:r>
          </w:p>
        </w:tc>
        <w:tc>
          <w:tcPr>
            <w:tcW w:w="652" w:type="dxa"/>
            <w:tcBorders/>
            <w:shd w:fill="CCEEFF" w:val="clear"/>
            <w:vAlign w:val="center"/>
          </w:tcPr>
          <w:p>
            <w:pPr>
              <w:pStyle w:val="TableContents"/>
              <w:bidi w:val="0"/>
              <w:spacing w:before="0" w:after="283"/>
              <w:jc w:val="right"/>
              <w:rPr/>
            </w:pPr>
            <w:r>
              <w:rPr/>
              <w:t>10</w:t>
            </w:r>
          </w:p>
        </w:tc>
        <w:tc>
          <w:tcPr>
            <w:tcW w:w="419" w:type="dxa"/>
            <w:tcBorders/>
            <w:shd w:fill="CCEEFF" w:val="clear"/>
            <w:vAlign w:val="center"/>
          </w:tcPr>
          <w:p>
            <w:pPr>
              <w:pStyle w:val="TableContents"/>
              <w:bidi w:val="0"/>
              <w:spacing w:before="0" w:after="283"/>
              <w:jc w:val="left"/>
              <w:rPr/>
            </w:pPr>
            <w:r>
              <w:rPr/>
              <w:t>%</w:t>
            </w:r>
          </w:p>
        </w:tc>
        <w:tc>
          <w:tcPr>
            <w:tcW w:w="53" w:type="dxa"/>
            <w:tcBorders/>
            <w:shd w:fill="CCEEFF" w:val="clear"/>
            <w:vAlign w:val="center"/>
          </w:tcPr>
          <w:p>
            <w:pPr>
              <w:pStyle w:val="TableContents"/>
              <w:bidi w:val="0"/>
              <w:spacing w:before="0" w:after="283"/>
              <w:jc w:val="left"/>
              <w:rPr/>
            </w:pPr>
            <w:r>
              <w:rPr/>
            </w:r>
          </w:p>
        </w:tc>
      </w:tr>
      <w:tr>
        <w:trPr/>
        <w:tc>
          <w:tcPr>
            <w:tcW w:w="1609"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Operating expenses:</w:t>
            </w:r>
          </w:p>
        </w:tc>
        <w:tc>
          <w:tcPr>
            <w:tcW w:w="60" w:type="dxa"/>
            <w:tcBorders/>
            <w:vAlign w:val="center"/>
          </w:tcPr>
          <w:p>
            <w:pPr>
              <w:pStyle w:val="TableContents"/>
              <w:bidi w:val="0"/>
              <w:spacing w:before="0" w:after="0"/>
              <w:jc w:val="left"/>
              <w:rPr/>
            </w:pPr>
            <w:r>
              <w:rPr/>
              <w:t> </w:t>
            </w:r>
          </w:p>
        </w:tc>
        <w:tc>
          <w:tcPr>
            <w:tcW w:w="743" w:type="dxa"/>
            <w:gridSpan w:val="3"/>
            <w:tcBorders/>
            <w:vAlign w:val="center"/>
          </w:tcPr>
          <w:p>
            <w:pPr>
              <w:pStyle w:val="TableContents"/>
              <w:bidi w:val="0"/>
              <w:spacing w:before="0" w:after="0"/>
              <w:jc w:val="left"/>
              <w:rPr/>
            </w:pPr>
            <w:r>
              <w:rPr/>
              <w:t> </w:t>
            </w:r>
          </w:p>
        </w:tc>
        <w:tc>
          <w:tcPr>
            <w:tcW w:w="70" w:type="dxa"/>
            <w:tcBorders/>
            <w:vAlign w:val="center"/>
          </w:tcPr>
          <w:p>
            <w:pPr>
              <w:pStyle w:val="TableContents"/>
              <w:bidi w:val="0"/>
              <w:spacing w:before="0" w:after="0"/>
              <w:jc w:val="left"/>
              <w:rPr/>
            </w:pPr>
            <w:r>
              <w:rPr/>
              <w:t> </w:t>
            </w:r>
          </w:p>
        </w:tc>
        <w:tc>
          <w:tcPr>
            <w:tcW w:w="743" w:type="dxa"/>
            <w:gridSpan w:val="3"/>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134" w:type="dxa"/>
            <w:gridSpan w:val="3"/>
            <w:tcBorders/>
            <w:vAlign w:val="center"/>
          </w:tcPr>
          <w:p>
            <w:pPr>
              <w:pStyle w:val="TableContents"/>
              <w:bidi w:val="0"/>
              <w:spacing w:before="0" w:after="0"/>
              <w:jc w:val="left"/>
              <w:rPr/>
            </w:pPr>
            <w:r>
              <w:rPr/>
              <w:t> </w:t>
            </w:r>
          </w:p>
        </w:tc>
        <w:tc>
          <w:tcPr>
            <w:tcW w:w="67" w:type="dxa"/>
            <w:tcBorders/>
            <w:vAlign w:val="center"/>
          </w:tcPr>
          <w:p>
            <w:pPr>
              <w:pStyle w:val="TableContents"/>
              <w:bidi w:val="0"/>
              <w:spacing w:before="0" w:after="0"/>
              <w:jc w:val="left"/>
              <w:rPr/>
            </w:pPr>
            <w:r>
              <w:rPr/>
              <w:t> </w:t>
            </w:r>
          </w:p>
        </w:tc>
        <w:tc>
          <w:tcPr>
            <w:tcW w:w="1594" w:type="dxa"/>
            <w:gridSpan w:val="2"/>
            <w:tcBorders/>
            <w:vAlign w:val="center"/>
          </w:tcPr>
          <w:p>
            <w:pPr>
              <w:pStyle w:val="TableContents"/>
              <w:bidi w:val="0"/>
              <w:spacing w:before="0" w:after="0"/>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pPr>
            <w:r>
              <w:rPr/>
            </w:r>
          </w:p>
        </w:tc>
        <w:tc>
          <w:tcPr>
            <w:tcW w:w="144" w:type="dxa"/>
            <w:tcBorders/>
            <w:vAlign w:val="center"/>
          </w:tcPr>
          <w:p>
            <w:pPr>
              <w:pStyle w:val="TableContents"/>
              <w:bidi w:val="0"/>
              <w:spacing w:before="0" w:after="283"/>
              <w:jc w:val="left"/>
              <w:rPr/>
            </w:pPr>
            <w:r>
              <w:rPr/>
            </w:r>
          </w:p>
        </w:tc>
        <w:tc>
          <w:tcPr>
            <w:tcW w:w="70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144" w:type="dxa"/>
            <w:tcBorders/>
            <w:vAlign w:val="center"/>
          </w:tcPr>
          <w:p>
            <w:pPr>
              <w:pStyle w:val="TableContents"/>
              <w:bidi w:val="0"/>
              <w:spacing w:before="0" w:after="283"/>
              <w:jc w:val="left"/>
              <w:rPr/>
            </w:pPr>
            <w:r>
              <w:rPr/>
            </w:r>
          </w:p>
        </w:tc>
        <w:tc>
          <w:tcPr>
            <w:tcW w:w="70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01" w:type="dxa"/>
            <w:tcBorders/>
            <w:vAlign w:val="center"/>
          </w:tcPr>
          <w:p>
            <w:pPr>
              <w:pStyle w:val="TableContents"/>
              <w:bidi w:val="0"/>
              <w:spacing w:before="0" w:after="283"/>
              <w:jc w:val="left"/>
              <w:rPr/>
            </w:pPr>
            <w:r>
              <w:rPr/>
            </w:r>
          </w:p>
        </w:tc>
        <w:tc>
          <w:tcPr>
            <w:tcW w:w="80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652"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pPr>
            <w:r>
              <w:rPr/>
            </w:r>
          </w:p>
        </w:tc>
        <w:tc>
          <w:tcPr>
            <w:tcW w:w="53" w:type="dxa"/>
            <w:tcBorders/>
            <w:vAlign w:val="center"/>
          </w:tcPr>
          <w:p>
            <w:pPr>
              <w:pStyle w:val="TableContents"/>
              <w:bidi w:val="0"/>
              <w:spacing w:before="0" w:after="283"/>
              <w:jc w:val="left"/>
              <w:rPr/>
            </w:pPr>
            <w:r>
              <w:rPr/>
            </w:r>
          </w:p>
        </w:tc>
      </w:tr>
      <w:tr>
        <w:trPr/>
        <w:tc>
          <w:tcPr>
            <w:tcW w:w="1609"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Direct operating costs</w:t>
            </w:r>
          </w:p>
        </w:tc>
        <w:tc>
          <w:tcPr>
            <w:tcW w:w="60" w:type="dxa"/>
            <w:tcBorders/>
            <w:shd w:fill="CCEEFF" w:val="clear"/>
            <w:vAlign w:val="center"/>
          </w:tcPr>
          <w:p>
            <w:pPr>
              <w:pStyle w:val="TableContents"/>
              <w:bidi w:val="0"/>
              <w:spacing w:before="0" w:after="0"/>
              <w:jc w:val="left"/>
              <w:rPr/>
            </w:pPr>
            <w:r>
              <w:rPr/>
              <w:t> </w:t>
            </w:r>
          </w:p>
        </w:tc>
        <w:tc>
          <w:tcPr>
            <w:tcW w:w="717"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152.5</w:t>
            </w:r>
          </w:p>
        </w:tc>
        <w:tc>
          <w:tcPr>
            <w:tcW w:w="26" w:type="dxa"/>
            <w:tcBorders/>
            <w:shd w:fill="CCEEFF" w:val="clear"/>
            <w:vAlign w:val="center"/>
          </w:tcPr>
          <w:p>
            <w:pPr>
              <w:pStyle w:val="TableContents"/>
              <w:bidi w:val="0"/>
              <w:spacing w:before="0" w:after="283"/>
              <w:jc w:val="left"/>
              <w:rPr>
                <w:sz w:val="4"/>
                <w:szCs w:val="4"/>
              </w:rPr>
            </w:pPr>
            <w:r>
              <w:rPr>
                <w:sz w:val="4"/>
                <w:szCs w:val="4"/>
              </w:rPr>
            </w:r>
          </w:p>
        </w:tc>
        <w:tc>
          <w:tcPr>
            <w:tcW w:w="70" w:type="dxa"/>
            <w:tcBorders/>
            <w:shd w:fill="CCEEFF" w:val="clear"/>
            <w:vAlign w:val="center"/>
          </w:tcPr>
          <w:p>
            <w:pPr>
              <w:pStyle w:val="TableContents"/>
              <w:bidi w:val="0"/>
              <w:spacing w:before="0" w:after="0"/>
              <w:jc w:val="left"/>
              <w:rPr/>
            </w:pPr>
            <w:r>
              <w:rPr/>
              <w:t> </w:t>
            </w:r>
          </w:p>
        </w:tc>
        <w:tc>
          <w:tcPr>
            <w:tcW w:w="717"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142.1</w:t>
            </w:r>
          </w:p>
        </w:tc>
        <w:tc>
          <w:tcPr>
            <w:tcW w:w="2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976"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10.4</w:t>
            </w:r>
          </w:p>
        </w:tc>
        <w:tc>
          <w:tcPr>
            <w:tcW w:w="158" w:type="dxa"/>
            <w:tcBorders/>
            <w:shd w:fill="CCEEFF" w:val="clear"/>
            <w:vAlign w:val="center"/>
          </w:tcPr>
          <w:p>
            <w:pPr>
              <w:pStyle w:val="TableContents"/>
              <w:bidi w:val="0"/>
              <w:spacing w:before="0" w:after="283"/>
              <w:jc w:val="left"/>
              <w:rPr>
                <w:sz w:val="4"/>
                <w:szCs w:val="4"/>
              </w:rPr>
            </w:pPr>
            <w:r>
              <w:rPr>
                <w:sz w:val="4"/>
                <w:szCs w:val="4"/>
              </w:rPr>
            </w:r>
          </w:p>
        </w:tc>
        <w:tc>
          <w:tcPr>
            <w:tcW w:w="67" w:type="dxa"/>
            <w:tcBorders/>
            <w:shd w:fill="CCEEFF" w:val="clear"/>
            <w:vAlign w:val="center"/>
          </w:tcPr>
          <w:p>
            <w:pPr>
              <w:pStyle w:val="TableContents"/>
              <w:bidi w:val="0"/>
              <w:spacing w:before="0" w:after="0"/>
              <w:jc w:val="left"/>
              <w:rPr/>
            </w:pPr>
            <w:r>
              <w:rPr/>
              <w:t> </w:t>
            </w:r>
          </w:p>
        </w:tc>
        <w:tc>
          <w:tcPr>
            <w:tcW w:w="1037"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7</w:t>
            </w:r>
          </w:p>
        </w:tc>
        <w:tc>
          <w:tcPr>
            <w:tcW w:w="557"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pPr>
            <w:r>
              <w:rPr/>
            </w:r>
          </w:p>
        </w:tc>
        <w:tc>
          <w:tcPr>
            <w:tcW w:w="144" w:type="dxa"/>
            <w:tcBorders/>
            <w:shd w:fill="CCEEFF" w:val="clear"/>
            <w:vAlign w:val="center"/>
          </w:tcPr>
          <w:p>
            <w:pPr>
              <w:pStyle w:val="TableContents"/>
              <w:bidi w:val="0"/>
              <w:spacing w:before="0" w:after="283"/>
              <w:jc w:val="left"/>
              <w:rPr/>
            </w:pPr>
            <w:r>
              <w:rPr/>
            </w:r>
          </w:p>
        </w:tc>
        <w:tc>
          <w:tcPr>
            <w:tcW w:w="705" w:type="dxa"/>
            <w:tcBorders/>
            <w:shd w:fill="CCEEFF" w:val="clear"/>
            <w:vAlign w:val="center"/>
          </w:tcPr>
          <w:p>
            <w:pPr>
              <w:pStyle w:val="TableContents"/>
              <w:bidi w:val="0"/>
              <w:spacing w:before="0" w:after="283"/>
              <w:jc w:val="right"/>
              <w:rPr/>
            </w:pPr>
            <w:r>
              <w:rPr/>
              <w:t>283.6</w:t>
            </w:r>
          </w:p>
        </w:tc>
        <w:tc>
          <w:tcPr>
            <w:tcW w:w="23"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144" w:type="dxa"/>
            <w:tcBorders/>
            <w:shd w:fill="CCEEFF" w:val="clear"/>
            <w:vAlign w:val="center"/>
          </w:tcPr>
          <w:p>
            <w:pPr>
              <w:pStyle w:val="TableContents"/>
              <w:bidi w:val="0"/>
              <w:spacing w:before="0" w:after="283"/>
              <w:jc w:val="left"/>
              <w:rPr/>
            </w:pPr>
            <w:r>
              <w:rPr/>
            </w:r>
          </w:p>
        </w:tc>
        <w:tc>
          <w:tcPr>
            <w:tcW w:w="705" w:type="dxa"/>
            <w:tcBorders/>
            <w:shd w:fill="CCEEFF" w:val="clear"/>
            <w:vAlign w:val="center"/>
          </w:tcPr>
          <w:p>
            <w:pPr>
              <w:pStyle w:val="TableContents"/>
              <w:bidi w:val="0"/>
              <w:spacing w:before="0" w:after="283"/>
              <w:jc w:val="right"/>
              <w:rPr/>
            </w:pPr>
            <w:r>
              <w:rPr/>
              <w:t>261.1</w:t>
            </w:r>
          </w:p>
        </w:tc>
        <w:tc>
          <w:tcPr>
            <w:tcW w:w="23"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201" w:type="dxa"/>
            <w:tcBorders/>
            <w:shd w:fill="CCEEFF" w:val="clear"/>
            <w:vAlign w:val="center"/>
          </w:tcPr>
          <w:p>
            <w:pPr>
              <w:pStyle w:val="TableContents"/>
              <w:bidi w:val="0"/>
              <w:spacing w:before="0" w:after="283"/>
              <w:jc w:val="left"/>
              <w:rPr/>
            </w:pPr>
            <w:r>
              <w:rPr/>
            </w:r>
          </w:p>
        </w:tc>
        <w:tc>
          <w:tcPr>
            <w:tcW w:w="805" w:type="dxa"/>
            <w:tcBorders/>
            <w:shd w:fill="CCEEFF" w:val="clear"/>
            <w:vAlign w:val="center"/>
          </w:tcPr>
          <w:p>
            <w:pPr>
              <w:pStyle w:val="TableContents"/>
              <w:bidi w:val="0"/>
              <w:spacing w:before="0" w:after="283"/>
              <w:jc w:val="right"/>
              <w:rPr/>
            </w:pPr>
            <w:r>
              <w:rPr/>
              <w:t>22.5</w:t>
            </w:r>
          </w:p>
        </w:tc>
        <w:tc>
          <w:tcPr>
            <w:tcW w:w="136" w:type="dxa"/>
            <w:tcBorders/>
            <w:shd w:fill="CCEEFF" w:val="clear"/>
            <w:vAlign w:val="center"/>
          </w:tcPr>
          <w:p>
            <w:pPr>
              <w:pStyle w:val="TableContents"/>
              <w:bidi w:val="0"/>
              <w:spacing w:before="0" w:after="283"/>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pPr>
            <w:r>
              <w:rPr/>
            </w:r>
          </w:p>
        </w:tc>
        <w:tc>
          <w:tcPr>
            <w:tcW w:w="652" w:type="dxa"/>
            <w:tcBorders/>
            <w:shd w:fill="CCEEFF" w:val="clear"/>
            <w:vAlign w:val="center"/>
          </w:tcPr>
          <w:p>
            <w:pPr>
              <w:pStyle w:val="TableContents"/>
              <w:bidi w:val="0"/>
              <w:spacing w:before="0" w:after="283"/>
              <w:jc w:val="right"/>
              <w:rPr/>
            </w:pPr>
            <w:r>
              <w:rPr/>
              <w:t>9</w:t>
            </w:r>
          </w:p>
        </w:tc>
        <w:tc>
          <w:tcPr>
            <w:tcW w:w="419" w:type="dxa"/>
            <w:tcBorders/>
            <w:shd w:fill="CCEEFF" w:val="clear"/>
            <w:vAlign w:val="center"/>
          </w:tcPr>
          <w:p>
            <w:pPr>
              <w:pStyle w:val="TableContents"/>
              <w:bidi w:val="0"/>
              <w:spacing w:before="0" w:after="283"/>
              <w:jc w:val="left"/>
              <w:rPr/>
            </w:pPr>
            <w:r>
              <w:rPr/>
              <w:t>%</w:t>
            </w:r>
          </w:p>
        </w:tc>
        <w:tc>
          <w:tcPr>
            <w:tcW w:w="53" w:type="dxa"/>
            <w:tcBorders/>
            <w:shd w:fill="CCEEFF" w:val="clear"/>
            <w:vAlign w:val="center"/>
          </w:tcPr>
          <w:p>
            <w:pPr>
              <w:pStyle w:val="TableContents"/>
              <w:bidi w:val="0"/>
              <w:spacing w:before="0" w:after="283"/>
              <w:jc w:val="left"/>
              <w:rPr/>
            </w:pPr>
            <w:r>
              <w:rPr/>
            </w:r>
          </w:p>
        </w:tc>
      </w:tr>
      <w:tr>
        <w:trPr/>
        <w:tc>
          <w:tcPr>
            <w:tcW w:w="1609"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Salaries and benefits</w:t>
            </w:r>
          </w:p>
        </w:tc>
        <w:tc>
          <w:tcPr>
            <w:tcW w:w="60" w:type="dxa"/>
            <w:tcBorders/>
            <w:vAlign w:val="center"/>
          </w:tcPr>
          <w:p>
            <w:pPr>
              <w:pStyle w:val="TableContents"/>
              <w:bidi w:val="0"/>
              <w:spacing w:before="0" w:after="0"/>
              <w:jc w:val="left"/>
              <w:rPr/>
            </w:pPr>
            <w:r>
              <w:rPr/>
              <w:t> </w:t>
            </w:r>
          </w:p>
        </w:tc>
        <w:tc>
          <w:tcPr>
            <w:tcW w:w="717"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34.4</w:t>
            </w:r>
          </w:p>
        </w:tc>
        <w:tc>
          <w:tcPr>
            <w:tcW w:w="26" w:type="dxa"/>
            <w:tcBorders/>
            <w:vAlign w:val="center"/>
          </w:tcPr>
          <w:p>
            <w:pPr>
              <w:pStyle w:val="TableContents"/>
              <w:bidi w:val="0"/>
              <w:spacing w:before="0" w:after="283"/>
              <w:jc w:val="left"/>
              <w:rPr/>
            </w:pPr>
            <w:r>
              <w:rPr/>
            </w:r>
          </w:p>
        </w:tc>
        <w:tc>
          <w:tcPr>
            <w:tcW w:w="70" w:type="dxa"/>
            <w:tcBorders/>
            <w:vAlign w:val="center"/>
          </w:tcPr>
          <w:p>
            <w:pPr>
              <w:pStyle w:val="TableContents"/>
              <w:bidi w:val="0"/>
              <w:spacing w:before="0" w:after="0"/>
              <w:jc w:val="left"/>
              <w:rPr/>
            </w:pPr>
            <w:r>
              <w:rPr/>
              <w:t> </w:t>
            </w:r>
          </w:p>
        </w:tc>
        <w:tc>
          <w:tcPr>
            <w:tcW w:w="717"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30.8</w:t>
            </w:r>
          </w:p>
        </w:tc>
        <w:tc>
          <w:tcPr>
            <w:tcW w:w="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976"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3.6</w:t>
            </w:r>
          </w:p>
        </w:tc>
        <w:tc>
          <w:tcPr>
            <w:tcW w:w="158"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0"/>
              <w:jc w:val="left"/>
              <w:rPr/>
            </w:pPr>
            <w:r>
              <w:rPr/>
              <w:t> </w:t>
            </w:r>
          </w:p>
        </w:tc>
        <w:tc>
          <w:tcPr>
            <w:tcW w:w="1037"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12</w:t>
            </w:r>
          </w:p>
        </w:tc>
        <w:tc>
          <w:tcPr>
            <w:tcW w:w="557"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pPr>
            <w:r>
              <w:rPr/>
            </w:r>
          </w:p>
        </w:tc>
        <w:tc>
          <w:tcPr>
            <w:tcW w:w="144" w:type="dxa"/>
            <w:tcBorders/>
            <w:vAlign w:val="center"/>
          </w:tcPr>
          <w:p>
            <w:pPr>
              <w:pStyle w:val="TableContents"/>
              <w:bidi w:val="0"/>
              <w:spacing w:before="0" w:after="283"/>
              <w:jc w:val="left"/>
              <w:rPr/>
            </w:pPr>
            <w:r>
              <w:rPr/>
            </w:r>
          </w:p>
        </w:tc>
        <w:tc>
          <w:tcPr>
            <w:tcW w:w="705" w:type="dxa"/>
            <w:tcBorders/>
            <w:vAlign w:val="center"/>
          </w:tcPr>
          <w:p>
            <w:pPr>
              <w:pStyle w:val="TableContents"/>
              <w:bidi w:val="0"/>
              <w:spacing w:before="0" w:after="283"/>
              <w:jc w:val="right"/>
              <w:rPr/>
            </w:pPr>
            <w:r>
              <w:rPr/>
              <w:t>66.2</w:t>
            </w:r>
          </w:p>
        </w:tc>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144" w:type="dxa"/>
            <w:tcBorders/>
            <w:vAlign w:val="center"/>
          </w:tcPr>
          <w:p>
            <w:pPr>
              <w:pStyle w:val="TableContents"/>
              <w:bidi w:val="0"/>
              <w:spacing w:before="0" w:after="283"/>
              <w:jc w:val="left"/>
              <w:rPr/>
            </w:pPr>
            <w:r>
              <w:rPr/>
            </w:r>
          </w:p>
        </w:tc>
        <w:tc>
          <w:tcPr>
            <w:tcW w:w="705" w:type="dxa"/>
            <w:tcBorders/>
            <w:vAlign w:val="center"/>
          </w:tcPr>
          <w:p>
            <w:pPr>
              <w:pStyle w:val="TableContents"/>
              <w:bidi w:val="0"/>
              <w:spacing w:before="0" w:after="283"/>
              <w:jc w:val="right"/>
              <w:rPr/>
            </w:pPr>
            <w:r>
              <w:rPr/>
              <w:t>58.3</w:t>
            </w:r>
          </w:p>
        </w:tc>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01" w:type="dxa"/>
            <w:tcBorders/>
            <w:vAlign w:val="center"/>
          </w:tcPr>
          <w:p>
            <w:pPr>
              <w:pStyle w:val="TableContents"/>
              <w:bidi w:val="0"/>
              <w:spacing w:before="0" w:after="283"/>
              <w:jc w:val="left"/>
              <w:rPr/>
            </w:pPr>
            <w:r>
              <w:rPr/>
            </w:r>
          </w:p>
        </w:tc>
        <w:tc>
          <w:tcPr>
            <w:tcW w:w="805" w:type="dxa"/>
            <w:tcBorders/>
            <w:vAlign w:val="center"/>
          </w:tcPr>
          <w:p>
            <w:pPr>
              <w:pStyle w:val="TableContents"/>
              <w:bidi w:val="0"/>
              <w:spacing w:before="0" w:after="283"/>
              <w:jc w:val="right"/>
              <w:rPr/>
            </w:pPr>
            <w:r>
              <w:rPr/>
              <w:t>7.9</w:t>
            </w:r>
          </w:p>
        </w:tc>
        <w:tc>
          <w:tcPr>
            <w:tcW w:w="13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pPr>
            <w:r>
              <w:rPr/>
            </w:r>
          </w:p>
        </w:tc>
        <w:tc>
          <w:tcPr>
            <w:tcW w:w="652" w:type="dxa"/>
            <w:tcBorders/>
            <w:vAlign w:val="center"/>
          </w:tcPr>
          <w:p>
            <w:pPr>
              <w:pStyle w:val="TableContents"/>
              <w:bidi w:val="0"/>
              <w:spacing w:before="0" w:after="283"/>
              <w:jc w:val="right"/>
              <w:rPr/>
            </w:pPr>
            <w:r>
              <w:rPr/>
              <w:t>14</w:t>
            </w:r>
          </w:p>
        </w:tc>
        <w:tc>
          <w:tcPr>
            <w:tcW w:w="419" w:type="dxa"/>
            <w:tcBorders/>
            <w:vAlign w:val="center"/>
          </w:tcPr>
          <w:p>
            <w:pPr>
              <w:pStyle w:val="TableContents"/>
              <w:bidi w:val="0"/>
              <w:spacing w:before="0" w:after="283"/>
              <w:jc w:val="left"/>
              <w:rPr/>
            </w:pPr>
            <w:r>
              <w:rPr/>
              <w:t>%</w:t>
            </w:r>
          </w:p>
        </w:tc>
        <w:tc>
          <w:tcPr>
            <w:tcW w:w="53" w:type="dxa"/>
            <w:tcBorders/>
            <w:vAlign w:val="center"/>
          </w:tcPr>
          <w:p>
            <w:pPr>
              <w:pStyle w:val="TableContents"/>
              <w:bidi w:val="0"/>
              <w:spacing w:before="0" w:after="283"/>
              <w:jc w:val="left"/>
              <w:rPr/>
            </w:pPr>
            <w:r>
              <w:rPr/>
            </w:r>
          </w:p>
        </w:tc>
      </w:tr>
      <w:tr>
        <w:trPr/>
        <w:tc>
          <w:tcPr>
            <w:tcW w:w="1609" w:type="dxa"/>
            <w:tcBorders/>
            <w:shd w:fill="CCEEFF" w:val="clear"/>
            <w:vAlign w:val="center"/>
          </w:tcPr>
          <w:p>
            <w:pPr>
              <w:pStyle w:val="TableContents"/>
              <w:bidi w:val="0"/>
              <w:spacing w:before="0" w:after="0"/>
              <w:ind w:left="0" w:right="0" w:hanging="180"/>
              <w:jc w:val="left"/>
              <w:rPr>
                <w:rFonts w:ascii="times new roman;times" w:hAnsi="times new roman;times"/>
                <w:sz w:val="20"/>
              </w:rPr>
            </w:pPr>
            <w:r>
              <w:rPr>
                <w:rFonts w:ascii="times new roman;times" w:hAnsi="times new roman;times"/>
                <w:sz w:val="20"/>
              </w:rPr>
              <w:t>Selling, general and administrative</w:t>
            </w:r>
          </w:p>
        </w:tc>
        <w:tc>
          <w:tcPr>
            <w:tcW w:w="60" w:type="dxa"/>
            <w:tcBorders/>
            <w:shd w:fill="CCEEFF" w:val="clear"/>
            <w:vAlign w:val="center"/>
          </w:tcPr>
          <w:p>
            <w:pPr>
              <w:pStyle w:val="TableContents"/>
              <w:bidi w:val="0"/>
              <w:spacing w:before="0" w:after="0"/>
              <w:jc w:val="left"/>
              <w:rPr/>
            </w:pPr>
            <w:r>
              <w:rPr/>
              <w:t> </w:t>
            </w:r>
          </w:p>
        </w:tc>
        <w:tc>
          <w:tcPr>
            <w:tcW w:w="717"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13.5</w:t>
            </w:r>
          </w:p>
        </w:tc>
        <w:tc>
          <w:tcPr>
            <w:tcW w:w="26" w:type="dxa"/>
            <w:tcBorders/>
            <w:shd w:fill="CCEEFF" w:val="clear"/>
            <w:vAlign w:val="center"/>
          </w:tcPr>
          <w:p>
            <w:pPr>
              <w:pStyle w:val="TableContents"/>
              <w:bidi w:val="0"/>
              <w:spacing w:before="0" w:after="283"/>
              <w:jc w:val="left"/>
              <w:rPr>
                <w:sz w:val="4"/>
                <w:szCs w:val="4"/>
              </w:rPr>
            </w:pPr>
            <w:r>
              <w:rPr>
                <w:sz w:val="4"/>
                <w:szCs w:val="4"/>
              </w:rPr>
            </w:r>
          </w:p>
        </w:tc>
        <w:tc>
          <w:tcPr>
            <w:tcW w:w="70" w:type="dxa"/>
            <w:tcBorders/>
            <w:shd w:fill="CCEEFF" w:val="clear"/>
            <w:vAlign w:val="center"/>
          </w:tcPr>
          <w:p>
            <w:pPr>
              <w:pStyle w:val="TableContents"/>
              <w:bidi w:val="0"/>
              <w:spacing w:before="0" w:after="0"/>
              <w:jc w:val="left"/>
              <w:rPr/>
            </w:pPr>
            <w:r>
              <w:rPr/>
              <w:t> </w:t>
            </w:r>
          </w:p>
        </w:tc>
        <w:tc>
          <w:tcPr>
            <w:tcW w:w="717"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16.6</w:t>
            </w:r>
          </w:p>
        </w:tc>
        <w:tc>
          <w:tcPr>
            <w:tcW w:w="2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976"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(3.1</w:t>
            </w:r>
          </w:p>
        </w:tc>
        <w:tc>
          <w:tcPr>
            <w:tcW w:w="158"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0"/>
              <w:jc w:val="left"/>
              <w:rPr/>
            </w:pPr>
            <w:r>
              <w:rPr/>
              <w:t> </w:t>
            </w:r>
          </w:p>
        </w:tc>
        <w:tc>
          <w:tcPr>
            <w:tcW w:w="1037"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(19)</w:t>
            </w:r>
          </w:p>
        </w:tc>
        <w:tc>
          <w:tcPr>
            <w:tcW w:w="557"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pPr>
            <w:r>
              <w:rPr/>
            </w:r>
          </w:p>
        </w:tc>
        <w:tc>
          <w:tcPr>
            <w:tcW w:w="144" w:type="dxa"/>
            <w:tcBorders/>
            <w:shd w:fill="CCEEFF" w:val="clear"/>
            <w:vAlign w:val="center"/>
          </w:tcPr>
          <w:p>
            <w:pPr>
              <w:pStyle w:val="TableContents"/>
              <w:bidi w:val="0"/>
              <w:spacing w:before="0" w:after="283"/>
              <w:jc w:val="left"/>
              <w:rPr/>
            </w:pPr>
            <w:r>
              <w:rPr/>
            </w:r>
          </w:p>
        </w:tc>
        <w:tc>
          <w:tcPr>
            <w:tcW w:w="705" w:type="dxa"/>
            <w:tcBorders/>
            <w:shd w:fill="CCEEFF" w:val="clear"/>
            <w:vAlign w:val="center"/>
          </w:tcPr>
          <w:p>
            <w:pPr>
              <w:pStyle w:val="TableContents"/>
              <w:bidi w:val="0"/>
              <w:spacing w:before="0" w:after="283"/>
              <w:jc w:val="right"/>
              <w:rPr/>
            </w:pPr>
            <w:r>
              <w:rPr/>
              <w:t>22.7</w:t>
            </w:r>
          </w:p>
        </w:tc>
        <w:tc>
          <w:tcPr>
            <w:tcW w:w="23"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144" w:type="dxa"/>
            <w:tcBorders/>
            <w:shd w:fill="CCEEFF" w:val="clear"/>
            <w:vAlign w:val="center"/>
          </w:tcPr>
          <w:p>
            <w:pPr>
              <w:pStyle w:val="TableContents"/>
              <w:bidi w:val="0"/>
              <w:spacing w:before="0" w:after="283"/>
              <w:jc w:val="left"/>
              <w:rPr/>
            </w:pPr>
            <w:r>
              <w:rPr/>
            </w:r>
          </w:p>
        </w:tc>
        <w:tc>
          <w:tcPr>
            <w:tcW w:w="705" w:type="dxa"/>
            <w:tcBorders/>
            <w:shd w:fill="CCEEFF" w:val="clear"/>
            <w:vAlign w:val="center"/>
          </w:tcPr>
          <w:p>
            <w:pPr>
              <w:pStyle w:val="TableContents"/>
              <w:bidi w:val="0"/>
              <w:spacing w:before="0" w:after="283"/>
              <w:jc w:val="right"/>
              <w:rPr/>
            </w:pPr>
            <w:r>
              <w:rPr/>
              <w:t>32.7</w:t>
            </w:r>
          </w:p>
        </w:tc>
        <w:tc>
          <w:tcPr>
            <w:tcW w:w="23"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201" w:type="dxa"/>
            <w:tcBorders/>
            <w:shd w:fill="CCEEFF" w:val="clear"/>
            <w:vAlign w:val="center"/>
          </w:tcPr>
          <w:p>
            <w:pPr>
              <w:pStyle w:val="TableContents"/>
              <w:bidi w:val="0"/>
              <w:spacing w:before="0" w:after="283"/>
              <w:jc w:val="left"/>
              <w:rPr/>
            </w:pPr>
            <w:r>
              <w:rPr/>
            </w:r>
          </w:p>
        </w:tc>
        <w:tc>
          <w:tcPr>
            <w:tcW w:w="805" w:type="dxa"/>
            <w:tcBorders/>
            <w:shd w:fill="CCEEFF" w:val="clear"/>
            <w:vAlign w:val="center"/>
          </w:tcPr>
          <w:p>
            <w:pPr>
              <w:pStyle w:val="TableContents"/>
              <w:bidi w:val="0"/>
              <w:spacing w:before="0" w:after="283"/>
              <w:jc w:val="right"/>
              <w:rPr/>
            </w:pPr>
            <w:r>
              <w:rPr/>
              <w:t>(10.0</w:t>
            </w:r>
          </w:p>
        </w:tc>
        <w:tc>
          <w:tcPr>
            <w:tcW w:w="136"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r>
          </w:p>
        </w:tc>
        <w:tc>
          <w:tcPr>
            <w:tcW w:w="652" w:type="dxa"/>
            <w:tcBorders/>
            <w:shd w:fill="CCEEFF" w:val="clear"/>
            <w:vAlign w:val="center"/>
          </w:tcPr>
          <w:p>
            <w:pPr>
              <w:pStyle w:val="TableContents"/>
              <w:bidi w:val="0"/>
              <w:spacing w:before="0" w:after="283"/>
              <w:jc w:val="right"/>
              <w:rPr/>
            </w:pPr>
            <w:r>
              <w:rPr/>
              <w:t>(31)</w:t>
            </w:r>
          </w:p>
        </w:tc>
        <w:tc>
          <w:tcPr>
            <w:tcW w:w="419" w:type="dxa"/>
            <w:tcBorders/>
            <w:shd w:fill="CCEEFF" w:val="clear"/>
            <w:vAlign w:val="center"/>
          </w:tcPr>
          <w:p>
            <w:pPr>
              <w:pStyle w:val="TableContents"/>
              <w:bidi w:val="0"/>
              <w:spacing w:before="0" w:after="283"/>
              <w:jc w:val="left"/>
              <w:rPr/>
            </w:pPr>
            <w:r>
              <w:rPr/>
              <w:t>%</w:t>
            </w:r>
          </w:p>
        </w:tc>
        <w:tc>
          <w:tcPr>
            <w:tcW w:w="53" w:type="dxa"/>
            <w:tcBorders/>
            <w:shd w:fill="CCEEFF" w:val="clear"/>
            <w:vAlign w:val="center"/>
          </w:tcPr>
          <w:p>
            <w:pPr>
              <w:pStyle w:val="TableContents"/>
              <w:bidi w:val="0"/>
              <w:spacing w:before="0" w:after="283"/>
              <w:jc w:val="left"/>
              <w:rPr/>
            </w:pPr>
            <w:r>
              <w:rPr/>
            </w:r>
          </w:p>
        </w:tc>
      </w:tr>
      <w:tr>
        <w:trPr/>
        <w:tc>
          <w:tcPr>
            <w:tcW w:w="1609" w:type="dxa"/>
            <w:tcBorders/>
            <w:vAlign w:val="center"/>
          </w:tcPr>
          <w:p>
            <w:pPr>
              <w:pStyle w:val="TableContents"/>
              <w:bidi w:val="0"/>
              <w:spacing w:before="0" w:after="0"/>
              <w:ind w:left="0" w:right="0" w:hanging="180"/>
              <w:jc w:val="left"/>
              <w:rPr>
                <w:rFonts w:ascii="times new roman;times" w:hAnsi="times new roman;times"/>
                <w:sz w:val="20"/>
              </w:rPr>
            </w:pPr>
            <w:r>
              <w:rPr>
                <w:rFonts w:ascii="times new roman;times" w:hAnsi="times new roman;times"/>
                <w:sz w:val="20"/>
              </w:rPr>
              <w:t>Depreciation and amortization</w:t>
            </w:r>
          </w:p>
        </w:tc>
        <w:tc>
          <w:tcPr>
            <w:tcW w:w="60" w:type="dxa"/>
            <w:tcBorders/>
            <w:vAlign w:val="center"/>
          </w:tcPr>
          <w:p>
            <w:pPr>
              <w:pStyle w:val="TableContents"/>
              <w:bidi w:val="0"/>
              <w:spacing w:before="0" w:after="0"/>
              <w:jc w:val="left"/>
              <w:rPr/>
            </w:pPr>
            <w:r>
              <w:rPr/>
              <w:t> </w:t>
            </w:r>
          </w:p>
        </w:tc>
        <w:tc>
          <w:tcPr>
            <w:tcW w:w="717"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25.1</w:t>
            </w:r>
          </w:p>
        </w:tc>
        <w:tc>
          <w:tcPr>
            <w:tcW w:w="26"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0"/>
              <w:jc w:val="left"/>
              <w:rPr/>
            </w:pPr>
            <w:r>
              <w:rPr/>
              <w:t> </w:t>
            </w:r>
          </w:p>
        </w:tc>
        <w:tc>
          <w:tcPr>
            <w:tcW w:w="717"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23.8</w:t>
            </w:r>
          </w:p>
        </w:tc>
        <w:tc>
          <w:tcPr>
            <w:tcW w:w="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976"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1.3</w:t>
            </w:r>
          </w:p>
        </w:tc>
        <w:tc>
          <w:tcPr>
            <w:tcW w:w="158"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0"/>
              <w:jc w:val="left"/>
              <w:rPr/>
            </w:pPr>
            <w:r>
              <w:rPr/>
              <w:t> </w:t>
            </w:r>
          </w:p>
        </w:tc>
        <w:tc>
          <w:tcPr>
            <w:tcW w:w="1037" w:type="dxa"/>
            <w:tcBorders/>
            <w:vAlign w:val="center"/>
          </w:tcPr>
          <w:p>
            <w:pPr>
              <w:pStyle w:val="TableContents"/>
              <w:bidi w:val="0"/>
              <w:spacing w:before="0" w:after="0"/>
              <w:jc w:val="right"/>
              <w:rPr>
                <w:strike w:val="false"/>
                <w:dstrike w:val="false"/>
                <w:color w:val="000000"/>
                <w:sz w:val="20"/>
                <w:u w:val="none"/>
                <w:effect w:val="none"/>
              </w:rPr>
            </w:pPr>
            <w:r>
              <w:rPr>
                <w:strike w:val="false"/>
                <w:dstrike w:val="false"/>
                <w:color w:val="000000"/>
                <w:sz w:val="20"/>
                <w:u w:val="none"/>
                <w:effect w:val="none"/>
              </w:rPr>
              <w:t>5</w:t>
            </w:r>
          </w:p>
        </w:tc>
        <w:tc>
          <w:tcPr>
            <w:tcW w:w="557"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pPr>
            <w:r>
              <w:rPr/>
            </w:r>
          </w:p>
        </w:tc>
        <w:tc>
          <w:tcPr>
            <w:tcW w:w="144" w:type="dxa"/>
            <w:tcBorders/>
            <w:vAlign w:val="center"/>
          </w:tcPr>
          <w:p>
            <w:pPr>
              <w:pStyle w:val="TableContents"/>
              <w:bidi w:val="0"/>
              <w:spacing w:before="0" w:after="283"/>
              <w:jc w:val="left"/>
              <w:rPr/>
            </w:pPr>
            <w:r>
              <w:rPr/>
            </w:r>
          </w:p>
        </w:tc>
        <w:tc>
          <w:tcPr>
            <w:tcW w:w="705" w:type="dxa"/>
            <w:tcBorders/>
            <w:vAlign w:val="center"/>
          </w:tcPr>
          <w:p>
            <w:pPr>
              <w:pStyle w:val="TableContents"/>
              <w:bidi w:val="0"/>
              <w:spacing w:before="0" w:after="283"/>
              <w:jc w:val="right"/>
              <w:rPr/>
            </w:pPr>
            <w:r>
              <w:rPr/>
              <w:t>48.7</w:t>
            </w:r>
          </w:p>
        </w:tc>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144" w:type="dxa"/>
            <w:tcBorders/>
            <w:vAlign w:val="center"/>
          </w:tcPr>
          <w:p>
            <w:pPr>
              <w:pStyle w:val="TableContents"/>
              <w:bidi w:val="0"/>
              <w:spacing w:before="0" w:after="283"/>
              <w:jc w:val="left"/>
              <w:rPr/>
            </w:pPr>
            <w:r>
              <w:rPr/>
            </w:r>
          </w:p>
        </w:tc>
        <w:tc>
          <w:tcPr>
            <w:tcW w:w="705" w:type="dxa"/>
            <w:tcBorders/>
            <w:vAlign w:val="center"/>
          </w:tcPr>
          <w:p>
            <w:pPr>
              <w:pStyle w:val="TableContents"/>
              <w:bidi w:val="0"/>
              <w:spacing w:before="0" w:after="283"/>
              <w:jc w:val="right"/>
              <w:rPr/>
            </w:pPr>
            <w:r>
              <w:rPr/>
              <w:t>46.5</w:t>
            </w:r>
          </w:p>
        </w:tc>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01" w:type="dxa"/>
            <w:tcBorders/>
            <w:vAlign w:val="center"/>
          </w:tcPr>
          <w:p>
            <w:pPr>
              <w:pStyle w:val="TableContents"/>
              <w:bidi w:val="0"/>
              <w:spacing w:before="0" w:after="283"/>
              <w:jc w:val="left"/>
              <w:rPr/>
            </w:pPr>
            <w:r>
              <w:rPr/>
            </w:r>
          </w:p>
        </w:tc>
        <w:tc>
          <w:tcPr>
            <w:tcW w:w="805" w:type="dxa"/>
            <w:tcBorders/>
            <w:vAlign w:val="center"/>
          </w:tcPr>
          <w:p>
            <w:pPr>
              <w:pStyle w:val="TableContents"/>
              <w:bidi w:val="0"/>
              <w:spacing w:before="0" w:after="283"/>
              <w:jc w:val="right"/>
              <w:rPr/>
            </w:pPr>
            <w:r>
              <w:rPr/>
              <w:t>2.2</w:t>
            </w:r>
          </w:p>
        </w:tc>
        <w:tc>
          <w:tcPr>
            <w:tcW w:w="13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pPr>
            <w:r>
              <w:rPr/>
            </w:r>
          </w:p>
        </w:tc>
        <w:tc>
          <w:tcPr>
            <w:tcW w:w="652" w:type="dxa"/>
            <w:tcBorders/>
            <w:vAlign w:val="center"/>
          </w:tcPr>
          <w:p>
            <w:pPr>
              <w:pStyle w:val="TableContents"/>
              <w:bidi w:val="0"/>
              <w:spacing w:before="0" w:after="283"/>
              <w:jc w:val="right"/>
              <w:rPr/>
            </w:pPr>
            <w:r>
              <w:rPr/>
              <w:t>5</w:t>
            </w:r>
          </w:p>
        </w:tc>
        <w:tc>
          <w:tcPr>
            <w:tcW w:w="419" w:type="dxa"/>
            <w:tcBorders/>
            <w:vAlign w:val="center"/>
          </w:tcPr>
          <w:p>
            <w:pPr>
              <w:pStyle w:val="TableContents"/>
              <w:bidi w:val="0"/>
              <w:spacing w:before="0" w:after="283"/>
              <w:jc w:val="left"/>
              <w:rPr/>
            </w:pPr>
            <w:r>
              <w:rPr/>
              <w:t>%</w:t>
            </w:r>
          </w:p>
        </w:tc>
        <w:tc>
          <w:tcPr>
            <w:tcW w:w="53" w:type="dxa"/>
            <w:tcBorders/>
            <w:vAlign w:val="center"/>
          </w:tcPr>
          <w:p>
            <w:pPr>
              <w:pStyle w:val="TableContents"/>
              <w:bidi w:val="0"/>
              <w:spacing w:before="0" w:after="283"/>
              <w:jc w:val="left"/>
              <w:rPr/>
            </w:pPr>
            <w:r>
              <w:rPr/>
            </w:r>
          </w:p>
        </w:tc>
      </w:tr>
      <w:tr>
        <w:trPr/>
        <w:tc>
          <w:tcPr>
            <w:tcW w:w="1609"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Total operating expenses</w:t>
            </w:r>
          </w:p>
        </w:tc>
        <w:tc>
          <w:tcPr>
            <w:tcW w:w="60" w:type="dxa"/>
            <w:tcBorders/>
            <w:shd w:fill="CCEEFF" w:val="clear"/>
            <w:vAlign w:val="center"/>
          </w:tcPr>
          <w:p>
            <w:pPr>
              <w:pStyle w:val="TableContents"/>
              <w:bidi w:val="0"/>
              <w:spacing w:before="0" w:after="0"/>
              <w:jc w:val="left"/>
              <w:rPr/>
            </w:pPr>
            <w:r>
              <w:rPr/>
              <w:t> </w:t>
            </w:r>
          </w:p>
        </w:tc>
        <w:tc>
          <w:tcPr>
            <w:tcW w:w="717"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225.5</w:t>
            </w:r>
          </w:p>
        </w:tc>
        <w:tc>
          <w:tcPr>
            <w:tcW w:w="26" w:type="dxa"/>
            <w:tcBorders/>
            <w:shd w:fill="CCEEFF" w:val="clear"/>
            <w:vAlign w:val="center"/>
          </w:tcPr>
          <w:p>
            <w:pPr>
              <w:pStyle w:val="TableContents"/>
              <w:bidi w:val="0"/>
              <w:spacing w:before="0" w:after="283"/>
              <w:jc w:val="left"/>
              <w:rPr>
                <w:sz w:val="4"/>
                <w:szCs w:val="4"/>
              </w:rPr>
            </w:pPr>
            <w:r>
              <w:rPr>
                <w:sz w:val="4"/>
                <w:szCs w:val="4"/>
              </w:rPr>
            </w:r>
          </w:p>
        </w:tc>
        <w:tc>
          <w:tcPr>
            <w:tcW w:w="70" w:type="dxa"/>
            <w:tcBorders/>
            <w:shd w:fill="CCEEFF" w:val="clear"/>
            <w:vAlign w:val="center"/>
          </w:tcPr>
          <w:p>
            <w:pPr>
              <w:pStyle w:val="TableContents"/>
              <w:bidi w:val="0"/>
              <w:spacing w:before="0" w:after="0"/>
              <w:jc w:val="left"/>
              <w:rPr/>
            </w:pPr>
            <w:r>
              <w:rPr/>
              <w:t> </w:t>
            </w:r>
          </w:p>
        </w:tc>
        <w:tc>
          <w:tcPr>
            <w:tcW w:w="717"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213.3</w:t>
            </w:r>
          </w:p>
        </w:tc>
        <w:tc>
          <w:tcPr>
            <w:tcW w:w="2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976"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12.2</w:t>
            </w:r>
          </w:p>
        </w:tc>
        <w:tc>
          <w:tcPr>
            <w:tcW w:w="158" w:type="dxa"/>
            <w:tcBorders/>
            <w:shd w:fill="CCEEFF" w:val="clear"/>
            <w:vAlign w:val="center"/>
          </w:tcPr>
          <w:p>
            <w:pPr>
              <w:pStyle w:val="TableContents"/>
              <w:bidi w:val="0"/>
              <w:spacing w:before="0" w:after="283"/>
              <w:jc w:val="left"/>
              <w:rPr>
                <w:sz w:val="4"/>
                <w:szCs w:val="4"/>
              </w:rPr>
            </w:pPr>
            <w:r>
              <w:rPr>
                <w:sz w:val="4"/>
                <w:szCs w:val="4"/>
              </w:rPr>
            </w:r>
          </w:p>
        </w:tc>
        <w:tc>
          <w:tcPr>
            <w:tcW w:w="67" w:type="dxa"/>
            <w:tcBorders/>
            <w:shd w:fill="CCEEFF" w:val="clear"/>
            <w:vAlign w:val="center"/>
          </w:tcPr>
          <w:p>
            <w:pPr>
              <w:pStyle w:val="TableContents"/>
              <w:bidi w:val="0"/>
              <w:spacing w:before="0" w:after="0"/>
              <w:jc w:val="left"/>
              <w:rPr/>
            </w:pPr>
            <w:r>
              <w:rPr/>
              <w:t> </w:t>
            </w:r>
          </w:p>
        </w:tc>
        <w:tc>
          <w:tcPr>
            <w:tcW w:w="1037"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6</w:t>
            </w:r>
          </w:p>
        </w:tc>
        <w:tc>
          <w:tcPr>
            <w:tcW w:w="557"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pPr>
            <w:r>
              <w:rPr/>
            </w:r>
          </w:p>
        </w:tc>
        <w:tc>
          <w:tcPr>
            <w:tcW w:w="144" w:type="dxa"/>
            <w:tcBorders/>
            <w:shd w:fill="CCEEFF" w:val="clear"/>
            <w:vAlign w:val="center"/>
          </w:tcPr>
          <w:p>
            <w:pPr>
              <w:pStyle w:val="TableContents"/>
              <w:bidi w:val="0"/>
              <w:spacing w:before="0" w:after="283"/>
              <w:jc w:val="left"/>
              <w:rPr/>
            </w:pPr>
            <w:r>
              <w:rPr/>
            </w:r>
          </w:p>
        </w:tc>
        <w:tc>
          <w:tcPr>
            <w:tcW w:w="705" w:type="dxa"/>
            <w:tcBorders/>
            <w:shd w:fill="CCEEFF" w:val="clear"/>
            <w:vAlign w:val="center"/>
          </w:tcPr>
          <w:p>
            <w:pPr>
              <w:pStyle w:val="TableContents"/>
              <w:bidi w:val="0"/>
              <w:spacing w:before="0" w:after="283"/>
              <w:jc w:val="right"/>
              <w:rPr/>
            </w:pPr>
            <w:r>
              <w:rPr/>
              <w:t>421.2</w:t>
            </w:r>
          </w:p>
        </w:tc>
        <w:tc>
          <w:tcPr>
            <w:tcW w:w="23"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144" w:type="dxa"/>
            <w:tcBorders/>
            <w:shd w:fill="CCEEFF" w:val="clear"/>
            <w:vAlign w:val="center"/>
          </w:tcPr>
          <w:p>
            <w:pPr>
              <w:pStyle w:val="TableContents"/>
              <w:bidi w:val="0"/>
              <w:spacing w:before="0" w:after="283"/>
              <w:jc w:val="left"/>
              <w:rPr/>
            </w:pPr>
            <w:r>
              <w:rPr/>
            </w:r>
          </w:p>
        </w:tc>
        <w:tc>
          <w:tcPr>
            <w:tcW w:w="705" w:type="dxa"/>
            <w:tcBorders/>
            <w:shd w:fill="CCEEFF" w:val="clear"/>
            <w:vAlign w:val="center"/>
          </w:tcPr>
          <w:p>
            <w:pPr>
              <w:pStyle w:val="TableContents"/>
              <w:bidi w:val="0"/>
              <w:spacing w:before="0" w:after="283"/>
              <w:jc w:val="right"/>
              <w:rPr/>
            </w:pPr>
            <w:r>
              <w:rPr/>
              <w:t>398.6</w:t>
            </w:r>
          </w:p>
        </w:tc>
        <w:tc>
          <w:tcPr>
            <w:tcW w:w="23"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201" w:type="dxa"/>
            <w:tcBorders/>
            <w:shd w:fill="CCEEFF" w:val="clear"/>
            <w:vAlign w:val="center"/>
          </w:tcPr>
          <w:p>
            <w:pPr>
              <w:pStyle w:val="TableContents"/>
              <w:bidi w:val="0"/>
              <w:spacing w:before="0" w:after="283"/>
              <w:jc w:val="left"/>
              <w:rPr/>
            </w:pPr>
            <w:r>
              <w:rPr/>
            </w:r>
          </w:p>
        </w:tc>
        <w:tc>
          <w:tcPr>
            <w:tcW w:w="805" w:type="dxa"/>
            <w:tcBorders/>
            <w:shd w:fill="CCEEFF" w:val="clear"/>
            <w:vAlign w:val="center"/>
          </w:tcPr>
          <w:p>
            <w:pPr>
              <w:pStyle w:val="TableContents"/>
              <w:bidi w:val="0"/>
              <w:spacing w:before="0" w:after="283"/>
              <w:jc w:val="right"/>
              <w:rPr/>
            </w:pPr>
            <w:r>
              <w:rPr/>
              <w:t>22.6</w:t>
            </w:r>
          </w:p>
        </w:tc>
        <w:tc>
          <w:tcPr>
            <w:tcW w:w="136" w:type="dxa"/>
            <w:tcBorders/>
            <w:shd w:fill="CCEEFF" w:val="clear"/>
            <w:vAlign w:val="center"/>
          </w:tcPr>
          <w:p>
            <w:pPr>
              <w:pStyle w:val="TableContents"/>
              <w:bidi w:val="0"/>
              <w:spacing w:before="0" w:after="283"/>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pPr>
            <w:r>
              <w:rPr/>
            </w:r>
          </w:p>
        </w:tc>
        <w:tc>
          <w:tcPr>
            <w:tcW w:w="652" w:type="dxa"/>
            <w:tcBorders/>
            <w:shd w:fill="CCEEFF" w:val="clear"/>
            <w:vAlign w:val="center"/>
          </w:tcPr>
          <w:p>
            <w:pPr>
              <w:pStyle w:val="TableContents"/>
              <w:bidi w:val="0"/>
              <w:spacing w:before="0" w:after="283"/>
              <w:jc w:val="right"/>
              <w:rPr/>
            </w:pPr>
            <w:r>
              <w:rPr/>
              <w:t>6</w:t>
            </w:r>
          </w:p>
        </w:tc>
        <w:tc>
          <w:tcPr>
            <w:tcW w:w="419" w:type="dxa"/>
            <w:tcBorders/>
            <w:shd w:fill="CCEEFF" w:val="clear"/>
            <w:vAlign w:val="center"/>
          </w:tcPr>
          <w:p>
            <w:pPr>
              <w:pStyle w:val="TableContents"/>
              <w:bidi w:val="0"/>
              <w:spacing w:before="0" w:after="283"/>
              <w:jc w:val="left"/>
              <w:rPr/>
            </w:pPr>
            <w:r>
              <w:rPr/>
              <w:t>%</w:t>
            </w:r>
          </w:p>
        </w:tc>
        <w:tc>
          <w:tcPr>
            <w:tcW w:w="53" w:type="dxa"/>
            <w:tcBorders/>
            <w:shd w:fill="CCEEFF" w:val="clear"/>
            <w:vAlign w:val="center"/>
          </w:tcPr>
          <w:p>
            <w:pPr>
              <w:pStyle w:val="TableContents"/>
              <w:bidi w:val="0"/>
              <w:spacing w:before="0" w:after="283"/>
              <w:jc w:val="left"/>
              <w:rPr/>
            </w:pPr>
            <w:r>
              <w:rPr/>
            </w:r>
          </w:p>
        </w:tc>
      </w:tr>
      <w:tr>
        <w:trPr/>
        <w:tc>
          <w:tcPr>
            <w:tcW w:w="1609"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Operating income</w:t>
            </w:r>
          </w:p>
        </w:tc>
        <w:tc>
          <w:tcPr>
            <w:tcW w:w="60"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570"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79.9</w:t>
            </w:r>
          </w:p>
        </w:tc>
        <w:tc>
          <w:tcPr>
            <w:tcW w:w="26"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570"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69.1</w:t>
            </w:r>
          </w:p>
        </w:tc>
        <w:tc>
          <w:tcPr>
            <w:tcW w:w="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253"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723"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10.8</w:t>
            </w:r>
          </w:p>
        </w:tc>
        <w:tc>
          <w:tcPr>
            <w:tcW w:w="158"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0"/>
              <w:jc w:val="left"/>
              <w:rPr/>
            </w:pPr>
            <w:r>
              <w:rPr/>
              <w:t> </w:t>
            </w:r>
          </w:p>
        </w:tc>
        <w:tc>
          <w:tcPr>
            <w:tcW w:w="1037"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16</w:t>
            </w:r>
          </w:p>
        </w:tc>
        <w:tc>
          <w:tcPr>
            <w:tcW w:w="557" w:type="dxa"/>
            <w:tcBorders/>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pPr>
            <w:r>
              <w:rPr/>
            </w:r>
          </w:p>
        </w:tc>
        <w:tc>
          <w:tcPr>
            <w:tcW w:w="144" w:type="dxa"/>
            <w:tcBorders/>
            <w:vAlign w:val="center"/>
          </w:tcPr>
          <w:p>
            <w:pPr>
              <w:pStyle w:val="TableContents"/>
              <w:bidi w:val="0"/>
              <w:spacing w:before="0" w:after="283"/>
              <w:jc w:val="left"/>
              <w:rPr/>
            </w:pPr>
            <w:r>
              <w:rPr/>
              <w:t>$</w:t>
            </w:r>
          </w:p>
        </w:tc>
        <w:tc>
          <w:tcPr>
            <w:tcW w:w="705" w:type="dxa"/>
            <w:tcBorders/>
            <w:vAlign w:val="center"/>
          </w:tcPr>
          <w:p>
            <w:pPr>
              <w:pStyle w:val="TableContents"/>
              <w:bidi w:val="0"/>
              <w:spacing w:before="0" w:after="283"/>
              <w:jc w:val="right"/>
              <w:rPr/>
            </w:pPr>
            <w:r>
              <w:rPr/>
              <w:t>101.4</w:t>
            </w:r>
          </w:p>
        </w:tc>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144" w:type="dxa"/>
            <w:tcBorders/>
            <w:vAlign w:val="center"/>
          </w:tcPr>
          <w:p>
            <w:pPr>
              <w:pStyle w:val="TableContents"/>
              <w:bidi w:val="0"/>
              <w:spacing w:before="0" w:after="283"/>
              <w:jc w:val="left"/>
              <w:rPr/>
            </w:pPr>
            <w:r>
              <w:rPr/>
              <w:t>$</w:t>
            </w:r>
          </w:p>
        </w:tc>
        <w:tc>
          <w:tcPr>
            <w:tcW w:w="705" w:type="dxa"/>
            <w:tcBorders/>
            <w:vAlign w:val="center"/>
          </w:tcPr>
          <w:p>
            <w:pPr>
              <w:pStyle w:val="TableContents"/>
              <w:bidi w:val="0"/>
              <w:spacing w:before="0" w:after="283"/>
              <w:jc w:val="right"/>
              <w:rPr/>
            </w:pPr>
            <w:r>
              <w:rPr/>
              <w:t>76.0</w:t>
            </w:r>
          </w:p>
        </w:tc>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01" w:type="dxa"/>
            <w:tcBorders/>
            <w:vAlign w:val="center"/>
          </w:tcPr>
          <w:p>
            <w:pPr>
              <w:pStyle w:val="TableContents"/>
              <w:bidi w:val="0"/>
              <w:spacing w:before="0" w:after="283"/>
              <w:jc w:val="left"/>
              <w:rPr/>
            </w:pPr>
            <w:r>
              <w:rPr/>
              <w:t>$</w:t>
            </w:r>
          </w:p>
        </w:tc>
        <w:tc>
          <w:tcPr>
            <w:tcW w:w="805" w:type="dxa"/>
            <w:tcBorders/>
            <w:vAlign w:val="center"/>
          </w:tcPr>
          <w:p>
            <w:pPr>
              <w:pStyle w:val="TableContents"/>
              <w:bidi w:val="0"/>
              <w:spacing w:before="0" w:after="283"/>
              <w:jc w:val="right"/>
              <w:rPr/>
            </w:pPr>
            <w:r>
              <w:rPr/>
              <w:t>25.4</w:t>
            </w:r>
          </w:p>
        </w:tc>
        <w:tc>
          <w:tcPr>
            <w:tcW w:w="13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pPr>
            <w:r>
              <w:rPr/>
            </w:r>
          </w:p>
        </w:tc>
        <w:tc>
          <w:tcPr>
            <w:tcW w:w="652" w:type="dxa"/>
            <w:tcBorders/>
            <w:vAlign w:val="center"/>
          </w:tcPr>
          <w:p>
            <w:pPr>
              <w:pStyle w:val="TableContents"/>
              <w:bidi w:val="0"/>
              <w:spacing w:before="0" w:after="283"/>
              <w:jc w:val="right"/>
              <w:rPr/>
            </w:pPr>
            <w:r>
              <w:rPr/>
              <w:t>33</w:t>
            </w:r>
          </w:p>
        </w:tc>
        <w:tc>
          <w:tcPr>
            <w:tcW w:w="419" w:type="dxa"/>
            <w:tcBorders/>
            <w:vAlign w:val="center"/>
          </w:tcPr>
          <w:p>
            <w:pPr>
              <w:pStyle w:val="TableContents"/>
              <w:bidi w:val="0"/>
              <w:spacing w:before="0" w:after="283"/>
              <w:jc w:val="left"/>
              <w:rPr/>
            </w:pPr>
            <w:r>
              <w:rPr/>
              <w:t>%</w:t>
            </w:r>
          </w:p>
        </w:tc>
        <w:tc>
          <w:tcPr>
            <w:tcW w:w="53" w:type="dxa"/>
            <w:tcBorders/>
            <w:vAlign w:val="center"/>
          </w:tcPr>
          <w:p>
            <w:pPr>
              <w:pStyle w:val="TableContents"/>
              <w:bidi w:val="0"/>
              <w:spacing w:before="0" w:after="283"/>
              <w:jc w:val="left"/>
              <w:rPr/>
            </w:pPr>
            <w:r>
              <w:rPr/>
            </w:r>
          </w:p>
        </w:tc>
      </w:tr>
      <w:tr>
        <w:trPr/>
        <w:tc>
          <w:tcPr>
            <w:tcW w:w="1609" w:type="dxa"/>
            <w:tcBorders/>
            <w:shd w:fill="CCEEFF" w:val="clear"/>
            <w:vAlign w:val="center"/>
          </w:tcPr>
          <w:p>
            <w:pPr>
              <w:pStyle w:val="TableContents"/>
              <w:bidi w:val="0"/>
              <w:spacing w:before="0" w:after="0"/>
              <w:ind w:left="0" w:right="0" w:hanging="180"/>
              <w:jc w:val="left"/>
              <w:rPr>
                <w:rFonts w:ascii="times new roman;times" w:hAnsi="times new roman;times"/>
                <w:sz w:val="20"/>
              </w:rPr>
            </w:pPr>
            <w:r>
              <w:rPr>
                <w:rFonts w:ascii="times new roman;times" w:hAnsi="times new roman;times"/>
                <w:sz w:val="20"/>
              </w:rPr>
              <w:t>Transactions processed (millions)</w:t>
            </w:r>
          </w:p>
        </w:tc>
        <w:tc>
          <w:tcPr>
            <w:tcW w:w="60" w:type="dxa"/>
            <w:tcBorders/>
            <w:shd w:fill="CCEEFF" w:val="clear"/>
            <w:vAlign w:val="center"/>
          </w:tcPr>
          <w:p>
            <w:pPr>
              <w:pStyle w:val="TableContents"/>
              <w:bidi w:val="0"/>
              <w:spacing w:before="0" w:after="0"/>
              <w:jc w:val="left"/>
              <w:rPr/>
            </w:pPr>
            <w:r>
              <w:rPr/>
              <w:t> </w:t>
            </w:r>
          </w:p>
        </w:tc>
        <w:tc>
          <w:tcPr>
            <w:tcW w:w="717"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2,737</w:t>
            </w:r>
          </w:p>
        </w:tc>
        <w:tc>
          <w:tcPr>
            <w:tcW w:w="26" w:type="dxa"/>
            <w:tcBorders/>
            <w:shd w:fill="CCEEFF" w:val="clear"/>
            <w:vAlign w:val="center"/>
          </w:tcPr>
          <w:p>
            <w:pPr>
              <w:pStyle w:val="TableContents"/>
              <w:bidi w:val="0"/>
              <w:spacing w:before="0" w:after="283"/>
              <w:jc w:val="left"/>
              <w:rPr>
                <w:sz w:val="4"/>
                <w:szCs w:val="4"/>
              </w:rPr>
            </w:pPr>
            <w:r>
              <w:rPr>
                <w:sz w:val="4"/>
                <w:szCs w:val="4"/>
              </w:rPr>
            </w:r>
          </w:p>
        </w:tc>
        <w:tc>
          <w:tcPr>
            <w:tcW w:w="70" w:type="dxa"/>
            <w:tcBorders/>
            <w:shd w:fill="CCEEFF" w:val="clear"/>
            <w:vAlign w:val="center"/>
          </w:tcPr>
          <w:p>
            <w:pPr>
              <w:pStyle w:val="TableContents"/>
              <w:bidi w:val="0"/>
              <w:spacing w:before="0" w:after="0"/>
              <w:jc w:val="left"/>
              <w:rPr/>
            </w:pPr>
            <w:r>
              <w:rPr/>
              <w:t> </w:t>
            </w:r>
          </w:p>
        </w:tc>
        <w:tc>
          <w:tcPr>
            <w:tcW w:w="717"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2,035</w:t>
            </w:r>
          </w:p>
        </w:tc>
        <w:tc>
          <w:tcPr>
            <w:tcW w:w="2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976"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702</w:t>
            </w:r>
          </w:p>
        </w:tc>
        <w:tc>
          <w:tcPr>
            <w:tcW w:w="158" w:type="dxa"/>
            <w:tcBorders/>
            <w:shd w:fill="CCEEFF" w:val="clear"/>
            <w:vAlign w:val="center"/>
          </w:tcPr>
          <w:p>
            <w:pPr>
              <w:pStyle w:val="TableContents"/>
              <w:bidi w:val="0"/>
              <w:spacing w:before="0" w:after="283"/>
              <w:jc w:val="left"/>
              <w:rPr>
                <w:sz w:val="4"/>
                <w:szCs w:val="4"/>
              </w:rPr>
            </w:pPr>
            <w:r>
              <w:rPr>
                <w:sz w:val="4"/>
                <w:szCs w:val="4"/>
              </w:rPr>
            </w:r>
          </w:p>
        </w:tc>
        <w:tc>
          <w:tcPr>
            <w:tcW w:w="67" w:type="dxa"/>
            <w:tcBorders/>
            <w:shd w:fill="CCEEFF" w:val="clear"/>
            <w:vAlign w:val="center"/>
          </w:tcPr>
          <w:p>
            <w:pPr>
              <w:pStyle w:val="TableContents"/>
              <w:bidi w:val="0"/>
              <w:spacing w:before="0" w:after="0"/>
              <w:jc w:val="left"/>
              <w:rPr/>
            </w:pPr>
            <w:r>
              <w:rPr/>
              <w:t> </w:t>
            </w:r>
          </w:p>
        </w:tc>
        <w:tc>
          <w:tcPr>
            <w:tcW w:w="1037"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34</w:t>
            </w:r>
          </w:p>
        </w:tc>
        <w:tc>
          <w:tcPr>
            <w:tcW w:w="557"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pPr>
            <w:r>
              <w:rPr/>
            </w:r>
          </w:p>
        </w:tc>
        <w:tc>
          <w:tcPr>
            <w:tcW w:w="144" w:type="dxa"/>
            <w:tcBorders/>
            <w:shd w:fill="CCEEFF" w:val="clear"/>
            <w:vAlign w:val="center"/>
          </w:tcPr>
          <w:p>
            <w:pPr>
              <w:pStyle w:val="TableContents"/>
              <w:bidi w:val="0"/>
              <w:spacing w:before="0" w:after="283"/>
              <w:jc w:val="left"/>
              <w:rPr/>
            </w:pPr>
            <w:r>
              <w:rPr/>
            </w:r>
          </w:p>
        </w:tc>
        <w:tc>
          <w:tcPr>
            <w:tcW w:w="705" w:type="dxa"/>
            <w:tcBorders/>
            <w:shd w:fill="CCEEFF" w:val="clear"/>
            <w:vAlign w:val="center"/>
          </w:tcPr>
          <w:p>
            <w:pPr>
              <w:pStyle w:val="TableContents"/>
              <w:bidi w:val="0"/>
              <w:spacing w:before="0" w:after="283"/>
              <w:jc w:val="right"/>
              <w:rPr/>
            </w:pPr>
            <w:r>
              <w:rPr/>
              <w:t>5,239</w:t>
            </w:r>
          </w:p>
        </w:tc>
        <w:tc>
          <w:tcPr>
            <w:tcW w:w="23"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144" w:type="dxa"/>
            <w:tcBorders/>
            <w:shd w:fill="CCEEFF" w:val="clear"/>
            <w:vAlign w:val="center"/>
          </w:tcPr>
          <w:p>
            <w:pPr>
              <w:pStyle w:val="TableContents"/>
              <w:bidi w:val="0"/>
              <w:spacing w:before="0" w:after="283"/>
              <w:jc w:val="left"/>
              <w:rPr/>
            </w:pPr>
            <w:r>
              <w:rPr/>
            </w:r>
          </w:p>
        </w:tc>
        <w:tc>
          <w:tcPr>
            <w:tcW w:w="705" w:type="dxa"/>
            <w:tcBorders/>
            <w:shd w:fill="CCEEFF" w:val="clear"/>
            <w:vAlign w:val="center"/>
          </w:tcPr>
          <w:p>
            <w:pPr>
              <w:pStyle w:val="TableContents"/>
              <w:bidi w:val="0"/>
              <w:spacing w:before="0" w:after="283"/>
              <w:jc w:val="right"/>
              <w:rPr/>
            </w:pPr>
            <w:r>
              <w:rPr/>
              <w:t>3,872</w:t>
            </w:r>
          </w:p>
        </w:tc>
        <w:tc>
          <w:tcPr>
            <w:tcW w:w="23"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201" w:type="dxa"/>
            <w:tcBorders/>
            <w:shd w:fill="CCEEFF" w:val="clear"/>
            <w:vAlign w:val="center"/>
          </w:tcPr>
          <w:p>
            <w:pPr>
              <w:pStyle w:val="TableContents"/>
              <w:bidi w:val="0"/>
              <w:spacing w:before="0" w:after="283"/>
              <w:jc w:val="left"/>
              <w:rPr/>
            </w:pPr>
            <w:r>
              <w:rPr/>
            </w:r>
          </w:p>
        </w:tc>
        <w:tc>
          <w:tcPr>
            <w:tcW w:w="805" w:type="dxa"/>
            <w:tcBorders/>
            <w:shd w:fill="CCEEFF" w:val="clear"/>
            <w:vAlign w:val="center"/>
          </w:tcPr>
          <w:p>
            <w:pPr>
              <w:pStyle w:val="TableContents"/>
              <w:bidi w:val="0"/>
              <w:spacing w:before="0" w:after="283"/>
              <w:jc w:val="right"/>
              <w:rPr/>
            </w:pPr>
            <w:r>
              <w:rPr/>
              <w:t>1,367</w:t>
            </w:r>
          </w:p>
        </w:tc>
        <w:tc>
          <w:tcPr>
            <w:tcW w:w="136" w:type="dxa"/>
            <w:tcBorders/>
            <w:shd w:fill="CCEEFF" w:val="clear"/>
            <w:vAlign w:val="center"/>
          </w:tcPr>
          <w:p>
            <w:pPr>
              <w:pStyle w:val="TableContents"/>
              <w:bidi w:val="0"/>
              <w:spacing w:before="0" w:after="283"/>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pPr>
            <w:r>
              <w:rPr/>
            </w:r>
          </w:p>
        </w:tc>
        <w:tc>
          <w:tcPr>
            <w:tcW w:w="652" w:type="dxa"/>
            <w:tcBorders/>
            <w:shd w:fill="CCEEFF" w:val="clear"/>
            <w:vAlign w:val="center"/>
          </w:tcPr>
          <w:p>
            <w:pPr>
              <w:pStyle w:val="TableContents"/>
              <w:bidi w:val="0"/>
              <w:spacing w:before="0" w:after="283"/>
              <w:jc w:val="right"/>
              <w:rPr/>
            </w:pPr>
            <w:r>
              <w:rPr/>
              <w:t>35</w:t>
            </w:r>
          </w:p>
        </w:tc>
        <w:tc>
          <w:tcPr>
            <w:tcW w:w="419" w:type="dxa"/>
            <w:tcBorders/>
            <w:shd w:fill="CCEEFF" w:val="clear"/>
            <w:vAlign w:val="center"/>
          </w:tcPr>
          <w:p>
            <w:pPr>
              <w:pStyle w:val="TableContents"/>
              <w:bidi w:val="0"/>
              <w:spacing w:before="0" w:after="283"/>
              <w:jc w:val="left"/>
              <w:rPr/>
            </w:pPr>
            <w:r>
              <w:rPr/>
              <w:t>%</w:t>
            </w:r>
          </w:p>
        </w:tc>
        <w:tc>
          <w:tcPr>
            <w:tcW w:w="53" w:type="dxa"/>
            <w:tcBorders/>
            <w:shd w:fill="CCEEFF" w:val="clear"/>
            <w:vAlign w:val="center"/>
          </w:tcPr>
          <w:p>
            <w:pPr>
              <w:pStyle w:val="TableContents"/>
              <w:bidi w:val="0"/>
              <w:spacing w:before="0" w:after="283"/>
              <w:jc w:val="left"/>
              <w:rPr/>
            </w:pPr>
            <w:r>
              <w:rPr/>
            </w:r>
          </w:p>
        </w:tc>
      </w:tr>
      <w:tr>
        <w:trPr/>
        <w:tc>
          <w:tcPr>
            <w:tcW w:w="1609"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Active ATMs as of June 30,</w:t>
            </w:r>
          </w:p>
        </w:tc>
        <w:tc>
          <w:tcPr>
            <w:tcW w:w="60" w:type="dxa"/>
            <w:tcBorders/>
            <w:vAlign w:val="center"/>
          </w:tcPr>
          <w:p>
            <w:pPr>
              <w:pStyle w:val="TableContents"/>
              <w:bidi w:val="0"/>
              <w:spacing w:before="0" w:after="0"/>
              <w:jc w:val="left"/>
              <w:rPr/>
            </w:pPr>
            <w:r>
              <w:rPr/>
              <w:t> </w:t>
            </w:r>
          </w:p>
        </w:tc>
        <w:tc>
          <w:tcPr>
            <w:tcW w:w="717"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54,005</w:t>
            </w:r>
          </w:p>
        </w:tc>
        <w:tc>
          <w:tcPr>
            <w:tcW w:w="26"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0"/>
              <w:jc w:val="left"/>
              <w:rPr/>
            </w:pPr>
            <w:r>
              <w:rPr/>
              <w:t> </w:t>
            </w:r>
          </w:p>
        </w:tc>
        <w:tc>
          <w:tcPr>
            <w:tcW w:w="717"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51,402</w:t>
            </w:r>
          </w:p>
        </w:tc>
        <w:tc>
          <w:tcPr>
            <w:tcW w:w="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976"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2,603</w:t>
            </w:r>
          </w:p>
        </w:tc>
        <w:tc>
          <w:tcPr>
            <w:tcW w:w="158"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0"/>
              <w:jc w:val="left"/>
              <w:rPr/>
            </w:pPr>
            <w:r>
              <w:rPr/>
              <w:t> </w:t>
            </w:r>
          </w:p>
        </w:tc>
        <w:tc>
          <w:tcPr>
            <w:tcW w:w="1037"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5</w:t>
            </w:r>
          </w:p>
        </w:tc>
        <w:tc>
          <w:tcPr>
            <w:tcW w:w="557"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pPr>
            <w:r>
              <w:rPr/>
            </w:r>
          </w:p>
        </w:tc>
        <w:tc>
          <w:tcPr>
            <w:tcW w:w="144" w:type="dxa"/>
            <w:tcBorders/>
            <w:vAlign w:val="center"/>
          </w:tcPr>
          <w:p>
            <w:pPr>
              <w:pStyle w:val="TableContents"/>
              <w:bidi w:val="0"/>
              <w:spacing w:before="0" w:after="283"/>
              <w:jc w:val="left"/>
              <w:rPr/>
            </w:pPr>
            <w:r>
              <w:rPr/>
            </w:r>
          </w:p>
        </w:tc>
        <w:tc>
          <w:tcPr>
            <w:tcW w:w="705" w:type="dxa"/>
            <w:tcBorders/>
            <w:vAlign w:val="center"/>
          </w:tcPr>
          <w:p>
            <w:pPr>
              <w:pStyle w:val="TableContents"/>
              <w:bidi w:val="0"/>
              <w:spacing w:before="0" w:after="283"/>
              <w:jc w:val="right"/>
              <w:rPr/>
            </w:pPr>
            <w:r>
              <w:rPr/>
              <w:t>54,005</w:t>
            </w:r>
          </w:p>
        </w:tc>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144" w:type="dxa"/>
            <w:tcBorders/>
            <w:vAlign w:val="center"/>
          </w:tcPr>
          <w:p>
            <w:pPr>
              <w:pStyle w:val="TableContents"/>
              <w:bidi w:val="0"/>
              <w:spacing w:before="0" w:after="283"/>
              <w:jc w:val="left"/>
              <w:rPr/>
            </w:pPr>
            <w:r>
              <w:rPr/>
            </w:r>
          </w:p>
        </w:tc>
        <w:tc>
          <w:tcPr>
            <w:tcW w:w="705" w:type="dxa"/>
            <w:tcBorders/>
            <w:vAlign w:val="center"/>
          </w:tcPr>
          <w:p>
            <w:pPr>
              <w:pStyle w:val="TableContents"/>
              <w:bidi w:val="0"/>
              <w:spacing w:before="0" w:after="283"/>
              <w:jc w:val="right"/>
              <w:rPr/>
            </w:pPr>
            <w:r>
              <w:rPr/>
              <w:t>51,402</w:t>
            </w:r>
          </w:p>
        </w:tc>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01" w:type="dxa"/>
            <w:tcBorders/>
            <w:vAlign w:val="center"/>
          </w:tcPr>
          <w:p>
            <w:pPr>
              <w:pStyle w:val="TableContents"/>
              <w:bidi w:val="0"/>
              <w:spacing w:before="0" w:after="283"/>
              <w:jc w:val="left"/>
              <w:rPr/>
            </w:pPr>
            <w:r>
              <w:rPr/>
            </w:r>
          </w:p>
        </w:tc>
        <w:tc>
          <w:tcPr>
            <w:tcW w:w="805" w:type="dxa"/>
            <w:tcBorders/>
            <w:vAlign w:val="center"/>
          </w:tcPr>
          <w:p>
            <w:pPr>
              <w:pStyle w:val="TableContents"/>
              <w:bidi w:val="0"/>
              <w:spacing w:before="0" w:after="283"/>
              <w:jc w:val="right"/>
              <w:rPr/>
            </w:pPr>
            <w:r>
              <w:rPr/>
              <w:t>2,603</w:t>
            </w:r>
          </w:p>
        </w:tc>
        <w:tc>
          <w:tcPr>
            <w:tcW w:w="13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pPr>
            <w:r>
              <w:rPr/>
            </w:r>
          </w:p>
        </w:tc>
        <w:tc>
          <w:tcPr>
            <w:tcW w:w="652" w:type="dxa"/>
            <w:tcBorders/>
            <w:vAlign w:val="center"/>
          </w:tcPr>
          <w:p>
            <w:pPr>
              <w:pStyle w:val="TableContents"/>
              <w:bidi w:val="0"/>
              <w:spacing w:before="0" w:after="283"/>
              <w:jc w:val="right"/>
              <w:rPr/>
            </w:pPr>
            <w:r>
              <w:rPr/>
              <w:t>5</w:t>
            </w:r>
          </w:p>
        </w:tc>
        <w:tc>
          <w:tcPr>
            <w:tcW w:w="419" w:type="dxa"/>
            <w:tcBorders/>
            <w:vAlign w:val="center"/>
          </w:tcPr>
          <w:p>
            <w:pPr>
              <w:pStyle w:val="TableContents"/>
              <w:bidi w:val="0"/>
              <w:spacing w:before="0" w:after="283"/>
              <w:jc w:val="left"/>
              <w:rPr/>
            </w:pPr>
            <w:r>
              <w:rPr/>
              <w:t>%</w:t>
            </w:r>
          </w:p>
        </w:tc>
        <w:tc>
          <w:tcPr>
            <w:tcW w:w="53" w:type="dxa"/>
            <w:tcBorders/>
            <w:vAlign w:val="center"/>
          </w:tcPr>
          <w:p>
            <w:pPr>
              <w:pStyle w:val="TableContents"/>
              <w:bidi w:val="0"/>
              <w:spacing w:before="0" w:after="283"/>
              <w:jc w:val="left"/>
              <w:rPr/>
            </w:pPr>
            <w:r>
              <w:rPr/>
            </w:r>
          </w:p>
        </w:tc>
      </w:tr>
      <w:tr>
        <w:trPr/>
        <w:tc>
          <w:tcPr>
            <w:tcW w:w="1609"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Average Active ATMs</w:t>
            </w:r>
          </w:p>
        </w:tc>
        <w:tc>
          <w:tcPr>
            <w:tcW w:w="60" w:type="dxa"/>
            <w:tcBorders/>
            <w:shd w:fill="CCEEFF" w:val="clear"/>
            <w:vAlign w:val="center"/>
          </w:tcPr>
          <w:p>
            <w:pPr>
              <w:pStyle w:val="TableContents"/>
              <w:bidi w:val="0"/>
              <w:spacing w:before="0" w:after="0"/>
              <w:ind w:left="0" w:right="0" w:hanging="0"/>
              <w:jc w:val="left"/>
              <w:rPr/>
            </w:pPr>
            <w:r>
              <w:rPr/>
              <w:t> </w:t>
            </w:r>
          </w:p>
        </w:tc>
        <w:tc>
          <w:tcPr>
            <w:tcW w:w="717"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53,045</w:t>
            </w:r>
          </w:p>
        </w:tc>
        <w:tc>
          <w:tcPr>
            <w:tcW w:w="26" w:type="dxa"/>
            <w:tcBorders/>
            <w:shd w:fill="CCEEFF" w:val="clear"/>
            <w:vAlign w:val="center"/>
          </w:tcPr>
          <w:p>
            <w:pPr>
              <w:pStyle w:val="TableContents"/>
              <w:bidi w:val="0"/>
              <w:spacing w:before="0" w:after="283"/>
              <w:jc w:val="left"/>
              <w:rPr>
                <w:sz w:val="4"/>
                <w:szCs w:val="4"/>
              </w:rPr>
            </w:pPr>
            <w:r>
              <w:rPr>
                <w:sz w:val="4"/>
                <w:szCs w:val="4"/>
              </w:rPr>
            </w:r>
          </w:p>
        </w:tc>
        <w:tc>
          <w:tcPr>
            <w:tcW w:w="70" w:type="dxa"/>
            <w:tcBorders/>
            <w:shd w:fill="CCEEFF" w:val="clear"/>
            <w:vAlign w:val="center"/>
          </w:tcPr>
          <w:p>
            <w:pPr>
              <w:pStyle w:val="TableContents"/>
              <w:bidi w:val="0"/>
              <w:spacing w:before="0" w:after="0"/>
              <w:jc w:val="left"/>
              <w:rPr/>
            </w:pPr>
            <w:r>
              <w:rPr/>
              <w:t> </w:t>
            </w:r>
          </w:p>
        </w:tc>
        <w:tc>
          <w:tcPr>
            <w:tcW w:w="717"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50,295</w:t>
            </w:r>
          </w:p>
        </w:tc>
        <w:tc>
          <w:tcPr>
            <w:tcW w:w="2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976"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2,750</w:t>
            </w:r>
          </w:p>
        </w:tc>
        <w:tc>
          <w:tcPr>
            <w:tcW w:w="158" w:type="dxa"/>
            <w:tcBorders/>
            <w:shd w:fill="CCEEFF" w:val="clear"/>
            <w:vAlign w:val="center"/>
          </w:tcPr>
          <w:p>
            <w:pPr>
              <w:pStyle w:val="TableContents"/>
              <w:bidi w:val="0"/>
              <w:spacing w:before="0" w:after="283"/>
              <w:jc w:val="left"/>
              <w:rPr>
                <w:sz w:val="4"/>
                <w:szCs w:val="4"/>
              </w:rPr>
            </w:pPr>
            <w:r>
              <w:rPr>
                <w:sz w:val="4"/>
                <w:szCs w:val="4"/>
              </w:rPr>
            </w:r>
          </w:p>
        </w:tc>
        <w:tc>
          <w:tcPr>
            <w:tcW w:w="67" w:type="dxa"/>
            <w:tcBorders/>
            <w:shd w:fill="CCEEFF" w:val="clear"/>
            <w:vAlign w:val="center"/>
          </w:tcPr>
          <w:p>
            <w:pPr>
              <w:pStyle w:val="TableContents"/>
              <w:bidi w:val="0"/>
              <w:spacing w:before="0" w:after="0"/>
              <w:jc w:val="left"/>
              <w:rPr/>
            </w:pPr>
            <w:r>
              <w:rPr/>
              <w:t> </w:t>
            </w:r>
          </w:p>
        </w:tc>
        <w:tc>
          <w:tcPr>
            <w:tcW w:w="1037"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5</w:t>
            </w:r>
          </w:p>
        </w:tc>
        <w:tc>
          <w:tcPr>
            <w:tcW w:w="557"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pPr>
            <w:r>
              <w:rPr/>
            </w:r>
          </w:p>
        </w:tc>
        <w:tc>
          <w:tcPr>
            <w:tcW w:w="144" w:type="dxa"/>
            <w:tcBorders/>
            <w:shd w:fill="CCEEFF" w:val="clear"/>
            <w:vAlign w:val="center"/>
          </w:tcPr>
          <w:p>
            <w:pPr>
              <w:pStyle w:val="TableContents"/>
              <w:bidi w:val="0"/>
              <w:spacing w:before="0" w:after="283"/>
              <w:jc w:val="left"/>
              <w:rPr/>
            </w:pPr>
            <w:r>
              <w:rPr/>
            </w:r>
          </w:p>
        </w:tc>
        <w:tc>
          <w:tcPr>
            <w:tcW w:w="705" w:type="dxa"/>
            <w:tcBorders/>
            <w:shd w:fill="CCEEFF" w:val="clear"/>
            <w:vAlign w:val="center"/>
          </w:tcPr>
          <w:p>
            <w:pPr>
              <w:pStyle w:val="TableContents"/>
              <w:bidi w:val="0"/>
              <w:spacing w:before="0" w:after="283"/>
              <w:jc w:val="right"/>
              <w:rPr/>
            </w:pPr>
            <w:r>
              <w:rPr/>
              <w:t>50,495</w:t>
            </w:r>
          </w:p>
        </w:tc>
        <w:tc>
          <w:tcPr>
            <w:tcW w:w="23"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144" w:type="dxa"/>
            <w:tcBorders/>
            <w:shd w:fill="CCEEFF" w:val="clear"/>
            <w:vAlign w:val="center"/>
          </w:tcPr>
          <w:p>
            <w:pPr>
              <w:pStyle w:val="TableContents"/>
              <w:bidi w:val="0"/>
              <w:spacing w:before="0" w:after="283"/>
              <w:jc w:val="left"/>
              <w:rPr/>
            </w:pPr>
            <w:r>
              <w:rPr/>
            </w:r>
          </w:p>
        </w:tc>
        <w:tc>
          <w:tcPr>
            <w:tcW w:w="705" w:type="dxa"/>
            <w:tcBorders/>
            <w:shd w:fill="CCEEFF" w:val="clear"/>
            <w:vAlign w:val="center"/>
          </w:tcPr>
          <w:p>
            <w:pPr>
              <w:pStyle w:val="TableContents"/>
              <w:bidi w:val="0"/>
              <w:spacing w:before="0" w:after="283"/>
              <w:jc w:val="right"/>
              <w:rPr/>
            </w:pPr>
            <w:r>
              <w:rPr/>
              <w:t>48,285</w:t>
            </w:r>
          </w:p>
        </w:tc>
        <w:tc>
          <w:tcPr>
            <w:tcW w:w="23"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201" w:type="dxa"/>
            <w:tcBorders/>
            <w:shd w:fill="CCEEFF" w:val="clear"/>
            <w:vAlign w:val="center"/>
          </w:tcPr>
          <w:p>
            <w:pPr>
              <w:pStyle w:val="TableContents"/>
              <w:bidi w:val="0"/>
              <w:spacing w:before="0" w:after="283"/>
              <w:jc w:val="left"/>
              <w:rPr/>
            </w:pPr>
            <w:r>
              <w:rPr/>
            </w:r>
          </w:p>
        </w:tc>
        <w:tc>
          <w:tcPr>
            <w:tcW w:w="805" w:type="dxa"/>
            <w:tcBorders/>
            <w:shd w:fill="CCEEFF" w:val="clear"/>
            <w:vAlign w:val="center"/>
          </w:tcPr>
          <w:p>
            <w:pPr>
              <w:pStyle w:val="TableContents"/>
              <w:bidi w:val="0"/>
              <w:spacing w:before="0" w:after="283"/>
              <w:jc w:val="right"/>
              <w:rPr/>
            </w:pPr>
            <w:r>
              <w:rPr/>
              <w:t>2,210</w:t>
            </w:r>
          </w:p>
        </w:tc>
        <w:tc>
          <w:tcPr>
            <w:tcW w:w="136" w:type="dxa"/>
            <w:tcBorders/>
            <w:shd w:fill="CCEEFF" w:val="clear"/>
            <w:vAlign w:val="center"/>
          </w:tcPr>
          <w:p>
            <w:pPr>
              <w:pStyle w:val="TableContents"/>
              <w:bidi w:val="0"/>
              <w:spacing w:before="0" w:after="283"/>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pPr>
            <w:r>
              <w:rPr/>
            </w:r>
          </w:p>
        </w:tc>
        <w:tc>
          <w:tcPr>
            <w:tcW w:w="652" w:type="dxa"/>
            <w:tcBorders/>
            <w:shd w:fill="CCEEFF" w:val="clear"/>
            <w:vAlign w:val="center"/>
          </w:tcPr>
          <w:p>
            <w:pPr>
              <w:pStyle w:val="TableContents"/>
              <w:bidi w:val="0"/>
              <w:spacing w:before="0" w:after="283"/>
              <w:jc w:val="right"/>
              <w:rPr/>
            </w:pPr>
            <w:r>
              <w:rPr/>
              <w:t>5</w:t>
            </w:r>
          </w:p>
        </w:tc>
        <w:tc>
          <w:tcPr>
            <w:tcW w:w="419" w:type="dxa"/>
            <w:tcBorders/>
            <w:shd w:fill="CCEEFF" w:val="clear"/>
            <w:vAlign w:val="center"/>
          </w:tcPr>
          <w:p>
            <w:pPr>
              <w:pStyle w:val="TableContents"/>
              <w:bidi w:val="0"/>
              <w:spacing w:before="0" w:after="283"/>
              <w:jc w:val="left"/>
              <w:rPr/>
            </w:pPr>
            <w:r>
              <w:rPr/>
              <w:t>%</w:t>
            </w:r>
          </w:p>
        </w:tc>
        <w:tc>
          <w:tcPr>
            <w:tcW w:w="53" w:type="dxa"/>
            <w:tcBorders/>
            <w:shd w:fill="CCEEFF" w:val="clear"/>
            <w:vAlign w:val="center"/>
          </w:tcPr>
          <w:p>
            <w:pPr>
              <w:pStyle w:val="TableContents"/>
              <w:bidi w:val="0"/>
              <w:spacing w:before="0" w:after="283"/>
              <w:jc w:val="left"/>
              <w:rPr/>
            </w:pPr>
            <w:r>
              <w:rPr/>
            </w:r>
          </w:p>
        </w:tc>
      </w:tr>
    </w:tbl>
    <w:p>
      <w:pPr>
        <w:pStyle w:val="TextBody"/>
        <w:widowControl/>
        <w:bidi w:val="0"/>
        <w:jc w:val="left"/>
        <w:rPr>
          <w:rFonts w:ascii="Times New Roman" w:hAnsi="Times New Roman" w:eastAsia="Times New Roman" w:cs="Times New Roman"/>
          <w:b w:val="false"/>
          <w:b w:val="false"/>
          <w:bCs w:val="false"/>
          <w:i w:val="false"/>
          <w:i w:val="false"/>
          <w:iCs w:val="false"/>
          <w:caps w:val="false"/>
          <w:smallCaps w:val="false"/>
          <w:color w:val="000000"/>
          <w:spacing w:val="0"/>
          <w:sz w:val="20"/>
          <w:szCs w:val="20"/>
        </w:rPr>
      </w:pPr>
      <w:r>
        <w:rPr>
          <w:rFonts w:eastAsia="Times New Roman" w:cs="Times New Roman" w:ascii="Times New Roman" w:hAnsi="Times New Roman"/>
          <w:b w:val="false"/>
          <w:bCs w:val="false"/>
          <w:i w:val="false"/>
          <w:iCs w:val="false"/>
          <w:caps w:val="false"/>
          <w:smallCaps w:val="false"/>
          <w:color w:val="000000"/>
          <w:spacing w:val="0"/>
          <w:sz w:val="20"/>
          <w:szCs w:val="20"/>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widowControl/>
        <w:bidi w:val="0"/>
        <w:spacing w:before="0" w:after="0"/>
        <w:ind w:left="0" w:right="0" w:hanging="0"/>
        <w:jc w:val="left"/>
        <w:rPr>
          <w:rFonts w:ascii="Times New Roman" w:hAnsi="Times New Roman" w:eastAsia="Times New Roman" w:cs="Times New Roman"/>
          <w:b w:val="false"/>
          <w:b w:val="false"/>
          <w:bCs w:val="false"/>
          <w:i w:val="false"/>
          <w:i w:val="false"/>
          <w:iCs w:val="false"/>
          <w:caps w:val="false"/>
          <w:smallCaps w:val="false"/>
          <w:color w:val="000000"/>
          <w:spacing w:val="0"/>
          <w:sz w:val="20"/>
          <w:szCs w:val="20"/>
        </w:rPr>
      </w:pPr>
      <w:r>
        <w:rPr>
          <w:rFonts w:eastAsia="Times New Roman" w:cs="Times New Roman" w:ascii="Times New Roman" w:hAnsi="Times New Roman"/>
          <w:b w:val="false"/>
          <w:bCs w:val="false"/>
          <w:i w:val="false"/>
          <w:iCs w:val="false"/>
          <w:caps w:val="false"/>
          <w:smallCaps w:val="false"/>
          <w:color w:val="000000"/>
          <w:spacing w:val="0"/>
          <w:sz w:val="20"/>
          <w:szCs w:val="20"/>
        </w:rPr>
      </w:r>
    </w:p>
    <w:p>
      <w:pPr>
        <w:pStyle w:val="TextBody"/>
        <w:widowControl/>
        <w:bidi w:val="0"/>
        <w:spacing w:before="0" w:after="0"/>
        <w:ind w:left="0" w:right="0" w:hanging="0"/>
        <w:jc w:val="left"/>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Revenues</w:t>
      </w:r>
    </w:p>
    <w:p>
      <w:pPr>
        <w:pStyle w:val="TextBody"/>
        <w:widowControl/>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br/>
      </w:r>
      <w:r>
        <w:rPr>
          <w:rFonts w:ascii="times new roman;times" w:hAnsi="times new roman;times"/>
          <w:b w:val="false"/>
          <w:i w:val="false"/>
          <w:caps w:val="false"/>
          <w:smallCaps w:val="false"/>
          <w:color w:val="000000"/>
          <w:spacing w:val="0"/>
          <w:sz w:val="20"/>
        </w:rPr>
        <w:t>EFT Processing Segment total revenues were $305.4 million for the three months ended June 30, 2024, an increase of $23.0 million or 8% compared to the same period in 2023.  EFT Processing Segment total revenues were $522.6 million for the six months ended June 30, 2024, an increase of $48.0 million or 10% compared to the same period in 2023.</w:t>
      </w:r>
      <w:r>
        <w:rPr>
          <w:rFonts w:ascii="times new roman;times" w:hAnsi="times new roman;times"/>
          <w:b w:val="false"/>
          <w:i w:val="false"/>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The increase in revenues was primarily due to the increase in POS acquiring transactions, entering new geographic markets, increase in domestic and international cash withdrawal transactions resulting from the increase in travel bringing more tourists, the increase in low-value point-of-sale transactions in Europe and low-value payment processing transactions in Asia Pacific.</w:t>
      </w:r>
      <w:r>
        <w:rPr>
          <w:rFonts w:ascii="times new roman;times" w:hAnsi="times new roman;times"/>
          <w:b w:val="false"/>
          <w:i w:val="false"/>
          <w:caps w:val="false"/>
          <w:smallCaps w:val="false"/>
          <w:color w:val="000000"/>
          <w:spacing w:val="0"/>
          <w:sz w:val="20"/>
          <w:shd w:fill="FFFFFF" w:val="clear"/>
        </w:rPr>
        <w:t> Fluctuations in foreign currency exchange rates increased revenues by approximately</w:t>
      </w:r>
      <w:r>
        <w:rPr>
          <w:rFonts w:ascii="Times New Roman" w:hAnsi="Times New Roman"/>
          <w:b w:val="false"/>
          <w:i w:val="false"/>
          <w:caps w:val="false"/>
          <w:smallCaps w:val="false"/>
          <w:color w:val="000000"/>
          <w:spacing w:val="0"/>
          <w:sz w:val="20"/>
          <w:shd w:fill="FFFFFF" w:val="clear"/>
        </w:rPr>
        <w:t xml:space="preserve"> $4.4 million and $0.5 million for the </w:t>
      </w:r>
      <w:r>
        <w:rPr>
          <w:rFonts w:ascii="Times New Roman" w:hAnsi="Times New Roman"/>
          <w:b w:val="false"/>
          <w:i w:val="false"/>
          <w:caps w:val="false"/>
          <w:smallCaps w:val="false"/>
          <w:color w:val="000000"/>
          <w:spacing w:val="0"/>
          <w:sz w:val="20"/>
          <w:shd w:fill="FFFFFF" w:val="clear"/>
        </w:rPr>
        <w:t>three and six months ended June 30, 2024</w:t>
      </w:r>
      <w:r>
        <w:rPr>
          <w:rFonts w:ascii="Times New Roman" w:hAnsi="Times New Roman"/>
          <w:b w:val="false"/>
          <w:i w:val="false"/>
          <w:caps w:val="false"/>
          <w:smallCaps w:val="false"/>
          <w:color w:val="000000"/>
          <w:spacing w:val="0"/>
          <w:sz w:val="20"/>
          <w:shd w:fill="FFFFFF" w:val="clear"/>
        </w:rPr>
        <w:t xml:space="preserve"> compared to the same periods in 2023.</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bidi w:val="0"/>
        <w:spacing w:before="0" w:after="0"/>
        <w:ind w:left="0" w:right="0" w:hanging="0"/>
        <w:jc w:val="left"/>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Direct operating costs</w:t>
      </w:r>
    </w:p>
    <w:p>
      <w:pPr>
        <w:pStyle w:val="TextBody"/>
        <w:widowControl/>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br/>
      </w:r>
      <w:r>
        <w:rPr>
          <w:rFonts w:ascii="times new roman;times" w:hAnsi="times new roman;times"/>
          <w:b w:val="false"/>
          <w:i w:val="false"/>
          <w:caps w:val="false"/>
          <w:smallCaps w:val="false"/>
          <w:color w:val="000000"/>
          <w:spacing w:val="0"/>
          <w:sz w:val="20"/>
        </w:rPr>
        <w:t>EFT Processing Segment direct operating costs were $152.5 million for the three months ended June 30, 2024, an increase of $10.4 million or 7% compared to the same period in 2023. EFT Processing Segment direct operating costs were $283.6 million for the six months ended June 30, 2024, an increase of $22.5 million or 9% compared to the same period in 2023.</w:t>
      </w:r>
      <w:r>
        <w:rPr>
          <w:rFonts w:ascii="times new roman;times" w:hAnsi="times new roman;times"/>
          <w:b w:val="false"/>
          <w:i w:val="false"/>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Direct operating costs primarily consist of site rental fees, cash delivery costs, cash supply costs, maintenance, insurance, telecommunications, payment scheme processing fees, data center operations-related personnel, as well as the processing centers’ facility-related costs and other processing center-related expenses and commissions paid to retail merchants, banks and card processors. </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16" w:type="dxa"/>
        <w:jc w:val="left"/>
        <w:tblInd w:w="0" w:type="dxa"/>
        <w:tblLayout w:type="fixed"/>
        <w:tblCellMar>
          <w:top w:w="0" w:type="dxa"/>
          <w:left w:w="0" w:type="dxa"/>
          <w:bottom w:w="0" w:type="dxa"/>
          <w:right w:w="0" w:type="dxa"/>
        </w:tblCellMar>
      </w:tblPr>
      <w:tblGrid>
        <w:gridCol w:w="316"/>
      </w:tblGrid>
      <w:tr>
        <w:trPr/>
        <w:tc>
          <w:tcPr>
            <w:tcW w:w="31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29</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before="0" w:after="0"/>
        <w:jc w:val="left"/>
        <w:rPr>
          <w:sz w:val="20"/>
        </w:rPr>
      </w:pPr>
      <w:r>
        <w:rPr>
          <w:sz w:val="20"/>
        </w:rPr>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increase in direct costs was primarily due to the increase in number of ATMs, and an increase in high volume low value cash transactions in Asia Pacific. Furthermore, direct costs are increasing due to higher funding costs and higher scheme costs. </w:t>
      </w:r>
      <w:r>
        <w:rPr>
          <w:rFonts w:ascii="Times New Roman" w:hAnsi="Times New Roman"/>
          <w:b w:val="false"/>
          <w:i w:val="false"/>
          <w:caps w:val="false"/>
          <w:smallCaps w:val="false"/>
          <w:color w:val="000000"/>
          <w:spacing w:val="0"/>
          <w:sz w:val="20"/>
        </w:rPr>
        <w:t>Fluctuations in foreign currency exchange rates increased direct operating costs by approximately $1.7 million and $0.1 million for the three and six months ended June 30, 2024 compared to the same periods in 2023.</w:t>
      </w:r>
    </w:p>
    <w:p>
      <w:pPr>
        <w:pStyle w:val="TextBody"/>
        <w:widowControl/>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times" w:hAnsi="times new roman;times"/>
          <w:b w:val="false"/>
          <w:i/>
          <w:caps w:val="false"/>
          <w:smallCaps w:val="false"/>
          <w:color w:val="000000"/>
          <w:spacing w:val="0"/>
          <w:sz w:val="20"/>
        </w:rPr>
        <w:t>Gross profit</w:t>
        <w:br/>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br/>
        <w:t>Gross profit, which is calculated as revenues less direct operating costs, was $152.9 million for the three months ended June 30, 2024, an increase of $12.6 million or 9% compared to $140.3 million for the same period in 2023. Gross profit was $239.0 million for the six months ended June 30, 2024, an increase of $25.5 million or 12% compared to $213.5 million for the same period in 2023. Gross profit as a percentage of revenues (“gross margin”) increased to 50.1% and 45.7% for the three and six months ended June 30, 2024, compared to 49.7% and 45.0% for the same periods in 2023. The increase in gross profit was primarily </w:t>
      </w:r>
      <w:r>
        <w:rPr>
          <w:rFonts w:ascii="times new roman;times" w:hAnsi="times new roman;times"/>
          <w:b w:val="false"/>
          <w:i w:val="false"/>
          <w:caps w:val="false"/>
          <w:smallCaps w:val="false"/>
          <w:color w:val="000000"/>
          <w:spacing w:val="0"/>
          <w:sz w:val="20"/>
        </w:rPr>
        <w:t>due to the increase in POS acquiring transactions, entering new geographic markets, increase in domestic and international cash withdrawal transactions resulting from the increase in travel bringing more tourists, the increase in low-value point-of-sale transactions in Europe and low-value payment processing transactions in Asia Pacific.</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times" w:hAnsi="times new roman;times"/>
          <w:b w:val="false"/>
          <w:i/>
          <w:caps w:val="false"/>
          <w:smallCaps w:val="false"/>
          <w:color w:val="000000"/>
          <w:spacing w:val="0"/>
          <w:sz w:val="20"/>
        </w:rPr>
        <w:t>Salaries and benefits</w:t>
        <w:br/>
      </w:r>
      <w:r>
        <w:rPr>
          <w:rFonts w:ascii="Times New Roman" w:hAnsi="Times New Roman"/>
          <w:b w:val="false"/>
          <w:i w:val="false"/>
          <w:caps w:val="false"/>
          <w:smallCaps w:val="false"/>
          <w:color w:val="000000"/>
          <w:spacing w:val="0"/>
          <w:sz w:val="20"/>
        </w:rPr>
        <w:br/>
      </w:r>
      <w:r>
        <w:rPr>
          <w:rFonts w:ascii="times new roman;times" w:hAnsi="times new roman;times"/>
          <w:b w:val="false"/>
          <w:i w:val="false"/>
          <w:caps w:val="false"/>
          <w:smallCaps w:val="false"/>
          <w:color w:val="000000"/>
          <w:spacing w:val="0"/>
          <w:sz w:val="20"/>
        </w:rPr>
        <w:t>Salaries and benefits expenses were $34.4 million for the three months ended June 30, 2024, an increase of $3.6 million or 12% compared to the same period in 2023. Salaries and benefits expenses were $66.2 million for the six months ended June 30, 2024, an increase of $7.9 million or 14% compared to the same period in 2023. The increase is primarily due to an increase in headcount to support the growth of the business and salary increases due to inflationary and market pressures. As a percentage of revenues, salary expense increased to 11.3% and 12.7% for the </w:t>
      </w:r>
      <w:r>
        <w:rPr>
          <w:rFonts w:ascii="times new roman;times" w:hAnsi="times new roman;times"/>
          <w:b w:val="false"/>
          <w:i w:val="false"/>
          <w:caps w:val="false"/>
          <w:smallCaps w:val="false"/>
          <w:color w:val="000000"/>
          <w:spacing w:val="0"/>
          <w:sz w:val="20"/>
        </w:rPr>
        <w:t>three and six months ended June 30, 2024</w:t>
      </w:r>
      <w:r>
        <w:rPr>
          <w:rFonts w:ascii="times new roman;times" w:hAnsi="times new roman;times"/>
          <w:b w:val="false"/>
          <w:i w:val="false"/>
          <w:caps w:val="false"/>
          <w:smallCaps w:val="false"/>
          <w:color w:val="000000"/>
          <w:spacing w:val="0"/>
          <w:sz w:val="20"/>
        </w:rPr>
        <w:t>, compared to 10.9% and 12.3% for the same periods in 2023. </w:t>
        <w:br/>
        <w:br/>
      </w:r>
      <w:r>
        <w:rPr>
          <w:rFonts w:ascii="times new roman;times" w:hAnsi="times new roman;times"/>
          <w:b w:val="false"/>
          <w:i/>
          <w:caps w:val="false"/>
          <w:smallCaps w:val="false"/>
          <w:color w:val="000000"/>
          <w:spacing w:val="0"/>
          <w:sz w:val="20"/>
        </w:rPr>
        <w:t>Selling, general and administrative</w:t>
        <w:br/>
      </w:r>
      <w:r>
        <w:rPr>
          <w:rFonts w:ascii="Times New Roman" w:hAnsi="Times New Roman"/>
          <w:b w:val="false"/>
          <w:i w:val="false"/>
          <w:caps w:val="false"/>
          <w:smallCaps w:val="false"/>
          <w:color w:val="000000"/>
          <w:spacing w:val="0"/>
          <w:sz w:val="20"/>
        </w:rPr>
        <w:br/>
      </w:r>
      <w:r>
        <w:rPr>
          <w:rFonts w:ascii="times new roman;times" w:hAnsi="times new roman;times"/>
          <w:b w:val="false"/>
          <w:i w:val="false"/>
          <w:caps w:val="false"/>
          <w:smallCaps w:val="false"/>
          <w:color w:val="000000"/>
          <w:spacing w:val="0"/>
          <w:sz w:val="20"/>
        </w:rPr>
        <w:t>Selling, general and administrative expenses were $13.5 million for the</w:t>
      </w:r>
      <w:r>
        <w:rPr>
          <w:rFonts w:ascii="times new roman;times" w:hAnsi="times new roman;times"/>
          <w:b w:val="false"/>
          <w:i w:val="false"/>
          <w:caps w:val="false"/>
          <w:smallCaps w:val="false"/>
          <w:color w:val="000000"/>
          <w:spacing w:val="0"/>
          <w:sz w:val="20"/>
        </w:rPr>
        <w:t> three months ended June 30, 2024</w:t>
      </w:r>
      <w:r>
        <w:rPr>
          <w:rFonts w:ascii="times new roman;times" w:hAnsi="times new roman;times"/>
          <w:b w:val="false"/>
          <w:i w:val="false"/>
          <w:caps w:val="false"/>
          <w:smallCaps w:val="false"/>
          <w:color w:val="000000"/>
          <w:spacing w:val="0"/>
          <w:sz w:val="20"/>
        </w:rPr>
        <w:t>, a decrease of $3.1 million or 19% compared to the same period in 2023. Selling, general and administrative expenses were $22.7 million for the six months ended June 30, 2024, a decrease of $10.0 million or 31% compared to the same period in 2023. The decrease was primarily due to a decrease in professional fees and the refund of a duty fee in the first quarter of 2024. As a percentage of revenues, these expenses decreased to 4.4% and 4.3% for the three and six months ended June 30, 2024, compared to 5.9% and 6.9% for the same periods in 2023.</w:t>
        <w:br/>
        <w:br/>
      </w:r>
      <w:r>
        <w:rPr>
          <w:rFonts w:ascii="times new roman;times" w:hAnsi="times new roman;times"/>
          <w:b w:val="false"/>
          <w:i/>
          <w:caps w:val="false"/>
          <w:smallCaps w:val="false"/>
          <w:color w:val="000000"/>
          <w:spacing w:val="0"/>
          <w:sz w:val="20"/>
        </w:rPr>
        <w:t>Depreciation and amortization</w:t>
        <w:br/>
      </w:r>
      <w:r>
        <w:rPr>
          <w:rFonts w:ascii="Times New Roman" w:hAnsi="Times New Roman"/>
          <w:b w:val="false"/>
          <w:i w:val="false"/>
          <w:caps w:val="false"/>
          <w:smallCaps w:val="false"/>
          <w:color w:val="000000"/>
          <w:spacing w:val="0"/>
          <w:sz w:val="20"/>
        </w:rPr>
        <w:br/>
      </w:r>
      <w:r>
        <w:rPr>
          <w:rFonts w:ascii="times new roman;times" w:hAnsi="times new roman;times"/>
          <w:b w:val="false"/>
          <w:i w:val="false"/>
          <w:caps w:val="false"/>
          <w:smallCaps w:val="false"/>
          <w:color w:val="000000"/>
          <w:spacing w:val="0"/>
          <w:sz w:val="20"/>
        </w:rPr>
        <w:t>Depreciation and amortization expenses were $25.1 million for the three months ended June 30, 2024, an increase of $1.3 million or 5% compared to the same period in 2023. Depreciation and amortization expenses were $48.7 million for the six months ended June 30, 2024, an increase of $2.2 million or 5% compared to the same period in 2023. As a percentage of revenues, these expenses decreased to 8.2% and 9.3% for the </w:t>
      </w:r>
      <w:r>
        <w:rPr>
          <w:rFonts w:ascii="times new roman;times" w:hAnsi="times new roman;times"/>
          <w:b w:val="false"/>
          <w:i w:val="false"/>
          <w:caps w:val="false"/>
          <w:smallCaps w:val="false"/>
          <w:color w:val="000000"/>
          <w:spacing w:val="0"/>
          <w:sz w:val="20"/>
        </w:rPr>
        <w:t>three and six months ended June 30, 2024</w:t>
      </w:r>
      <w:r>
        <w:rPr>
          <w:rFonts w:ascii="times new roman;times" w:hAnsi="times new roman;times"/>
          <w:b w:val="false"/>
          <w:i w:val="false"/>
          <w:caps w:val="false"/>
          <w:smallCaps w:val="false"/>
          <w:color w:val="000000"/>
          <w:spacing w:val="0"/>
          <w:sz w:val="20"/>
        </w:rPr>
        <w:t>, compared to 8.4% and 9.8% for the same periods in 2023.</w:t>
        <w:br/>
      </w:r>
      <w:r>
        <w:rPr>
          <w:rFonts w:ascii="Times New Roman" w:hAnsi="Times New Roman"/>
          <w:b w:val="false"/>
          <w:i w:val="false"/>
          <w:caps w:val="false"/>
          <w:smallCaps w:val="false"/>
          <w:color w:val="000000"/>
          <w:spacing w:val="0"/>
          <w:sz w:val="20"/>
        </w:rPr>
        <w:br/>
      </w:r>
      <w:r>
        <w:rPr>
          <w:rFonts w:ascii="times new roman;times" w:hAnsi="times new roman;times"/>
          <w:b w:val="false"/>
          <w:i/>
          <w:caps w:val="false"/>
          <w:smallCaps w:val="false"/>
          <w:color w:val="000000"/>
          <w:spacing w:val="0"/>
          <w:sz w:val="20"/>
        </w:rPr>
        <w:t>Operating income</w:t>
        <w:br/>
      </w:r>
      <w:r>
        <w:rPr>
          <w:rFonts w:ascii="Times New Roman" w:hAnsi="Times New Roman"/>
          <w:b w:val="false"/>
          <w:i w:val="false"/>
          <w:caps w:val="false"/>
          <w:smallCaps w:val="false"/>
          <w:color w:val="000000"/>
          <w:spacing w:val="0"/>
          <w:sz w:val="20"/>
        </w:rPr>
        <w:br/>
      </w:r>
      <w:r>
        <w:rPr>
          <w:rFonts w:ascii="times new roman;times" w:hAnsi="times new roman;times"/>
          <w:b w:val="false"/>
          <w:i w:val="false"/>
          <w:caps w:val="false"/>
          <w:smallCaps w:val="false"/>
          <w:color w:val="000000"/>
          <w:spacing w:val="0"/>
          <w:sz w:val="20"/>
        </w:rPr>
        <w:t xml:space="preserve">EFT Processing Segment had operating income of $79.9 million for the three months ended June 30, 2024, an increase of $10.8 million or 16% compared to the same period in 2023. EFT Processing Segment had operating income of $101.4 million for the six months ended June 30, 2024, an increase of $25.4 million or </w:t>
      </w:r>
      <w:r>
        <w:rPr>
          <w:rFonts w:ascii="times new roman;times" w:hAnsi="times new roman;times"/>
          <w:b w:val="false"/>
          <w:i w:val="false"/>
          <w:caps w:val="false"/>
          <w:smallCaps w:val="false"/>
          <w:color w:val="000000"/>
          <w:spacing w:val="0"/>
          <w:sz w:val="20"/>
        </w:rPr>
        <w:t>33</w:t>
      </w:r>
      <w:r>
        <w:rPr>
          <w:rFonts w:ascii="times new roman;times" w:hAnsi="times new roman;times"/>
          <w:b w:val="false"/>
          <w:i w:val="false"/>
          <w:caps w:val="false"/>
          <w:smallCaps w:val="false"/>
          <w:color w:val="000000"/>
          <w:spacing w:val="0"/>
          <w:sz w:val="20"/>
        </w:rPr>
        <w:t>% compared to the same period in 2023. Operating income as a percentage of revenues (“operating margin”) in</w:t>
      </w:r>
      <w:r>
        <w:rPr>
          <w:rFonts w:ascii="Times New Roman" w:hAnsi="Times New Roman"/>
          <w:b w:val="false"/>
          <w:i w:val="false"/>
          <w:caps w:val="false"/>
          <w:smallCaps w:val="false"/>
          <w:color w:val="000000"/>
          <w:spacing w:val="0"/>
          <w:sz w:val="20"/>
        </w:rPr>
        <w:t xml:space="preserve">creased </w:t>
      </w:r>
      <w:r>
        <w:rPr>
          <w:rFonts w:ascii="times new roman;times" w:hAnsi="times new roman;times"/>
          <w:b w:val="false"/>
          <w:i w:val="false"/>
          <w:caps w:val="false"/>
          <w:smallCaps w:val="false"/>
          <w:color w:val="000000"/>
          <w:spacing w:val="0"/>
          <w:sz w:val="20"/>
        </w:rPr>
        <w:t xml:space="preserve">to 26.2% and 19.4% for the </w:t>
      </w:r>
      <w:r>
        <w:rPr>
          <w:rFonts w:ascii="times new roman;times" w:hAnsi="times new roman;times"/>
          <w:b w:val="false"/>
          <w:i w:val="false"/>
          <w:caps w:val="false"/>
          <w:smallCaps w:val="false"/>
          <w:color w:val="000000"/>
          <w:spacing w:val="0"/>
          <w:sz w:val="20"/>
        </w:rPr>
        <w:t>three and six months ended June 30, 2024</w:t>
      </w:r>
      <w:r>
        <w:rPr>
          <w:rFonts w:ascii="times new roman;times" w:hAnsi="times new roman;times"/>
          <w:b w:val="false"/>
          <w:i w:val="false"/>
          <w:caps w:val="false"/>
          <w:smallCaps w:val="false"/>
          <w:color w:val="000000"/>
          <w:spacing w:val="0"/>
          <w:sz w:val="20"/>
        </w:rPr>
        <w:t>, compared to 24.5% and 16.0% for the same periods in 2023. The in</w:t>
      </w:r>
      <w:r>
        <w:rPr>
          <w:rFonts w:ascii="Times New Roman" w:hAnsi="Times New Roman"/>
          <w:b w:val="false"/>
          <w:i w:val="false"/>
          <w:caps w:val="false"/>
          <w:smallCaps w:val="false"/>
          <w:color w:val="000000"/>
          <w:spacing w:val="0"/>
          <w:sz w:val="20"/>
        </w:rPr>
        <w:t xml:space="preserve">crease </w:t>
      </w:r>
      <w:r>
        <w:rPr>
          <w:rFonts w:ascii="times new roman;times" w:hAnsi="times new roman;times"/>
          <w:b w:val="false"/>
          <w:i w:val="false"/>
          <w:caps w:val="false"/>
          <w:smallCaps w:val="false"/>
          <w:color w:val="000000"/>
          <w:spacing w:val="0"/>
          <w:sz w:val="20"/>
        </w:rPr>
        <w:t>in operating income (and operating margin) was primarily due to improved business performance compared to 2023.</w:t>
      </w:r>
    </w:p>
    <w:p>
      <w:pPr>
        <w:pStyle w:val="TextBody"/>
        <w:widowControl/>
        <w:bidi w:val="0"/>
        <w:spacing w:before="0" w:after="0"/>
        <w:ind w:left="0" w:right="0" w:hanging="0"/>
        <w:jc w:val="both"/>
        <w:rPr>
          <w:caps w:val="false"/>
          <w:smallCaps w:val="false"/>
          <w:color w:val="000000"/>
          <w:spacing w:val="0"/>
        </w:rPr>
      </w:pPr>
      <w:r>
        <w:rPr>
          <w:caps w:val="false"/>
          <w:smallCaps w:val="false"/>
          <w:color w:val="000000"/>
          <w:spacing w:val="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16" w:type="dxa"/>
        <w:jc w:val="left"/>
        <w:tblInd w:w="0" w:type="dxa"/>
        <w:tblLayout w:type="fixed"/>
        <w:tblCellMar>
          <w:top w:w="0" w:type="dxa"/>
          <w:left w:w="0" w:type="dxa"/>
          <w:bottom w:w="0" w:type="dxa"/>
          <w:right w:w="0" w:type="dxa"/>
        </w:tblCellMar>
      </w:tblPr>
      <w:tblGrid>
        <w:gridCol w:w="316"/>
      </w:tblGrid>
      <w:tr>
        <w:trPr/>
        <w:tc>
          <w:tcPr>
            <w:tcW w:w="31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30</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before="0" w:after="0"/>
        <w:jc w:val="left"/>
        <w:rPr>
          <w:sz w:val="20"/>
        </w:rPr>
      </w:pPr>
      <w:r>
        <w:rPr>
          <w:sz w:val="20"/>
        </w:rPr>
      </w:r>
    </w:p>
    <w:p>
      <w:pPr>
        <w:pStyle w:val="TextBody"/>
        <w:widowControl/>
        <w:bidi w:val="0"/>
        <w:spacing w:lineRule="atLeast" w:line="240" w:before="0" w:after="0"/>
        <w:ind w:left="0" w:right="0" w:hanging="0"/>
        <w:jc w:val="left"/>
        <w:rPr>
          <w:sz w:val="20"/>
        </w:rPr>
      </w:pPr>
      <w:r>
        <w:rPr>
          <w:sz w:val="20"/>
        </w:rPr>
      </w:r>
    </w:p>
    <w:p>
      <w:pPr>
        <w:pStyle w:val="TextBody"/>
        <w:widowControl/>
        <w:bidi w:val="0"/>
        <w:spacing w:lineRule="atLeast" w:line="240" w:before="0" w:after="0"/>
        <w:jc w:val="both"/>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EPAY SEGMENT</w:t>
      </w:r>
    </w:p>
    <w:p>
      <w:pPr>
        <w:pStyle w:val="TextBody"/>
        <w:widowControl/>
        <w:bidi w:val="0"/>
        <w:spacing w:lineRule="atLeast" w:line="240" w:before="0" w:after="0"/>
        <w:jc w:val="both"/>
        <w:rPr>
          <w:caps w:val="false"/>
          <w:smallCaps w:val="false"/>
          <w:color w:val="000000"/>
          <w:spacing w:val="0"/>
        </w:rPr>
      </w:pPr>
      <w:r>
        <w:rPr>
          <w:caps w:val="false"/>
          <w:smallCaps w:val="false"/>
          <w:color w:val="000000"/>
          <w:spacing w:val="0"/>
        </w:rPr>
        <w:t> </w:t>
      </w:r>
    </w:p>
    <w:p>
      <w:pPr>
        <w:pStyle w:val="TextBody"/>
        <w:widowControl/>
        <w:bidi w:val="0"/>
        <w:spacing w:lineRule="atLeast" w:line="240"/>
        <w:jc w:val="both"/>
        <w:rPr>
          <w:rFonts w:ascii="Times New Roman" w:hAnsi="Times New Roman"/>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following table presents the results of operations for the </w:t>
      </w:r>
      <w:r>
        <w:rPr>
          <w:rFonts w:ascii="times new roman;times" w:hAnsi="times new roman;times"/>
          <w:b w:val="false"/>
          <w:i w:val="false"/>
          <w:caps w:val="false"/>
          <w:smallCaps w:val="false"/>
          <w:color w:val="000000"/>
          <w:spacing w:val="0"/>
          <w:sz w:val="20"/>
        </w:rPr>
        <w:t>three and six</w:t>
      </w:r>
      <w:r>
        <w:rPr>
          <w:rFonts w:ascii="Times New Roman" w:hAnsi="Times New Roman"/>
          <w:b w:val="false"/>
          <w:i w:val="false"/>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months ended June 30, 2024</w:t>
      </w:r>
      <w:r>
        <w:rPr>
          <w:rFonts w:ascii="Times New Roman" w:hAnsi="Times New Roman"/>
          <w:b w:val="false"/>
          <w:i w:val="false"/>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and 2023</w:t>
      </w:r>
      <w:r>
        <w:rPr>
          <w:rFonts w:ascii="Times New Roman" w:hAnsi="Times New Roman"/>
          <w:b w:val="false"/>
          <w:i w:val="false"/>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for our epay Segment:</w:t>
      </w:r>
    </w:p>
    <w:p>
      <w:pPr>
        <w:pStyle w:val="TextBody"/>
        <w:bidi w:val="0"/>
        <w:spacing w:lineRule="auto" w:line="288" w:before="0" w:after="0"/>
        <w:ind w:left="0" w:right="0" w:hanging="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10205" w:type="dxa"/>
        <w:jc w:val="left"/>
        <w:tblInd w:w="0" w:type="dxa"/>
        <w:tblLayout w:type="fixed"/>
        <w:tblCellMar>
          <w:top w:w="0" w:type="dxa"/>
          <w:left w:w="0" w:type="dxa"/>
          <w:bottom w:w="0" w:type="dxa"/>
          <w:right w:w="0" w:type="dxa"/>
        </w:tblCellMar>
      </w:tblPr>
      <w:tblGrid>
        <w:gridCol w:w="1456"/>
        <w:gridCol w:w="60"/>
        <w:gridCol w:w="143"/>
        <w:gridCol w:w="557"/>
        <w:gridCol w:w="26"/>
        <w:gridCol w:w="68"/>
        <w:gridCol w:w="143"/>
        <w:gridCol w:w="557"/>
        <w:gridCol w:w="26"/>
        <w:gridCol w:w="60"/>
        <w:gridCol w:w="273"/>
        <w:gridCol w:w="644"/>
        <w:gridCol w:w="165"/>
        <w:gridCol w:w="76"/>
        <w:gridCol w:w="864"/>
        <w:gridCol w:w="705"/>
        <w:gridCol w:w="23"/>
        <w:gridCol w:w="23"/>
        <w:gridCol w:w="151"/>
        <w:gridCol w:w="605"/>
        <w:gridCol w:w="24"/>
        <w:gridCol w:w="24"/>
        <w:gridCol w:w="151"/>
        <w:gridCol w:w="605"/>
        <w:gridCol w:w="24"/>
        <w:gridCol w:w="23"/>
        <w:gridCol w:w="234"/>
        <w:gridCol w:w="707"/>
        <w:gridCol w:w="140"/>
        <w:gridCol w:w="24"/>
        <w:gridCol w:w="858"/>
        <w:gridCol w:w="711"/>
        <w:gridCol w:w="55"/>
      </w:tblGrid>
      <w:tr>
        <w:trPr/>
        <w:tc>
          <w:tcPr>
            <w:tcW w:w="1456"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520" w:type="dxa"/>
            <w:gridSpan w:val="7"/>
            <w:tcBorders/>
            <w:vAlign w:val="center"/>
          </w:tcPr>
          <w:p>
            <w:pPr>
              <w:pStyle w:val="TableContents"/>
              <w:bidi w:val="0"/>
              <w:spacing w:before="0" w:after="0"/>
              <w:jc w:val="center"/>
              <w:rPr>
                <w:rFonts w:ascii="times new roman;times" w:hAnsi="times new roman;times"/>
                <w:sz w:val="16"/>
              </w:rPr>
            </w:pPr>
            <w:r>
              <w:rPr>
                <w:rFonts w:ascii="times new roman;times" w:hAnsi="times new roman;times"/>
                <w:b/>
                <w:sz w:val="16"/>
              </w:rPr>
              <w:t>Three Months Ended</w:t>
            </w:r>
            <w:r>
              <w:rPr>
                <w:rFonts w:ascii="times new roman;times" w:hAnsi="times new roman;times"/>
                <w:sz w:val="16"/>
              </w:rPr>
              <w:t xml:space="preserve"> </w:t>
            </w:r>
            <w:r>
              <w:rPr>
                <w:rFonts w:ascii="times new roman;times" w:hAnsi="times new roman;times"/>
                <w:b/>
                <w:sz w:val="16"/>
              </w:rPr>
              <w:t>June 30,</w:t>
            </w:r>
          </w:p>
        </w:tc>
        <w:tc>
          <w:tcPr>
            <w:tcW w:w="60" w:type="dxa"/>
            <w:tcBorders/>
            <w:vAlign w:val="center"/>
          </w:tcPr>
          <w:p>
            <w:pPr>
              <w:pStyle w:val="TableContents"/>
              <w:bidi w:val="0"/>
              <w:spacing w:before="0" w:after="0"/>
              <w:jc w:val="left"/>
              <w:rPr/>
            </w:pPr>
            <w:r>
              <w:rPr/>
              <w:t> </w:t>
            </w:r>
          </w:p>
        </w:tc>
        <w:tc>
          <w:tcPr>
            <w:tcW w:w="2727" w:type="dxa"/>
            <w:gridSpan w:val="6"/>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Year-over-Year Change</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pPr>
            <w:r>
              <w:rPr/>
            </w:r>
          </w:p>
        </w:tc>
        <w:tc>
          <w:tcPr>
            <w:tcW w:w="1584" w:type="dxa"/>
            <w:gridSpan w:val="7"/>
            <w:tcBorders/>
            <w:vAlign w:val="center"/>
          </w:tcPr>
          <w:p>
            <w:pPr>
              <w:pStyle w:val="TableContents"/>
              <w:bidi w:val="0"/>
              <w:spacing w:before="0" w:after="283"/>
              <w:jc w:val="center"/>
              <w:rPr>
                <w:b/>
                <w:sz w:val="16"/>
              </w:rPr>
            </w:pPr>
            <w:r>
              <w:rPr>
                <w:b/>
                <w:sz w:val="16"/>
              </w:rPr>
              <w:t>Six Months Ended June 30,</w:t>
            </w:r>
          </w:p>
        </w:tc>
        <w:tc>
          <w:tcPr>
            <w:tcW w:w="23" w:type="dxa"/>
            <w:tcBorders/>
            <w:vAlign w:val="center"/>
          </w:tcPr>
          <w:p>
            <w:pPr>
              <w:pStyle w:val="TableContents"/>
              <w:bidi w:val="0"/>
              <w:spacing w:before="0" w:after="283"/>
              <w:jc w:val="left"/>
              <w:rPr/>
            </w:pPr>
            <w:r>
              <w:rPr/>
            </w:r>
          </w:p>
        </w:tc>
        <w:tc>
          <w:tcPr>
            <w:tcW w:w="2674" w:type="dxa"/>
            <w:gridSpan w:val="6"/>
            <w:tcBorders/>
            <w:vAlign w:val="center"/>
          </w:tcPr>
          <w:p>
            <w:pPr>
              <w:pStyle w:val="TableContents"/>
              <w:widowControl/>
              <w:bidi w:val="0"/>
              <w:spacing w:before="0" w:after="283"/>
              <w:ind w:left="0" w:right="0" w:hanging="0"/>
              <w:jc w:val="center"/>
              <w:rPr>
                <w:rFonts w:ascii="times new roman;times" w:hAnsi="times new roman;times"/>
                <w:b/>
                <w:color w:val="000000"/>
                <w:spacing w:val="0"/>
                <w:sz w:val="15"/>
              </w:rPr>
            </w:pPr>
            <w:r>
              <w:rPr>
                <w:rFonts w:ascii="times new roman;times" w:hAnsi="times new roman;times"/>
                <w:b/>
                <w:color w:val="000000"/>
                <w:spacing w:val="0"/>
                <w:sz w:val="15"/>
              </w:rPr>
              <w:t>Year-over-Year Change</w:t>
            </w:r>
          </w:p>
        </w:tc>
        <w:tc>
          <w:tcPr>
            <w:tcW w:w="55" w:type="dxa"/>
            <w:tcBorders/>
            <w:vAlign w:val="center"/>
          </w:tcPr>
          <w:p>
            <w:pPr>
              <w:pStyle w:val="TableContents"/>
              <w:bidi w:val="0"/>
              <w:spacing w:before="0" w:after="283"/>
              <w:jc w:val="left"/>
              <w:rPr/>
            </w:pPr>
            <w:r>
              <w:rPr/>
            </w:r>
          </w:p>
        </w:tc>
      </w:tr>
      <w:tr>
        <w:trPr/>
        <w:tc>
          <w:tcPr>
            <w:tcW w:w="1456" w:type="dxa"/>
            <w:tcBorders/>
            <w:vAlign w:val="center"/>
          </w:tcPr>
          <w:p>
            <w:pPr>
              <w:pStyle w:val="TableContents"/>
              <w:widowControl/>
              <w:bidi w:val="0"/>
              <w:spacing w:before="0" w:after="0"/>
              <w:ind w:left="0" w:right="0" w:hanging="0"/>
              <w:jc w:val="left"/>
              <w:rPr>
                <w:rFonts w:ascii="times new roman;times" w:hAnsi="times new roman;times"/>
                <w:sz w:val="16"/>
              </w:rPr>
            </w:pPr>
            <w:r>
              <w:rPr>
                <w:rFonts w:ascii="times new roman;times" w:hAnsi="times new roman;times"/>
                <w:sz w:val="16"/>
              </w:rPr>
              <w:t xml:space="preserve">(dollar amounts in </w:t>
            </w:r>
            <w:r>
              <w:rPr>
                <w:rFonts w:ascii="times new roman;times" w:hAnsi="times new roman;times"/>
                <w:b w:val="false"/>
                <w:color w:val="000000"/>
                <w:spacing w:val="0"/>
                <w:sz w:val="16"/>
              </w:rPr>
              <w:t>millions</w:t>
            </w:r>
            <w:r>
              <w:rPr>
                <w:rFonts w:ascii="times new roman;times" w:hAnsi="times new roman;times"/>
                <w:sz w:val="16"/>
              </w:rPr>
              <w:t>)</w:t>
            </w:r>
          </w:p>
        </w:tc>
        <w:tc>
          <w:tcPr>
            <w:tcW w:w="60" w:type="dxa"/>
            <w:tcBorders/>
            <w:vAlign w:val="center"/>
          </w:tcPr>
          <w:p>
            <w:pPr>
              <w:pStyle w:val="TableContents"/>
              <w:bidi w:val="0"/>
              <w:spacing w:before="0" w:after="0"/>
              <w:jc w:val="left"/>
              <w:rPr/>
            </w:pPr>
            <w:r>
              <w:rPr/>
              <w:t> </w:t>
            </w:r>
          </w:p>
        </w:tc>
        <w:tc>
          <w:tcPr>
            <w:tcW w:w="726" w:type="dxa"/>
            <w:gridSpan w:val="3"/>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2024</w:t>
            </w:r>
          </w:p>
        </w:tc>
        <w:tc>
          <w:tcPr>
            <w:tcW w:w="68" w:type="dxa"/>
            <w:tcBorders/>
            <w:vAlign w:val="center"/>
          </w:tcPr>
          <w:p>
            <w:pPr>
              <w:pStyle w:val="TableContents"/>
              <w:bidi w:val="0"/>
              <w:spacing w:before="0" w:after="0"/>
              <w:jc w:val="left"/>
              <w:rPr/>
            </w:pPr>
            <w:r>
              <w:rPr/>
              <w:t> </w:t>
            </w:r>
          </w:p>
        </w:tc>
        <w:tc>
          <w:tcPr>
            <w:tcW w:w="726" w:type="dxa"/>
            <w:gridSpan w:val="3"/>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2023</w:t>
            </w:r>
          </w:p>
        </w:tc>
        <w:tc>
          <w:tcPr>
            <w:tcW w:w="60" w:type="dxa"/>
            <w:tcBorders/>
            <w:vAlign w:val="center"/>
          </w:tcPr>
          <w:p>
            <w:pPr>
              <w:pStyle w:val="TableContents"/>
              <w:bidi w:val="0"/>
              <w:spacing w:before="0" w:after="0"/>
              <w:jc w:val="left"/>
              <w:rPr/>
            </w:pPr>
            <w:r>
              <w:rPr/>
              <w:t> </w:t>
            </w:r>
          </w:p>
        </w:tc>
        <w:tc>
          <w:tcPr>
            <w:tcW w:w="1082" w:type="dxa"/>
            <w:gridSpan w:val="3"/>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Increase (Decrease) Amount</w:t>
            </w:r>
          </w:p>
        </w:tc>
        <w:tc>
          <w:tcPr>
            <w:tcW w:w="76" w:type="dxa"/>
            <w:tcBorders/>
            <w:vAlign w:val="center"/>
          </w:tcPr>
          <w:p>
            <w:pPr>
              <w:pStyle w:val="TableContents"/>
              <w:bidi w:val="0"/>
              <w:spacing w:before="0" w:after="0"/>
              <w:jc w:val="left"/>
              <w:rPr/>
            </w:pPr>
            <w:r>
              <w:rPr/>
              <w:t> </w:t>
            </w:r>
          </w:p>
        </w:tc>
        <w:tc>
          <w:tcPr>
            <w:tcW w:w="1569" w:type="dxa"/>
            <w:gridSpan w:val="2"/>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Increase (Decrease) Percent</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pPr>
            <w:r>
              <w:rPr/>
            </w:r>
          </w:p>
        </w:tc>
        <w:tc>
          <w:tcPr>
            <w:tcW w:w="780" w:type="dxa"/>
            <w:gridSpan w:val="3"/>
            <w:tcBorders/>
            <w:vAlign w:val="center"/>
          </w:tcPr>
          <w:p>
            <w:pPr>
              <w:pStyle w:val="TableContents"/>
              <w:bidi w:val="0"/>
              <w:spacing w:before="0" w:after="283"/>
              <w:jc w:val="center"/>
              <w:rPr>
                <w:b/>
                <w:sz w:val="16"/>
              </w:rPr>
            </w:pPr>
            <w:r>
              <w:rPr>
                <w:b/>
                <w:sz w:val="16"/>
              </w:rPr>
              <w:t>2024</w:t>
            </w:r>
          </w:p>
        </w:tc>
        <w:tc>
          <w:tcPr>
            <w:tcW w:w="24" w:type="dxa"/>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center"/>
              <w:rPr>
                <w:b/>
                <w:sz w:val="16"/>
              </w:rPr>
            </w:pPr>
            <w:r>
              <w:rPr>
                <w:b/>
                <w:sz w:val="16"/>
              </w:rPr>
              <w:t>2023</w:t>
            </w:r>
          </w:p>
        </w:tc>
        <w:tc>
          <w:tcPr>
            <w:tcW w:w="23" w:type="dxa"/>
            <w:tcBorders/>
            <w:vAlign w:val="center"/>
          </w:tcPr>
          <w:p>
            <w:pPr>
              <w:pStyle w:val="TableContents"/>
              <w:bidi w:val="0"/>
              <w:spacing w:before="0" w:after="283"/>
              <w:jc w:val="left"/>
              <w:rPr/>
            </w:pPr>
            <w:r>
              <w:rPr/>
            </w:r>
          </w:p>
        </w:tc>
        <w:tc>
          <w:tcPr>
            <w:tcW w:w="1081" w:type="dxa"/>
            <w:gridSpan w:val="3"/>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Increase (Decrease) Amount</w:t>
            </w:r>
          </w:p>
        </w:tc>
        <w:tc>
          <w:tcPr>
            <w:tcW w:w="24" w:type="dxa"/>
            <w:tcBorders/>
            <w:vAlign w:val="center"/>
          </w:tcPr>
          <w:p>
            <w:pPr>
              <w:pStyle w:val="TableContents"/>
              <w:bidi w:val="0"/>
              <w:spacing w:before="0" w:after="283"/>
              <w:jc w:val="left"/>
              <w:rPr/>
            </w:pPr>
            <w:r>
              <w:rPr/>
            </w:r>
          </w:p>
        </w:tc>
        <w:tc>
          <w:tcPr>
            <w:tcW w:w="1569" w:type="dxa"/>
            <w:gridSpan w:val="2"/>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Increase (Decrease) Percent</w:t>
            </w:r>
          </w:p>
        </w:tc>
        <w:tc>
          <w:tcPr>
            <w:tcW w:w="55" w:type="dxa"/>
            <w:tcBorders/>
            <w:vAlign w:val="center"/>
          </w:tcPr>
          <w:p>
            <w:pPr>
              <w:pStyle w:val="TableContents"/>
              <w:bidi w:val="0"/>
              <w:spacing w:before="0" w:after="283"/>
              <w:jc w:val="left"/>
              <w:rPr/>
            </w:pPr>
            <w:r>
              <w:rPr/>
            </w:r>
          </w:p>
        </w:tc>
      </w:tr>
      <w:tr>
        <w:trPr/>
        <w:tc>
          <w:tcPr>
            <w:tcW w:w="1456"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Total revenues</w:t>
            </w:r>
          </w:p>
        </w:tc>
        <w:tc>
          <w:tcPr>
            <w:tcW w:w="60" w:type="dxa"/>
            <w:tcBorders/>
            <w:shd w:fill="CCEEFF" w:val="clear"/>
            <w:vAlign w:val="center"/>
          </w:tcPr>
          <w:p>
            <w:pPr>
              <w:pStyle w:val="TableContents"/>
              <w:bidi w:val="0"/>
              <w:spacing w:before="0" w:after="0"/>
              <w:jc w:val="left"/>
              <w:rPr/>
            </w:pPr>
            <w:r>
              <w:rPr/>
              <w:t> </w:t>
            </w:r>
          </w:p>
        </w:tc>
        <w:tc>
          <w:tcPr>
            <w:tcW w:w="143"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557"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260.9</w:t>
            </w:r>
          </w:p>
        </w:tc>
        <w:tc>
          <w:tcPr>
            <w:tcW w:w="26" w:type="dxa"/>
            <w:tcBorders/>
            <w:shd w:fill="CCEEFF" w:val="clear"/>
            <w:vAlign w:val="center"/>
          </w:tcPr>
          <w:p>
            <w:pPr>
              <w:pStyle w:val="TableContents"/>
              <w:bidi w:val="0"/>
              <w:spacing w:before="0" w:after="283"/>
              <w:jc w:val="left"/>
              <w:rPr>
                <w:sz w:val="4"/>
                <w:szCs w:val="4"/>
              </w:rPr>
            </w:pPr>
            <w:r>
              <w:rPr>
                <w:sz w:val="4"/>
                <w:szCs w:val="4"/>
              </w:rPr>
            </w:r>
          </w:p>
        </w:tc>
        <w:tc>
          <w:tcPr>
            <w:tcW w:w="68" w:type="dxa"/>
            <w:tcBorders/>
            <w:shd w:fill="CCEEFF" w:val="clear"/>
            <w:vAlign w:val="center"/>
          </w:tcPr>
          <w:p>
            <w:pPr>
              <w:pStyle w:val="TableContents"/>
              <w:bidi w:val="0"/>
              <w:spacing w:before="0" w:after="0"/>
              <w:jc w:val="left"/>
              <w:rPr/>
            </w:pPr>
            <w:r>
              <w:rPr/>
              <w:t> </w:t>
            </w:r>
          </w:p>
        </w:tc>
        <w:tc>
          <w:tcPr>
            <w:tcW w:w="143"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557"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263.8</w:t>
            </w:r>
          </w:p>
        </w:tc>
        <w:tc>
          <w:tcPr>
            <w:tcW w:w="2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273"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644"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(2.9</w:t>
            </w:r>
          </w:p>
        </w:tc>
        <w:tc>
          <w:tcPr>
            <w:tcW w:w="165" w:type="dxa"/>
            <w:tcBorders/>
            <w:shd w:fill="CCEEFF" w:val="clear"/>
            <w:vAlign w:val="center"/>
          </w:tcPr>
          <w:p>
            <w:pPr>
              <w:pStyle w:val="TableContents"/>
              <w:bidi w:val="0"/>
              <w:spacing w:before="0" w:after="283"/>
              <w:jc w:val="left"/>
              <w:rPr/>
            </w:pPr>
            <w:r>
              <w:rPr/>
              <w:t>)</w:t>
            </w:r>
          </w:p>
        </w:tc>
        <w:tc>
          <w:tcPr>
            <w:tcW w:w="76" w:type="dxa"/>
            <w:tcBorders/>
            <w:shd w:fill="CCEEFF" w:val="clear"/>
            <w:vAlign w:val="center"/>
          </w:tcPr>
          <w:p>
            <w:pPr>
              <w:pStyle w:val="TableContents"/>
              <w:bidi w:val="0"/>
              <w:spacing w:before="0" w:after="0"/>
              <w:jc w:val="left"/>
              <w:rPr/>
            </w:pPr>
            <w:r>
              <w:rPr/>
              <w:t> </w:t>
            </w:r>
          </w:p>
        </w:tc>
        <w:tc>
          <w:tcPr>
            <w:tcW w:w="864"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w:t>
            </w:r>
          </w:p>
        </w:tc>
        <w:tc>
          <w:tcPr>
            <w:tcW w:w="705"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pPr>
            <w:r>
              <w:rPr/>
            </w:r>
          </w:p>
        </w:tc>
        <w:tc>
          <w:tcPr>
            <w:tcW w:w="151" w:type="dxa"/>
            <w:tcBorders/>
            <w:shd w:fill="CCEEFF" w:val="clear"/>
            <w:vAlign w:val="center"/>
          </w:tcPr>
          <w:p>
            <w:pPr>
              <w:pStyle w:val="TableContents"/>
              <w:bidi w:val="0"/>
              <w:spacing w:before="0" w:after="283"/>
              <w:jc w:val="left"/>
              <w:rPr/>
            </w:pPr>
            <w:r>
              <w:rPr/>
              <w:t>$</w:t>
            </w:r>
          </w:p>
        </w:tc>
        <w:tc>
          <w:tcPr>
            <w:tcW w:w="605" w:type="dxa"/>
            <w:tcBorders/>
            <w:shd w:fill="CCEEFF" w:val="clear"/>
            <w:vAlign w:val="center"/>
          </w:tcPr>
          <w:p>
            <w:pPr>
              <w:pStyle w:val="TableContents"/>
              <w:bidi w:val="0"/>
              <w:spacing w:before="0" w:after="283"/>
              <w:jc w:val="right"/>
              <w:rPr/>
            </w:pPr>
            <w:r>
              <w:rPr/>
              <w:t>518.0</w:t>
            </w:r>
          </w:p>
        </w:tc>
        <w:tc>
          <w:tcPr>
            <w:tcW w:w="24" w:type="dxa"/>
            <w:tcBorders/>
            <w:shd w:fill="CCEEFF" w:val="clear"/>
            <w:vAlign w:val="center"/>
          </w:tcPr>
          <w:p>
            <w:pPr>
              <w:pStyle w:val="TableContents"/>
              <w:bidi w:val="0"/>
              <w:spacing w:before="0" w:after="283"/>
              <w:jc w:val="left"/>
              <w:rPr/>
            </w:pPr>
            <w:r>
              <w:rPr/>
            </w:r>
          </w:p>
        </w:tc>
        <w:tc>
          <w:tcPr>
            <w:tcW w:w="24" w:type="dxa"/>
            <w:tcBorders/>
            <w:shd w:fill="CCEEFF" w:val="clear"/>
            <w:vAlign w:val="center"/>
          </w:tcPr>
          <w:p>
            <w:pPr>
              <w:pStyle w:val="TableContents"/>
              <w:bidi w:val="0"/>
              <w:spacing w:before="0" w:after="283"/>
              <w:jc w:val="left"/>
              <w:rPr/>
            </w:pPr>
            <w:r>
              <w:rPr/>
            </w:r>
          </w:p>
        </w:tc>
        <w:tc>
          <w:tcPr>
            <w:tcW w:w="151" w:type="dxa"/>
            <w:tcBorders/>
            <w:shd w:fill="CCEEFF" w:val="clear"/>
            <w:vAlign w:val="center"/>
          </w:tcPr>
          <w:p>
            <w:pPr>
              <w:pStyle w:val="TableContents"/>
              <w:bidi w:val="0"/>
              <w:spacing w:before="0" w:after="283"/>
              <w:jc w:val="left"/>
              <w:rPr/>
            </w:pPr>
            <w:r>
              <w:rPr/>
              <w:t>$</w:t>
            </w:r>
          </w:p>
        </w:tc>
        <w:tc>
          <w:tcPr>
            <w:tcW w:w="605" w:type="dxa"/>
            <w:tcBorders/>
            <w:shd w:fill="CCEEFF" w:val="clear"/>
            <w:vAlign w:val="center"/>
          </w:tcPr>
          <w:p>
            <w:pPr>
              <w:pStyle w:val="TableContents"/>
              <w:bidi w:val="0"/>
              <w:spacing w:before="0" w:after="283"/>
              <w:jc w:val="right"/>
              <w:rPr/>
            </w:pPr>
            <w:r>
              <w:rPr/>
              <w:t>501.2</w:t>
            </w:r>
          </w:p>
        </w:tc>
        <w:tc>
          <w:tcPr>
            <w:tcW w:w="24"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234" w:type="dxa"/>
            <w:tcBorders/>
            <w:shd w:fill="CCEEFF" w:val="clear"/>
            <w:vAlign w:val="center"/>
          </w:tcPr>
          <w:p>
            <w:pPr>
              <w:pStyle w:val="TableContents"/>
              <w:bidi w:val="0"/>
              <w:spacing w:before="0" w:after="283"/>
              <w:jc w:val="left"/>
              <w:rPr/>
            </w:pPr>
            <w:r>
              <w:rPr/>
              <w:t>$</w:t>
            </w:r>
          </w:p>
        </w:tc>
        <w:tc>
          <w:tcPr>
            <w:tcW w:w="707" w:type="dxa"/>
            <w:tcBorders/>
            <w:shd w:fill="CCEEFF" w:val="clear"/>
            <w:vAlign w:val="center"/>
          </w:tcPr>
          <w:p>
            <w:pPr>
              <w:pStyle w:val="TableContents"/>
              <w:bidi w:val="0"/>
              <w:spacing w:before="0" w:after="283"/>
              <w:jc w:val="right"/>
              <w:rPr/>
            </w:pPr>
            <w:r>
              <w:rPr/>
              <w:t>16.8</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24" w:type="dxa"/>
            <w:tcBorders/>
            <w:shd w:fill="CCEEFF" w:val="clear"/>
            <w:vAlign w:val="center"/>
          </w:tcPr>
          <w:p>
            <w:pPr>
              <w:pStyle w:val="TableContents"/>
              <w:bidi w:val="0"/>
              <w:spacing w:before="0" w:after="283"/>
              <w:jc w:val="left"/>
              <w:rPr/>
            </w:pPr>
            <w:r>
              <w:rPr/>
            </w:r>
          </w:p>
        </w:tc>
        <w:tc>
          <w:tcPr>
            <w:tcW w:w="858" w:type="dxa"/>
            <w:tcBorders/>
            <w:shd w:fill="CCEEFF" w:val="clear"/>
            <w:vAlign w:val="center"/>
          </w:tcPr>
          <w:p>
            <w:pPr>
              <w:pStyle w:val="TableContents"/>
              <w:bidi w:val="0"/>
              <w:spacing w:before="0" w:after="283"/>
              <w:jc w:val="right"/>
              <w:rPr/>
            </w:pPr>
            <w:r>
              <w:rPr/>
              <w:t>3</w:t>
            </w:r>
          </w:p>
        </w:tc>
        <w:tc>
          <w:tcPr>
            <w:tcW w:w="711" w:type="dxa"/>
            <w:tcBorders/>
            <w:shd w:fill="CCEEFF" w:val="clear"/>
            <w:vAlign w:val="center"/>
          </w:tcPr>
          <w:p>
            <w:pPr>
              <w:pStyle w:val="TableContents"/>
              <w:bidi w:val="0"/>
              <w:spacing w:before="0" w:after="283"/>
              <w:jc w:val="left"/>
              <w:rPr/>
            </w:pPr>
            <w:r>
              <w:rPr/>
              <w:t>%</w:t>
            </w:r>
          </w:p>
        </w:tc>
        <w:tc>
          <w:tcPr>
            <w:tcW w:w="55" w:type="dxa"/>
            <w:tcBorders/>
            <w:shd w:fill="CCEEFF" w:val="clear"/>
            <w:vAlign w:val="center"/>
          </w:tcPr>
          <w:p>
            <w:pPr>
              <w:pStyle w:val="TableContents"/>
              <w:bidi w:val="0"/>
              <w:spacing w:before="0" w:after="283"/>
              <w:jc w:val="left"/>
              <w:rPr/>
            </w:pPr>
            <w:r>
              <w:rPr/>
            </w:r>
          </w:p>
        </w:tc>
      </w:tr>
      <w:tr>
        <w:trPr/>
        <w:tc>
          <w:tcPr>
            <w:tcW w:w="1456"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Operating expenses:</w:t>
            </w:r>
          </w:p>
        </w:tc>
        <w:tc>
          <w:tcPr>
            <w:tcW w:w="60" w:type="dxa"/>
            <w:tcBorders/>
            <w:vAlign w:val="center"/>
          </w:tcPr>
          <w:p>
            <w:pPr>
              <w:pStyle w:val="TableContents"/>
              <w:bidi w:val="0"/>
              <w:spacing w:before="0" w:after="0"/>
              <w:jc w:val="left"/>
              <w:rPr/>
            </w:pPr>
            <w:r>
              <w:rPr/>
              <w:t> </w:t>
            </w:r>
          </w:p>
        </w:tc>
        <w:tc>
          <w:tcPr>
            <w:tcW w:w="726" w:type="dxa"/>
            <w:gridSpan w:val="3"/>
            <w:tcBorders/>
            <w:vAlign w:val="center"/>
          </w:tcPr>
          <w:p>
            <w:pPr>
              <w:pStyle w:val="TableContents"/>
              <w:bidi w:val="0"/>
              <w:spacing w:before="0" w:after="0"/>
              <w:jc w:val="left"/>
              <w:rPr/>
            </w:pPr>
            <w:r>
              <w:rPr/>
              <w:t> </w:t>
            </w:r>
          </w:p>
        </w:tc>
        <w:tc>
          <w:tcPr>
            <w:tcW w:w="68" w:type="dxa"/>
            <w:tcBorders/>
            <w:vAlign w:val="center"/>
          </w:tcPr>
          <w:p>
            <w:pPr>
              <w:pStyle w:val="TableContents"/>
              <w:bidi w:val="0"/>
              <w:spacing w:before="0" w:after="0"/>
              <w:jc w:val="left"/>
              <w:rPr/>
            </w:pPr>
            <w:r>
              <w:rPr/>
              <w:t> </w:t>
            </w:r>
          </w:p>
        </w:tc>
        <w:tc>
          <w:tcPr>
            <w:tcW w:w="726" w:type="dxa"/>
            <w:gridSpan w:val="3"/>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082" w:type="dxa"/>
            <w:gridSpan w:val="3"/>
            <w:tcBorders/>
            <w:vAlign w:val="center"/>
          </w:tcPr>
          <w:p>
            <w:pPr>
              <w:pStyle w:val="TableContents"/>
              <w:bidi w:val="0"/>
              <w:spacing w:before="0" w:after="0"/>
              <w:jc w:val="left"/>
              <w:rPr/>
            </w:pPr>
            <w:r>
              <w:rPr/>
              <w:t> </w:t>
            </w:r>
          </w:p>
        </w:tc>
        <w:tc>
          <w:tcPr>
            <w:tcW w:w="76" w:type="dxa"/>
            <w:tcBorders/>
            <w:vAlign w:val="center"/>
          </w:tcPr>
          <w:p>
            <w:pPr>
              <w:pStyle w:val="TableContents"/>
              <w:bidi w:val="0"/>
              <w:spacing w:before="0" w:after="0"/>
              <w:jc w:val="left"/>
              <w:rPr/>
            </w:pPr>
            <w:r>
              <w:rPr/>
              <w:t> </w:t>
            </w:r>
          </w:p>
        </w:tc>
        <w:tc>
          <w:tcPr>
            <w:tcW w:w="1569" w:type="dxa"/>
            <w:gridSpan w:val="2"/>
            <w:tcBorders/>
            <w:vAlign w:val="center"/>
          </w:tcPr>
          <w:p>
            <w:pPr>
              <w:pStyle w:val="TableContents"/>
              <w:bidi w:val="0"/>
              <w:spacing w:before="0" w:after="0"/>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pPr>
            <w:r>
              <w:rPr/>
            </w:r>
          </w:p>
        </w:tc>
        <w:tc>
          <w:tcPr>
            <w:tcW w:w="151" w:type="dxa"/>
            <w:tcBorders/>
            <w:vAlign w:val="center"/>
          </w:tcPr>
          <w:p>
            <w:pPr>
              <w:pStyle w:val="TableContents"/>
              <w:bidi w:val="0"/>
              <w:spacing w:before="0" w:after="283"/>
              <w:jc w:val="left"/>
              <w:rPr/>
            </w:pPr>
            <w:r>
              <w:rPr/>
            </w:r>
          </w:p>
        </w:tc>
        <w:tc>
          <w:tcPr>
            <w:tcW w:w="605" w:type="dxa"/>
            <w:tcBorders/>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pPr>
            <w:r>
              <w:rPr/>
            </w:r>
          </w:p>
        </w:tc>
        <w:tc>
          <w:tcPr>
            <w:tcW w:w="24" w:type="dxa"/>
            <w:tcBorders/>
            <w:vAlign w:val="center"/>
          </w:tcPr>
          <w:p>
            <w:pPr>
              <w:pStyle w:val="TableContents"/>
              <w:bidi w:val="0"/>
              <w:spacing w:before="0" w:after="283"/>
              <w:jc w:val="left"/>
              <w:rPr/>
            </w:pPr>
            <w:r>
              <w:rPr/>
            </w:r>
          </w:p>
        </w:tc>
        <w:tc>
          <w:tcPr>
            <w:tcW w:w="151" w:type="dxa"/>
            <w:tcBorders/>
            <w:vAlign w:val="center"/>
          </w:tcPr>
          <w:p>
            <w:pPr>
              <w:pStyle w:val="TableContents"/>
              <w:bidi w:val="0"/>
              <w:spacing w:before="0" w:after="283"/>
              <w:jc w:val="left"/>
              <w:rPr/>
            </w:pPr>
            <w:r>
              <w:rPr/>
            </w:r>
          </w:p>
        </w:tc>
        <w:tc>
          <w:tcPr>
            <w:tcW w:w="605" w:type="dxa"/>
            <w:tcBorders/>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34" w:type="dxa"/>
            <w:tcBorders/>
            <w:vAlign w:val="center"/>
          </w:tcPr>
          <w:p>
            <w:pPr>
              <w:pStyle w:val="TableContents"/>
              <w:bidi w:val="0"/>
              <w:spacing w:before="0" w:after="283"/>
              <w:jc w:val="left"/>
              <w:rPr/>
            </w:pPr>
            <w:r>
              <w:rPr/>
            </w:r>
          </w:p>
        </w:tc>
        <w:tc>
          <w:tcPr>
            <w:tcW w:w="70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r>
          </w:p>
        </w:tc>
        <w:tc>
          <w:tcPr>
            <w:tcW w:w="24" w:type="dxa"/>
            <w:tcBorders/>
            <w:vAlign w:val="center"/>
          </w:tcPr>
          <w:p>
            <w:pPr>
              <w:pStyle w:val="TableContents"/>
              <w:bidi w:val="0"/>
              <w:spacing w:before="0" w:after="283"/>
              <w:jc w:val="left"/>
              <w:rPr/>
            </w:pPr>
            <w:r>
              <w:rPr/>
            </w:r>
          </w:p>
        </w:tc>
        <w:tc>
          <w:tcPr>
            <w:tcW w:w="858"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pPr>
            <w:r>
              <w:rPr/>
            </w:r>
          </w:p>
        </w:tc>
        <w:tc>
          <w:tcPr>
            <w:tcW w:w="55" w:type="dxa"/>
            <w:tcBorders/>
            <w:vAlign w:val="center"/>
          </w:tcPr>
          <w:p>
            <w:pPr>
              <w:pStyle w:val="TableContents"/>
              <w:bidi w:val="0"/>
              <w:spacing w:before="0" w:after="283"/>
              <w:jc w:val="left"/>
              <w:rPr/>
            </w:pPr>
            <w:r>
              <w:rPr/>
            </w:r>
          </w:p>
        </w:tc>
      </w:tr>
      <w:tr>
        <w:trPr/>
        <w:tc>
          <w:tcPr>
            <w:tcW w:w="1456"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Direct operating costs</w:t>
            </w:r>
          </w:p>
        </w:tc>
        <w:tc>
          <w:tcPr>
            <w:tcW w:w="60" w:type="dxa"/>
            <w:tcBorders/>
            <w:shd w:fill="CCEEFF" w:val="clear"/>
            <w:vAlign w:val="center"/>
          </w:tcPr>
          <w:p>
            <w:pPr>
              <w:pStyle w:val="TableContents"/>
              <w:bidi w:val="0"/>
              <w:spacing w:before="0" w:after="0"/>
              <w:jc w:val="left"/>
              <w:rPr/>
            </w:pPr>
            <w:r>
              <w:rPr/>
              <w:t> </w:t>
            </w:r>
          </w:p>
        </w:tc>
        <w:tc>
          <w:tcPr>
            <w:tcW w:w="700"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198.5</w:t>
            </w:r>
          </w:p>
        </w:tc>
        <w:tc>
          <w:tcPr>
            <w:tcW w:w="26" w:type="dxa"/>
            <w:tcBorders/>
            <w:shd w:fill="CCEEFF" w:val="clear"/>
            <w:vAlign w:val="center"/>
          </w:tcPr>
          <w:p>
            <w:pPr>
              <w:pStyle w:val="TableContents"/>
              <w:bidi w:val="0"/>
              <w:spacing w:before="0" w:after="283"/>
              <w:jc w:val="left"/>
              <w:rPr>
                <w:sz w:val="4"/>
                <w:szCs w:val="4"/>
              </w:rPr>
            </w:pPr>
            <w:r>
              <w:rPr>
                <w:sz w:val="4"/>
                <w:szCs w:val="4"/>
              </w:rPr>
            </w:r>
          </w:p>
        </w:tc>
        <w:tc>
          <w:tcPr>
            <w:tcW w:w="68" w:type="dxa"/>
            <w:tcBorders/>
            <w:shd w:fill="CCEEFF" w:val="clear"/>
            <w:vAlign w:val="center"/>
          </w:tcPr>
          <w:p>
            <w:pPr>
              <w:pStyle w:val="TableContents"/>
              <w:bidi w:val="0"/>
              <w:spacing w:before="0" w:after="0"/>
              <w:jc w:val="left"/>
              <w:rPr/>
            </w:pPr>
            <w:r>
              <w:rPr/>
              <w:t> </w:t>
            </w:r>
          </w:p>
        </w:tc>
        <w:tc>
          <w:tcPr>
            <w:tcW w:w="700"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204.2</w:t>
            </w:r>
          </w:p>
        </w:tc>
        <w:tc>
          <w:tcPr>
            <w:tcW w:w="2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917"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(5.7</w:t>
            </w:r>
          </w:p>
        </w:tc>
        <w:tc>
          <w:tcPr>
            <w:tcW w:w="165" w:type="dxa"/>
            <w:tcBorders/>
            <w:shd w:fill="CCEEFF" w:val="clear"/>
            <w:vAlign w:val="center"/>
          </w:tcPr>
          <w:p>
            <w:pPr>
              <w:pStyle w:val="TableContents"/>
              <w:bidi w:val="0"/>
              <w:spacing w:before="0" w:after="283"/>
              <w:jc w:val="left"/>
              <w:rPr/>
            </w:pPr>
            <w:r>
              <w:rPr/>
              <w:t>)</w:t>
            </w:r>
          </w:p>
        </w:tc>
        <w:tc>
          <w:tcPr>
            <w:tcW w:w="76" w:type="dxa"/>
            <w:tcBorders/>
            <w:shd w:fill="CCEEFF" w:val="clear"/>
            <w:vAlign w:val="center"/>
          </w:tcPr>
          <w:p>
            <w:pPr>
              <w:pStyle w:val="TableContents"/>
              <w:bidi w:val="0"/>
              <w:spacing w:before="0" w:after="0"/>
              <w:jc w:val="left"/>
              <w:rPr/>
            </w:pPr>
            <w:r>
              <w:rPr/>
              <w:t> </w:t>
            </w:r>
          </w:p>
        </w:tc>
        <w:tc>
          <w:tcPr>
            <w:tcW w:w="864"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(3)</w:t>
            </w:r>
          </w:p>
        </w:tc>
        <w:tc>
          <w:tcPr>
            <w:tcW w:w="705"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pPr>
            <w:r>
              <w:rPr/>
            </w:r>
          </w:p>
        </w:tc>
        <w:tc>
          <w:tcPr>
            <w:tcW w:w="151" w:type="dxa"/>
            <w:tcBorders/>
            <w:shd w:fill="CCEEFF" w:val="clear"/>
            <w:vAlign w:val="center"/>
          </w:tcPr>
          <w:p>
            <w:pPr>
              <w:pStyle w:val="TableContents"/>
              <w:bidi w:val="0"/>
              <w:spacing w:before="0" w:after="283"/>
              <w:jc w:val="left"/>
              <w:rPr/>
            </w:pPr>
            <w:r>
              <w:rPr/>
            </w:r>
          </w:p>
        </w:tc>
        <w:tc>
          <w:tcPr>
            <w:tcW w:w="605" w:type="dxa"/>
            <w:tcBorders/>
            <w:shd w:fill="CCEEFF" w:val="clear"/>
            <w:vAlign w:val="center"/>
          </w:tcPr>
          <w:p>
            <w:pPr>
              <w:pStyle w:val="TableContents"/>
              <w:bidi w:val="0"/>
              <w:spacing w:before="0" w:after="283"/>
              <w:jc w:val="right"/>
              <w:rPr/>
            </w:pPr>
            <w:r>
              <w:rPr/>
              <w:t>393.6</w:t>
            </w:r>
          </w:p>
        </w:tc>
        <w:tc>
          <w:tcPr>
            <w:tcW w:w="24" w:type="dxa"/>
            <w:tcBorders/>
            <w:shd w:fill="CCEEFF" w:val="clear"/>
            <w:vAlign w:val="center"/>
          </w:tcPr>
          <w:p>
            <w:pPr>
              <w:pStyle w:val="TableContents"/>
              <w:bidi w:val="0"/>
              <w:spacing w:before="0" w:after="283"/>
              <w:jc w:val="left"/>
              <w:rPr/>
            </w:pPr>
            <w:r>
              <w:rPr/>
            </w:r>
          </w:p>
        </w:tc>
        <w:tc>
          <w:tcPr>
            <w:tcW w:w="24" w:type="dxa"/>
            <w:tcBorders/>
            <w:shd w:fill="CCEEFF" w:val="clear"/>
            <w:vAlign w:val="center"/>
          </w:tcPr>
          <w:p>
            <w:pPr>
              <w:pStyle w:val="TableContents"/>
              <w:bidi w:val="0"/>
              <w:spacing w:before="0" w:after="283"/>
              <w:jc w:val="left"/>
              <w:rPr/>
            </w:pPr>
            <w:r>
              <w:rPr/>
            </w:r>
          </w:p>
        </w:tc>
        <w:tc>
          <w:tcPr>
            <w:tcW w:w="151" w:type="dxa"/>
            <w:tcBorders/>
            <w:shd w:fill="CCEEFF" w:val="clear"/>
            <w:vAlign w:val="center"/>
          </w:tcPr>
          <w:p>
            <w:pPr>
              <w:pStyle w:val="TableContents"/>
              <w:bidi w:val="0"/>
              <w:spacing w:before="0" w:after="283"/>
              <w:jc w:val="left"/>
              <w:rPr/>
            </w:pPr>
            <w:r>
              <w:rPr/>
            </w:r>
          </w:p>
        </w:tc>
        <w:tc>
          <w:tcPr>
            <w:tcW w:w="605" w:type="dxa"/>
            <w:tcBorders/>
            <w:shd w:fill="CCEEFF" w:val="clear"/>
            <w:vAlign w:val="center"/>
          </w:tcPr>
          <w:p>
            <w:pPr>
              <w:pStyle w:val="TableContents"/>
              <w:bidi w:val="0"/>
              <w:spacing w:before="0" w:after="283"/>
              <w:jc w:val="right"/>
              <w:rPr/>
            </w:pPr>
            <w:r>
              <w:rPr/>
              <w:t>382.3</w:t>
            </w:r>
          </w:p>
        </w:tc>
        <w:tc>
          <w:tcPr>
            <w:tcW w:w="24"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234" w:type="dxa"/>
            <w:tcBorders/>
            <w:shd w:fill="CCEEFF" w:val="clear"/>
            <w:vAlign w:val="center"/>
          </w:tcPr>
          <w:p>
            <w:pPr>
              <w:pStyle w:val="TableContents"/>
              <w:bidi w:val="0"/>
              <w:spacing w:before="0" w:after="283"/>
              <w:jc w:val="left"/>
              <w:rPr/>
            </w:pPr>
            <w:r>
              <w:rPr/>
            </w:r>
          </w:p>
        </w:tc>
        <w:tc>
          <w:tcPr>
            <w:tcW w:w="707" w:type="dxa"/>
            <w:tcBorders/>
            <w:shd w:fill="CCEEFF" w:val="clear"/>
            <w:vAlign w:val="center"/>
          </w:tcPr>
          <w:p>
            <w:pPr>
              <w:pStyle w:val="TableContents"/>
              <w:bidi w:val="0"/>
              <w:spacing w:before="0" w:after="283"/>
              <w:jc w:val="right"/>
              <w:rPr/>
            </w:pPr>
            <w:r>
              <w:rPr/>
              <w:t>11.3</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24" w:type="dxa"/>
            <w:tcBorders/>
            <w:shd w:fill="CCEEFF" w:val="clear"/>
            <w:vAlign w:val="center"/>
          </w:tcPr>
          <w:p>
            <w:pPr>
              <w:pStyle w:val="TableContents"/>
              <w:bidi w:val="0"/>
              <w:spacing w:before="0" w:after="283"/>
              <w:jc w:val="left"/>
              <w:rPr/>
            </w:pPr>
            <w:r>
              <w:rPr/>
            </w:r>
          </w:p>
        </w:tc>
        <w:tc>
          <w:tcPr>
            <w:tcW w:w="858" w:type="dxa"/>
            <w:tcBorders/>
            <w:shd w:fill="CCEEFF" w:val="clear"/>
            <w:vAlign w:val="center"/>
          </w:tcPr>
          <w:p>
            <w:pPr>
              <w:pStyle w:val="TableContents"/>
              <w:bidi w:val="0"/>
              <w:spacing w:before="0" w:after="283"/>
              <w:jc w:val="right"/>
              <w:rPr/>
            </w:pPr>
            <w:r>
              <w:rPr/>
              <w:t>3</w:t>
            </w:r>
          </w:p>
        </w:tc>
        <w:tc>
          <w:tcPr>
            <w:tcW w:w="711" w:type="dxa"/>
            <w:tcBorders/>
            <w:shd w:fill="CCEEFF" w:val="clear"/>
            <w:vAlign w:val="center"/>
          </w:tcPr>
          <w:p>
            <w:pPr>
              <w:pStyle w:val="TableContents"/>
              <w:bidi w:val="0"/>
              <w:spacing w:before="0" w:after="283"/>
              <w:jc w:val="left"/>
              <w:rPr/>
            </w:pPr>
            <w:r>
              <w:rPr/>
              <w:t>%</w:t>
            </w:r>
          </w:p>
        </w:tc>
        <w:tc>
          <w:tcPr>
            <w:tcW w:w="55" w:type="dxa"/>
            <w:tcBorders/>
            <w:shd w:fill="CCEEFF" w:val="clear"/>
            <w:vAlign w:val="center"/>
          </w:tcPr>
          <w:p>
            <w:pPr>
              <w:pStyle w:val="TableContents"/>
              <w:bidi w:val="0"/>
              <w:spacing w:before="0" w:after="283"/>
              <w:jc w:val="left"/>
              <w:rPr/>
            </w:pPr>
            <w:r>
              <w:rPr/>
            </w:r>
          </w:p>
        </w:tc>
      </w:tr>
      <w:tr>
        <w:trPr/>
        <w:tc>
          <w:tcPr>
            <w:tcW w:w="1456"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Salaries and benefits</w:t>
            </w:r>
          </w:p>
        </w:tc>
        <w:tc>
          <w:tcPr>
            <w:tcW w:w="60" w:type="dxa"/>
            <w:tcBorders/>
            <w:vAlign w:val="center"/>
          </w:tcPr>
          <w:p>
            <w:pPr>
              <w:pStyle w:val="TableContents"/>
              <w:bidi w:val="0"/>
              <w:spacing w:before="0" w:after="0"/>
              <w:jc w:val="left"/>
              <w:rPr/>
            </w:pPr>
            <w:r>
              <w:rPr/>
              <w:t> </w:t>
            </w:r>
          </w:p>
        </w:tc>
        <w:tc>
          <w:tcPr>
            <w:tcW w:w="700"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25.1</w:t>
            </w:r>
          </w:p>
        </w:tc>
        <w:tc>
          <w:tcPr>
            <w:tcW w:w="26"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0"/>
              <w:jc w:val="left"/>
              <w:rPr/>
            </w:pPr>
            <w:r>
              <w:rPr/>
              <w:t> </w:t>
            </w:r>
          </w:p>
        </w:tc>
        <w:tc>
          <w:tcPr>
            <w:tcW w:w="700"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22.0</w:t>
            </w:r>
          </w:p>
        </w:tc>
        <w:tc>
          <w:tcPr>
            <w:tcW w:w="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917"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3.1</w:t>
            </w:r>
          </w:p>
        </w:tc>
        <w:tc>
          <w:tcPr>
            <w:tcW w:w="165"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0"/>
              <w:jc w:val="left"/>
              <w:rPr/>
            </w:pPr>
            <w:r>
              <w:rPr/>
              <w:t> </w:t>
            </w:r>
          </w:p>
        </w:tc>
        <w:tc>
          <w:tcPr>
            <w:tcW w:w="864"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14</w:t>
            </w:r>
          </w:p>
        </w:tc>
        <w:tc>
          <w:tcPr>
            <w:tcW w:w="705"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pPr>
            <w:r>
              <w:rPr/>
            </w:r>
          </w:p>
        </w:tc>
        <w:tc>
          <w:tcPr>
            <w:tcW w:w="151" w:type="dxa"/>
            <w:tcBorders/>
            <w:vAlign w:val="center"/>
          </w:tcPr>
          <w:p>
            <w:pPr>
              <w:pStyle w:val="TableContents"/>
              <w:bidi w:val="0"/>
              <w:spacing w:before="0" w:after="283"/>
              <w:jc w:val="left"/>
              <w:rPr/>
            </w:pPr>
            <w:r>
              <w:rPr/>
            </w:r>
          </w:p>
        </w:tc>
        <w:tc>
          <w:tcPr>
            <w:tcW w:w="605" w:type="dxa"/>
            <w:tcBorders/>
            <w:vAlign w:val="center"/>
          </w:tcPr>
          <w:p>
            <w:pPr>
              <w:pStyle w:val="TableContents"/>
              <w:bidi w:val="0"/>
              <w:spacing w:before="0" w:after="283"/>
              <w:jc w:val="right"/>
              <w:rPr/>
            </w:pPr>
            <w:r>
              <w:rPr/>
              <w:t>49.2</w:t>
            </w:r>
          </w:p>
        </w:tc>
        <w:tc>
          <w:tcPr>
            <w:tcW w:w="24" w:type="dxa"/>
            <w:tcBorders/>
            <w:vAlign w:val="center"/>
          </w:tcPr>
          <w:p>
            <w:pPr>
              <w:pStyle w:val="TableContents"/>
              <w:bidi w:val="0"/>
              <w:spacing w:before="0" w:after="283"/>
              <w:jc w:val="left"/>
              <w:rPr/>
            </w:pPr>
            <w:r>
              <w:rPr/>
            </w:r>
          </w:p>
        </w:tc>
        <w:tc>
          <w:tcPr>
            <w:tcW w:w="24" w:type="dxa"/>
            <w:tcBorders/>
            <w:vAlign w:val="center"/>
          </w:tcPr>
          <w:p>
            <w:pPr>
              <w:pStyle w:val="TableContents"/>
              <w:bidi w:val="0"/>
              <w:spacing w:before="0" w:after="283"/>
              <w:jc w:val="left"/>
              <w:rPr/>
            </w:pPr>
            <w:r>
              <w:rPr/>
            </w:r>
          </w:p>
        </w:tc>
        <w:tc>
          <w:tcPr>
            <w:tcW w:w="151" w:type="dxa"/>
            <w:tcBorders/>
            <w:vAlign w:val="center"/>
          </w:tcPr>
          <w:p>
            <w:pPr>
              <w:pStyle w:val="TableContents"/>
              <w:bidi w:val="0"/>
              <w:spacing w:before="0" w:after="283"/>
              <w:jc w:val="left"/>
              <w:rPr/>
            </w:pPr>
            <w:r>
              <w:rPr/>
            </w:r>
          </w:p>
        </w:tc>
        <w:tc>
          <w:tcPr>
            <w:tcW w:w="605" w:type="dxa"/>
            <w:tcBorders/>
            <w:vAlign w:val="center"/>
          </w:tcPr>
          <w:p>
            <w:pPr>
              <w:pStyle w:val="TableContents"/>
              <w:bidi w:val="0"/>
              <w:spacing w:before="0" w:after="283"/>
              <w:jc w:val="right"/>
              <w:rPr/>
            </w:pPr>
            <w:r>
              <w:rPr/>
              <w:t>43.4</w:t>
            </w:r>
          </w:p>
        </w:tc>
        <w:tc>
          <w:tcPr>
            <w:tcW w:w="24"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34" w:type="dxa"/>
            <w:tcBorders/>
            <w:vAlign w:val="center"/>
          </w:tcPr>
          <w:p>
            <w:pPr>
              <w:pStyle w:val="TableContents"/>
              <w:bidi w:val="0"/>
              <w:spacing w:before="0" w:after="283"/>
              <w:jc w:val="left"/>
              <w:rPr/>
            </w:pPr>
            <w:r>
              <w:rPr/>
            </w:r>
          </w:p>
        </w:tc>
        <w:tc>
          <w:tcPr>
            <w:tcW w:w="707" w:type="dxa"/>
            <w:tcBorders/>
            <w:vAlign w:val="center"/>
          </w:tcPr>
          <w:p>
            <w:pPr>
              <w:pStyle w:val="TableContents"/>
              <w:bidi w:val="0"/>
              <w:spacing w:before="0" w:after="283"/>
              <w:jc w:val="right"/>
              <w:rPr/>
            </w:pPr>
            <w:r>
              <w:rPr/>
              <w:t>5.8</w:t>
            </w:r>
          </w:p>
        </w:tc>
        <w:tc>
          <w:tcPr>
            <w:tcW w:w="140" w:type="dxa"/>
            <w:tcBorders/>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pPr>
            <w:r>
              <w:rPr/>
            </w:r>
          </w:p>
        </w:tc>
        <w:tc>
          <w:tcPr>
            <w:tcW w:w="858" w:type="dxa"/>
            <w:tcBorders/>
            <w:vAlign w:val="center"/>
          </w:tcPr>
          <w:p>
            <w:pPr>
              <w:pStyle w:val="TableContents"/>
              <w:bidi w:val="0"/>
              <w:spacing w:before="0" w:after="283"/>
              <w:jc w:val="right"/>
              <w:rPr/>
            </w:pPr>
            <w:r>
              <w:rPr/>
              <w:t>13</w:t>
            </w:r>
          </w:p>
        </w:tc>
        <w:tc>
          <w:tcPr>
            <w:tcW w:w="711" w:type="dxa"/>
            <w:tcBorders/>
            <w:vAlign w:val="center"/>
          </w:tcPr>
          <w:p>
            <w:pPr>
              <w:pStyle w:val="TableContents"/>
              <w:bidi w:val="0"/>
              <w:spacing w:before="0" w:after="283"/>
              <w:jc w:val="left"/>
              <w:rPr/>
            </w:pPr>
            <w:r>
              <w:rPr/>
              <w:t>%</w:t>
            </w:r>
          </w:p>
        </w:tc>
        <w:tc>
          <w:tcPr>
            <w:tcW w:w="55" w:type="dxa"/>
            <w:tcBorders/>
            <w:vAlign w:val="center"/>
          </w:tcPr>
          <w:p>
            <w:pPr>
              <w:pStyle w:val="TableContents"/>
              <w:bidi w:val="0"/>
              <w:spacing w:before="0" w:after="283"/>
              <w:jc w:val="left"/>
              <w:rPr/>
            </w:pPr>
            <w:r>
              <w:rPr/>
            </w:r>
          </w:p>
        </w:tc>
      </w:tr>
      <w:tr>
        <w:trPr/>
        <w:tc>
          <w:tcPr>
            <w:tcW w:w="1456" w:type="dxa"/>
            <w:tcBorders/>
            <w:shd w:fill="CCEEFF" w:val="clear"/>
            <w:vAlign w:val="center"/>
          </w:tcPr>
          <w:p>
            <w:pPr>
              <w:pStyle w:val="TableContents"/>
              <w:bidi w:val="0"/>
              <w:spacing w:before="0" w:after="0"/>
              <w:ind w:left="0" w:right="0" w:hanging="180"/>
              <w:jc w:val="left"/>
              <w:rPr>
                <w:rFonts w:ascii="times new roman;times" w:hAnsi="times new roman;times"/>
                <w:sz w:val="20"/>
              </w:rPr>
            </w:pPr>
            <w:r>
              <w:rPr>
                <w:rFonts w:ascii="times new roman;times" w:hAnsi="times new roman;times"/>
                <w:sz w:val="20"/>
              </w:rPr>
              <w:t>Selling, general and administrative</w:t>
            </w:r>
          </w:p>
        </w:tc>
        <w:tc>
          <w:tcPr>
            <w:tcW w:w="60" w:type="dxa"/>
            <w:tcBorders/>
            <w:shd w:fill="CCEEFF" w:val="clear"/>
            <w:vAlign w:val="center"/>
          </w:tcPr>
          <w:p>
            <w:pPr>
              <w:pStyle w:val="TableContents"/>
              <w:bidi w:val="0"/>
              <w:spacing w:before="0" w:after="0"/>
              <w:jc w:val="left"/>
              <w:rPr/>
            </w:pPr>
            <w:r>
              <w:rPr/>
              <w:t> </w:t>
            </w:r>
          </w:p>
        </w:tc>
        <w:tc>
          <w:tcPr>
            <w:tcW w:w="700"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9.3</w:t>
            </w:r>
          </w:p>
        </w:tc>
        <w:tc>
          <w:tcPr>
            <w:tcW w:w="26" w:type="dxa"/>
            <w:tcBorders/>
            <w:shd w:fill="CCEEFF" w:val="clear"/>
            <w:vAlign w:val="center"/>
          </w:tcPr>
          <w:p>
            <w:pPr>
              <w:pStyle w:val="TableContents"/>
              <w:bidi w:val="0"/>
              <w:spacing w:before="0" w:after="283"/>
              <w:jc w:val="left"/>
              <w:rPr>
                <w:sz w:val="4"/>
                <w:szCs w:val="4"/>
              </w:rPr>
            </w:pPr>
            <w:r>
              <w:rPr>
                <w:sz w:val="4"/>
                <w:szCs w:val="4"/>
              </w:rPr>
            </w:r>
          </w:p>
        </w:tc>
        <w:tc>
          <w:tcPr>
            <w:tcW w:w="68" w:type="dxa"/>
            <w:tcBorders/>
            <w:shd w:fill="CCEEFF" w:val="clear"/>
            <w:vAlign w:val="center"/>
          </w:tcPr>
          <w:p>
            <w:pPr>
              <w:pStyle w:val="TableContents"/>
              <w:bidi w:val="0"/>
              <w:spacing w:before="0" w:after="0"/>
              <w:jc w:val="left"/>
              <w:rPr/>
            </w:pPr>
            <w:r>
              <w:rPr/>
              <w:t> </w:t>
            </w:r>
          </w:p>
        </w:tc>
        <w:tc>
          <w:tcPr>
            <w:tcW w:w="700"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9.1</w:t>
            </w:r>
          </w:p>
        </w:tc>
        <w:tc>
          <w:tcPr>
            <w:tcW w:w="2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917"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0.2</w:t>
            </w:r>
          </w:p>
        </w:tc>
        <w:tc>
          <w:tcPr>
            <w:tcW w:w="165" w:type="dxa"/>
            <w:tcBorders/>
            <w:shd w:fill="CCEEFF" w:val="clear"/>
            <w:vAlign w:val="center"/>
          </w:tcPr>
          <w:p>
            <w:pPr>
              <w:pStyle w:val="TableContents"/>
              <w:bidi w:val="0"/>
              <w:spacing w:before="0" w:after="283"/>
              <w:jc w:val="left"/>
              <w:rPr>
                <w:sz w:val="4"/>
                <w:szCs w:val="4"/>
              </w:rPr>
            </w:pPr>
            <w:r>
              <w:rPr>
                <w:sz w:val="4"/>
                <w:szCs w:val="4"/>
              </w:rPr>
            </w:r>
          </w:p>
        </w:tc>
        <w:tc>
          <w:tcPr>
            <w:tcW w:w="76" w:type="dxa"/>
            <w:tcBorders/>
            <w:shd w:fill="CCEEFF" w:val="clear"/>
            <w:vAlign w:val="center"/>
          </w:tcPr>
          <w:p>
            <w:pPr>
              <w:pStyle w:val="TableContents"/>
              <w:bidi w:val="0"/>
              <w:spacing w:before="0" w:after="0"/>
              <w:jc w:val="left"/>
              <w:rPr/>
            </w:pPr>
            <w:r>
              <w:rPr/>
              <w:t> </w:t>
            </w:r>
          </w:p>
        </w:tc>
        <w:tc>
          <w:tcPr>
            <w:tcW w:w="864"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w:t>
            </w:r>
          </w:p>
        </w:tc>
        <w:tc>
          <w:tcPr>
            <w:tcW w:w="705"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pPr>
            <w:r>
              <w:rPr/>
            </w:r>
          </w:p>
        </w:tc>
        <w:tc>
          <w:tcPr>
            <w:tcW w:w="151" w:type="dxa"/>
            <w:tcBorders/>
            <w:shd w:fill="CCEEFF" w:val="clear"/>
            <w:vAlign w:val="center"/>
          </w:tcPr>
          <w:p>
            <w:pPr>
              <w:pStyle w:val="TableContents"/>
              <w:bidi w:val="0"/>
              <w:spacing w:before="0" w:after="283"/>
              <w:jc w:val="left"/>
              <w:rPr/>
            </w:pPr>
            <w:r>
              <w:rPr/>
            </w:r>
          </w:p>
        </w:tc>
        <w:tc>
          <w:tcPr>
            <w:tcW w:w="605" w:type="dxa"/>
            <w:tcBorders/>
            <w:shd w:fill="CCEEFF" w:val="clear"/>
            <w:vAlign w:val="center"/>
          </w:tcPr>
          <w:p>
            <w:pPr>
              <w:pStyle w:val="TableContents"/>
              <w:bidi w:val="0"/>
              <w:spacing w:before="0" w:after="283"/>
              <w:jc w:val="right"/>
              <w:rPr/>
            </w:pPr>
            <w:r>
              <w:rPr/>
              <w:t>18.9</w:t>
            </w:r>
          </w:p>
        </w:tc>
        <w:tc>
          <w:tcPr>
            <w:tcW w:w="24" w:type="dxa"/>
            <w:tcBorders/>
            <w:shd w:fill="CCEEFF" w:val="clear"/>
            <w:vAlign w:val="center"/>
          </w:tcPr>
          <w:p>
            <w:pPr>
              <w:pStyle w:val="TableContents"/>
              <w:bidi w:val="0"/>
              <w:spacing w:before="0" w:after="283"/>
              <w:jc w:val="left"/>
              <w:rPr/>
            </w:pPr>
            <w:r>
              <w:rPr/>
            </w:r>
          </w:p>
        </w:tc>
        <w:tc>
          <w:tcPr>
            <w:tcW w:w="24" w:type="dxa"/>
            <w:tcBorders/>
            <w:shd w:fill="CCEEFF" w:val="clear"/>
            <w:vAlign w:val="center"/>
          </w:tcPr>
          <w:p>
            <w:pPr>
              <w:pStyle w:val="TableContents"/>
              <w:bidi w:val="0"/>
              <w:spacing w:before="0" w:after="283"/>
              <w:jc w:val="left"/>
              <w:rPr/>
            </w:pPr>
            <w:r>
              <w:rPr/>
            </w:r>
          </w:p>
        </w:tc>
        <w:tc>
          <w:tcPr>
            <w:tcW w:w="151" w:type="dxa"/>
            <w:tcBorders/>
            <w:shd w:fill="CCEEFF" w:val="clear"/>
            <w:vAlign w:val="center"/>
          </w:tcPr>
          <w:p>
            <w:pPr>
              <w:pStyle w:val="TableContents"/>
              <w:bidi w:val="0"/>
              <w:spacing w:before="0" w:after="283"/>
              <w:jc w:val="left"/>
              <w:rPr/>
            </w:pPr>
            <w:r>
              <w:rPr/>
            </w:r>
          </w:p>
        </w:tc>
        <w:tc>
          <w:tcPr>
            <w:tcW w:w="605" w:type="dxa"/>
            <w:tcBorders/>
            <w:shd w:fill="CCEEFF" w:val="clear"/>
            <w:vAlign w:val="center"/>
          </w:tcPr>
          <w:p>
            <w:pPr>
              <w:pStyle w:val="TableContents"/>
              <w:bidi w:val="0"/>
              <w:spacing w:before="0" w:after="283"/>
              <w:jc w:val="right"/>
              <w:rPr/>
            </w:pPr>
            <w:r>
              <w:rPr/>
              <w:t>17.9</w:t>
            </w:r>
          </w:p>
        </w:tc>
        <w:tc>
          <w:tcPr>
            <w:tcW w:w="24"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234" w:type="dxa"/>
            <w:tcBorders/>
            <w:shd w:fill="CCEEFF" w:val="clear"/>
            <w:vAlign w:val="center"/>
          </w:tcPr>
          <w:p>
            <w:pPr>
              <w:pStyle w:val="TableContents"/>
              <w:bidi w:val="0"/>
              <w:spacing w:before="0" w:after="283"/>
              <w:jc w:val="left"/>
              <w:rPr/>
            </w:pPr>
            <w:r>
              <w:rPr/>
            </w:r>
          </w:p>
        </w:tc>
        <w:tc>
          <w:tcPr>
            <w:tcW w:w="707" w:type="dxa"/>
            <w:tcBorders/>
            <w:shd w:fill="CCEEFF" w:val="clear"/>
            <w:vAlign w:val="center"/>
          </w:tcPr>
          <w:p>
            <w:pPr>
              <w:pStyle w:val="TableContents"/>
              <w:bidi w:val="0"/>
              <w:spacing w:before="0" w:after="283"/>
              <w:jc w:val="right"/>
              <w:rPr/>
            </w:pPr>
            <w:r>
              <w:rPr/>
              <w:t>1.0</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24" w:type="dxa"/>
            <w:tcBorders/>
            <w:shd w:fill="CCEEFF" w:val="clear"/>
            <w:vAlign w:val="center"/>
          </w:tcPr>
          <w:p>
            <w:pPr>
              <w:pStyle w:val="TableContents"/>
              <w:bidi w:val="0"/>
              <w:spacing w:before="0" w:after="283"/>
              <w:jc w:val="left"/>
              <w:rPr/>
            </w:pPr>
            <w:r>
              <w:rPr/>
            </w:r>
          </w:p>
        </w:tc>
        <w:tc>
          <w:tcPr>
            <w:tcW w:w="858" w:type="dxa"/>
            <w:tcBorders/>
            <w:shd w:fill="CCEEFF" w:val="clear"/>
            <w:vAlign w:val="center"/>
          </w:tcPr>
          <w:p>
            <w:pPr>
              <w:pStyle w:val="TableContents"/>
              <w:bidi w:val="0"/>
              <w:spacing w:before="0" w:after="283"/>
              <w:jc w:val="right"/>
              <w:rPr/>
            </w:pPr>
            <w:r>
              <w:rPr/>
              <w:t>6</w:t>
            </w:r>
          </w:p>
        </w:tc>
        <w:tc>
          <w:tcPr>
            <w:tcW w:w="711" w:type="dxa"/>
            <w:tcBorders/>
            <w:shd w:fill="CCEEFF" w:val="clear"/>
            <w:vAlign w:val="center"/>
          </w:tcPr>
          <w:p>
            <w:pPr>
              <w:pStyle w:val="TableContents"/>
              <w:bidi w:val="0"/>
              <w:spacing w:before="0" w:after="283"/>
              <w:jc w:val="left"/>
              <w:rPr/>
            </w:pPr>
            <w:r>
              <w:rPr/>
              <w:t>%</w:t>
            </w:r>
          </w:p>
        </w:tc>
        <w:tc>
          <w:tcPr>
            <w:tcW w:w="55" w:type="dxa"/>
            <w:tcBorders/>
            <w:shd w:fill="CCEEFF" w:val="clear"/>
            <w:vAlign w:val="center"/>
          </w:tcPr>
          <w:p>
            <w:pPr>
              <w:pStyle w:val="TableContents"/>
              <w:bidi w:val="0"/>
              <w:spacing w:before="0" w:after="283"/>
              <w:jc w:val="left"/>
              <w:rPr/>
            </w:pPr>
            <w:r>
              <w:rPr/>
            </w:r>
          </w:p>
        </w:tc>
      </w:tr>
      <w:tr>
        <w:trPr/>
        <w:tc>
          <w:tcPr>
            <w:tcW w:w="1456" w:type="dxa"/>
            <w:tcBorders/>
            <w:vAlign w:val="center"/>
          </w:tcPr>
          <w:p>
            <w:pPr>
              <w:pStyle w:val="TableContents"/>
              <w:bidi w:val="0"/>
              <w:spacing w:before="0" w:after="0"/>
              <w:ind w:left="0" w:right="0" w:hanging="180"/>
              <w:jc w:val="left"/>
              <w:rPr>
                <w:rFonts w:ascii="times new roman;times" w:hAnsi="times new roman;times"/>
                <w:sz w:val="20"/>
              </w:rPr>
            </w:pPr>
            <w:r>
              <w:rPr>
                <w:rFonts w:ascii="times new roman;times" w:hAnsi="times new roman;times"/>
                <w:sz w:val="20"/>
              </w:rPr>
              <w:t>Depreciation and amortization</w:t>
            </w:r>
          </w:p>
        </w:tc>
        <w:tc>
          <w:tcPr>
            <w:tcW w:w="60" w:type="dxa"/>
            <w:tcBorders/>
            <w:vAlign w:val="center"/>
          </w:tcPr>
          <w:p>
            <w:pPr>
              <w:pStyle w:val="TableContents"/>
              <w:bidi w:val="0"/>
              <w:spacing w:before="0" w:after="0"/>
              <w:jc w:val="left"/>
              <w:rPr/>
            </w:pPr>
            <w:r>
              <w:rPr/>
              <w:t> </w:t>
            </w:r>
          </w:p>
        </w:tc>
        <w:tc>
          <w:tcPr>
            <w:tcW w:w="700"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1.8</w:t>
            </w:r>
          </w:p>
        </w:tc>
        <w:tc>
          <w:tcPr>
            <w:tcW w:w="26"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0"/>
              <w:jc w:val="left"/>
              <w:rPr/>
            </w:pPr>
            <w:r>
              <w:rPr/>
              <w:t> </w:t>
            </w:r>
          </w:p>
        </w:tc>
        <w:tc>
          <w:tcPr>
            <w:tcW w:w="700"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1.7</w:t>
            </w:r>
          </w:p>
        </w:tc>
        <w:tc>
          <w:tcPr>
            <w:tcW w:w="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917"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0.1</w:t>
            </w:r>
          </w:p>
        </w:tc>
        <w:tc>
          <w:tcPr>
            <w:tcW w:w="165"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0"/>
              <w:jc w:val="left"/>
              <w:rPr/>
            </w:pPr>
            <w:r>
              <w:rPr/>
              <w:t> </w:t>
            </w:r>
          </w:p>
        </w:tc>
        <w:tc>
          <w:tcPr>
            <w:tcW w:w="864"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6</w:t>
            </w:r>
          </w:p>
        </w:tc>
        <w:tc>
          <w:tcPr>
            <w:tcW w:w="705"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pPr>
            <w:r>
              <w:rPr/>
            </w:r>
          </w:p>
        </w:tc>
        <w:tc>
          <w:tcPr>
            <w:tcW w:w="151" w:type="dxa"/>
            <w:tcBorders/>
            <w:vAlign w:val="center"/>
          </w:tcPr>
          <w:p>
            <w:pPr>
              <w:pStyle w:val="TableContents"/>
              <w:bidi w:val="0"/>
              <w:spacing w:before="0" w:after="283"/>
              <w:jc w:val="left"/>
              <w:rPr/>
            </w:pPr>
            <w:r>
              <w:rPr/>
            </w:r>
          </w:p>
        </w:tc>
        <w:tc>
          <w:tcPr>
            <w:tcW w:w="605" w:type="dxa"/>
            <w:tcBorders/>
            <w:vAlign w:val="center"/>
          </w:tcPr>
          <w:p>
            <w:pPr>
              <w:pStyle w:val="TableContents"/>
              <w:bidi w:val="0"/>
              <w:spacing w:before="0" w:after="283"/>
              <w:jc w:val="right"/>
              <w:rPr/>
            </w:pPr>
            <w:r>
              <w:rPr/>
              <w:t>3.5</w:t>
            </w:r>
          </w:p>
        </w:tc>
        <w:tc>
          <w:tcPr>
            <w:tcW w:w="24" w:type="dxa"/>
            <w:tcBorders/>
            <w:vAlign w:val="center"/>
          </w:tcPr>
          <w:p>
            <w:pPr>
              <w:pStyle w:val="TableContents"/>
              <w:bidi w:val="0"/>
              <w:spacing w:before="0" w:after="283"/>
              <w:jc w:val="left"/>
              <w:rPr/>
            </w:pPr>
            <w:r>
              <w:rPr/>
            </w:r>
          </w:p>
        </w:tc>
        <w:tc>
          <w:tcPr>
            <w:tcW w:w="24" w:type="dxa"/>
            <w:tcBorders/>
            <w:vAlign w:val="center"/>
          </w:tcPr>
          <w:p>
            <w:pPr>
              <w:pStyle w:val="TableContents"/>
              <w:bidi w:val="0"/>
              <w:spacing w:before="0" w:after="283"/>
              <w:jc w:val="left"/>
              <w:rPr/>
            </w:pPr>
            <w:r>
              <w:rPr/>
            </w:r>
          </w:p>
        </w:tc>
        <w:tc>
          <w:tcPr>
            <w:tcW w:w="151" w:type="dxa"/>
            <w:tcBorders/>
            <w:vAlign w:val="center"/>
          </w:tcPr>
          <w:p>
            <w:pPr>
              <w:pStyle w:val="TableContents"/>
              <w:bidi w:val="0"/>
              <w:spacing w:before="0" w:after="283"/>
              <w:jc w:val="left"/>
              <w:rPr/>
            </w:pPr>
            <w:r>
              <w:rPr/>
            </w:r>
          </w:p>
        </w:tc>
        <w:tc>
          <w:tcPr>
            <w:tcW w:w="605" w:type="dxa"/>
            <w:tcBorders/>
            <w:vAlign w:val="center"/>
          </w:tcPr>
          <w:p>
            <w:pPr>
              <w:pStyle w:val="TableContents"/>
              <w:bidi w:val="0"/>
              <w:spacing w:before="0" w:after="283"/>
              <w:jc w:val="right"/>
              <w:rPr/>
            </w:pPr>
            <w:r>
              <w:rPr/>
              <w:t>3.3</w:t>
            </w:r>
          </w:p>
        </w:tc>
        <w:tc>
          <w:tcPr>
            <w:tcW w:w="24"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34" w:type="dxa"/>
            <w:tcBorders/>
            <w:vAlign w:val="center"/>
          </w:tcPr>
          <w:p>
            <w:pPr>
              <w:pStyle w:val="TableContents"/>
              <w:bidi w:val="0"/>
              <w:spacing w:before="0" w:after="283"/>
              <w:jc w:val="left"/>
              <w:rPr/>
            </w:pPr>
            <w:r>
              <w:rPr/>
            </w:r>
          </w:p>
        </w:tc>
        <w:tc>
          <w:tcPr>
            <w:tcW w:w="707" w:type="dxa"/>
            <w:tcBorders/>
            <w:vAlign w:val="center"/>
          </w:tcPr>
          <w:p>
            <w:pPr>
              <w:pStyle w:val="TableContents"/>
              <w:bidi w:val="0"/>
              <w:spacing w:before="0" w:after="283"/>
              <w:jc w:val="right"/>
              <w:rPr/>
            </w:pPr>
            <w:r>
              <w:rPr/>
              <w:t>0.2</w:t>
            </w:r>
          </w:p>
        </w:tc>
        <w:tc>
          <w:tcPr>
            <w:tcW w:w="140" w:type="dxa"/>
            <w:tcBorders/>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pPr>
            <w:r>
              <w:rPr/>
            </w:r>
          </w:p>
        </w:tc>
        <w:tc>
          <w:tcPr>
            <w:tcW w:w="858" w:type="dxa"/>
            <w:tcBorders/>
            <w:vAlign w:val="center"/>
          </w:tcPr>
          <w:p>
            <w:pPr>
              <w:pStyle w:val="TableContents"/>
              <w:bidi w:val="0"/>
              <w:spacing w:before="0" w:after="283"/>
              <w:jc w:val="right"/>
              <w:rPr/>
            </w:pPr>
            <w:r>
              <w:rPr/>
              <w:t>6</w:t>
            </w:r>
          </w:p>
        </w:tc>
        <w:tc>
          <w:tcPr>
            <w:tcW w:w="711" w:type="dxa"/>
            <w:tcBorders/>
            <w:vAlign w:val="center"/>
          </w:tcPr>
          <w:p>
            <w:pPr>
              <w:pStyle w:val="TableContents"/>
              <w:bidi w:val="0"/>
              <w:spacing w:before="0" w:after="283"/>
              <w:jc w:val="left"/>
              <w:rPr/>
            </w:pPr>
            <w:r>
              <w:rPr/>
              <w:t>%</w:t>
            </w:r>
          </w:p>
        </w:tc>
        <w:tc>
          <w:tcPr>
            <w:tcW w:w="55" w:type="dxa"/>
            <w:tcBorders/>
            <w:vAlign w:val="center"/>
          </w:tcPr>
          <w:p>
            <w:pPr>
              <w:pStyle w:val="TableContents"/>
              <w:bidi w:val="0"/>
              <w:spacing w:before="0" w:after="283"/>
              <w:jc w:val="left"/>
              <w:rPr/>
            </w:pPr>
            <w:r>
              <w:rPr/>
            </w:r>
          </w:p>
        </w:tc>
      </w:tr>
      <w:tr>
        <w:trPr/>
        <w:tc>
          <w:tcPr>
            <w:tcW w:w="1456"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Total operating expenses</w:t>
            </w:r>
          </w:p>
        </w:tc>
        <w:tc>
          <w:tcPr>
            <w:tcW w:w="60" w:type="dxa"/>
            <w:tcBorders/>
            <w:shd w:fill="CCEEFF" w:val="clear"/>
            <w:vAlign w:val="center"/>
          </w:tcPr>
          <w:p>
            <w:pPr>
              <w:pStyle w:val="TableContents"/>
              <w:bidi w:val="0"/>
              <w:spacing w:before="0" w:after="0"/>
              <w:jc w:val="left"/>
              <w:rPr/>
            </w:pPr>
            <w:r>
              <w:rPr/>
              <w:t> </w:t>
            </w:r>
          </w:p>
        </w:tc>
        <w:tc>
          <w:tcPr>
            <w:tcW w:w="700"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234.7</w:t>
            </w:r>
          </w:p>
        </w:tc>
        <w:tc>
          <w:tcPr>
            <w:tcW w:w="26" w:type="dxa"/>
            <w:tcBorders/>
            <w:shd w:fill="CCEEFF" w:val="clear"/>
            <w:vAlign w:val="center"/>
          </w:tcPr>
          <w:p>
            <w:pPr>
              <w:pStyle w:val="TableContents"/>
              <w:bidi w:val="0"/>
              <w:spacing w:before="0" w:after="283"/>
              <w:jc w:val="left"/>
              <w:rPr>
                <w:sz w:val="4"/>
                <w:szCs w:val="4"/>
              </w:rPr>
            </w:pPr>
            <w:r>
              <w:rPr>
                <w:sz w:val="4"/>
                <w:szCs w:val="4"/>
              </w:rPr>
            </w:r>
          </w:p>
        </w:tc>
        <w:tc>
          <w:tcPr>
            <w:tcW w:w="68" w:type="dxa"/>
            <w:tcBorders/>
            <w:shd w:fill="CCEEFF" w:val="clear"/>
            <w:vAlign w:val="center"/>
          </w:tcPr>
          <w:p>
            <w:pPr>
              <w:pStyle w:val="TableContents"/>
              <w:bidi w:val="0"/>
              <w:spacing w:before="0" w:after="0"/>
              <w:jc w:val="left"/>
              <w:rPr/>
            </w:pPr>
            <w:r>
              <w:rPr/>
              <w:t> </w:t>
            </w:r>
          </w:p>
        </w:tc>
        <w:tc>
          <w:tcPr>
            <w:tcW w:w="700"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237.0</w:t>
            </w:r>
          </w:p>
        </w:tc>
        <w:tc>
          <w:tcPr>
            <w:tcW w:w="2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917"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(2.3</w:t>
            </w:r>
          </w:p>
        </w:tc>
        <w:tc>
          <w:tcPr>
            <w:tcW w:w="165" w:type="dxa"/>
            <w:tcBorders/>
            <w:shd w:fill="CCEEFF" w:val="clear"/>
            <w:vAlign w:val="center"/>
          </w:tcPr>
          <w:p>
            <w:pPr>
              <w:pStyle w:val="TableContents"/>
              <w:bidi w:val="0"/>
              <w:spacing w:before="0" w:after="283"/>
              <w:jc w:val="left"/>
              <w:rPr/>
            </w:pPr>
            <w:r>
              <w:rPr/>
              <w:t>)</w:t>
            </w:r>
          </w:p>
        </w:tc>
        <w:tc>
          <w:tcPr>
            <w:tcW w:w="76" w:type="dxa"/>
            <w:tcBorders/>
            <w:shd w:fill="CCEEFF" w:val="clear"/>
            <w:vAlign w:val="center"/>
          </w:tcPr>
          <w:p>
            <w:pPr>
              <w:pStyle w:val="TableContents"/>
              <w:bidi w:val="0"/>
              <w:spacing w:before="0" w:after="0"/>
              <w:jc w:val="left"/>
              <w:rPr/>
            </w:pPr>
            <w:r>
              <w:rPr/>
              <w:t> </w:t>
            </w:r>
          </w:p>
        </w:tc>
        <w:tc>
          <w:tcPr>
            <w:tcW w:w="864"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w:t>
            </w:r>
          </w:p>
        </w:tc>
        <w:tc>
          <w:tcPr>
            <w:tcW w:w="705"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pPr>
            <w:r>
              <w:rPr/>
            </w:r>
          </w:p>
        </w:tc>
        <w:tc>
          <w:tcPr>
            <w:tcW w:w="151" w:type="dxa"/>
            <w:tcBorders/>
            <w:shd w:fill="CCEEFF" w:val="clear"/>
            <w:vAlign w:val="center"/>
          </w:tcPr>
          <w:p>
            <w:pPr>
              <w:pStyle w:val="TableContents"/>
              <w:bidi w:val="0"/>
              <w:spacing w:before="0" w:after="283"/>
              <w:jc w:val="left"/>
              <w:rPr/>
            </w:pPr>
            <w:r>
              <w:rPr/>
            </w:r>
          </w:p>
        </w:tc>
        <w:tc>
          <w:tcPr>
            <w:tcW w:w="605" w:type="dxa"/>
            <w:tcBorders/>
            <w:shd w:fill="CCEEFF" w:val="clear"/>
            <w:vAlign w:val="center"/>
          </w:tcPr>
          <w:p>
            <w:pPr>
              <w:pStyle w:val="TableContents"/>
              <w:bidi w:val="0"/>
              <w:spacing w:before="0" w:after="283"/>
              <w:jc w:val="right"/>
              <w:rPr/>
            </w:pPr>
            <w:r>
              <w:rPr/>
              <w:t>465.2</w:t>
            </w:r>
          </w:p>
        </w:tc>
        <w:tc>
          <w:tcPr>
            <w:tcW w:w="24" w:type="dxa"/>
            <w:tcBorders/>
            <w:shd w:fill="CCEEFF" w:val="clear"/>
            <w:vAlign w:val="center"/>
          </w:tcPr>
          <w:p>
            <w:pPr>
              <w:pStyle w:val="TableContents"/>
              <w:bidi w:val="0"/>
              <w:spacing w:before="0" w:after="283"/>
              <w:jc w:val="left"/>
              <w:rPr/>
            </w:pPr>
            <w:r>
              <w:rPr/>
            </w:r>
          </w:p>
        </w:tc>
        <w:tc>
          <w:tcPr>
            <w:tcW w:w="24" w:type="dxa"/>
            <w:tcBorders/>
            <w:shd w:fill="CCEEFF" w:val="clear"/>
            <w:vAlign w:val="center"/>
          </w:tcPr>
          <w:p>
            <w:pPr>
              <w:pStyle w:val="TableContents"/>
              <w:bidi w:val="0"/>
              <w:spacing w:before="0" w:after="283"/>
              <w:jc w:val="left"/>
              <w:rPr/>
            </w:pPr>
            <w:r>
              <w:rPr/>
            </w:r>
          </w:p>
        </w:tc>
        <w:tc>
          <w:tcPr>
            <w:tcW w:w="151" w:type="dxa"/>
            <w:tcBorders/>
            <w:shd w:fill="CCEEFF" w:val="clear"/>
            <w:vAlign w:val="center"/>
          </w:tcPr>
          <w:p>
            <w:pPr>
              <w:pStyle w:val="TableContents"/>
              <w:bidi w:val="0"/>
              <w:spacing w:before="0" w:after="283"/>
              <w:jc w:val="left"/>
              <w:rPr/>
            </w:pPr>
            <w:r>
              <w:rPr/>
            </w:r>
          </w:p>
        </w:tc>
        <w:tc>
          <w:tcPr>
            <w:tcW w:w="605" w:type="dxa"/>
            <w:tcBorders/>
            <w:shd w:fill="CCEEFF" w:val="clear"/>
            <w:vAlign w:val="center"/>
          </w:tcPr>
          <w:p>
            <w:pPr>
              <w:pStyle w:val="TableContents"/>
              <w:bidi w:val="0"/>
              <w:spacing w:before="0" w:after="283"/>
              <w:jc w:val="right"/>
              <w:rPr/>
            </w:pPr>
            <w:r>
              <w:rPr/>
              <w:t>446.9</w:t>
            </w:r>
          </w:p>
        </w:tc>
        <w:tc>
          <w:tcPr>
            <w:tcW w:w="24"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234" w:type="dxa"/>
            <w:tcBorders/>
            <w:shd w:fill="CCEEFF" w:val="clear"/>
            <w:vAlign w:val="center"/>
          </w:tcPr>
          <w:p>
            <w:pPr>
              <w:pStyle w:val="TableContents"/>
              <w:bidi w:val="0"/>
              <w:spacing w:before="0" w:after="283"/>
              <w:jc w:val="left"/>
              <w:rPr/>
            </w:pPr>
            <w:r>
              <w:rPr/>
            </w:r>
          </w:p>
        </w:tc>
        <w:tc>
          <w:tcPr>
            <w:tcW w:w="707" w:type="dxa"/>
            <w:tcBorders/>
            <w:shd w:fill="CCEEFF" w:val="clear"/>
            <w:vAlign w:val="center"/>
          </w:tcPr>
          <w:p>
            <w:pPr>
              <w:pStyle w:val="TableContents"/>
              <w:bidi w:val="0"/>
              <w:spacing w:before="0" w:after="283"/>
              <w:jc w:val="right"/>
              <w:rPr/>
            </w:pPr>
            <w:r>
              <w:rPr/>
              <w:t>18.3</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24" w:type="dxa"/>
            <w:tcBorders/>
            <w:shd w:fill="CCEEFF" w:val="clear"/>
            <w:vAlign w:val="center"/>
          </w:tcPr>
          <w:p>
            <w:pPr>
              <w:pStyle w:val="TableContents"/>
              <w:bidi w:val="0"/>
              <w:spacing w:before="0" w:after="283"/>
              <w:jc w:val="left"/>
              <w:rPr/>
            </w:pPr>
            <w:r>
              <w:rPr/>
            </w:r>
          </w:p>
        </w:tc>
        <w:tc>
          <w:tcPr>
            <w:tcW w:w="858" w:type="dxa"/>
            <w:tcBorders/>
            <w:shd w:fill="CCEEFF" w:val="clear"/>
            <w:vAlign w:val="center"/>
          </w:tcPr>
          <w:p>
            <w:pPr>
              <w:pStyle w:val="TableContents"/>
              <w:bidi w:val="0"/>
              <w:spacing w:before="0" w:after="283"/>
              <w:jc w:val="right"/>
              <w:rPr/>
            </w:pPr>
            <w:r>
              <w:rPr/>
              <w:t>4</w:t>
            </w:r>
          </w:p>
        </w:tc>
        <w:tc>
          <w:tcPr>
            <w:tcW w:w="711" w:type="dxa"/>
            <w:tcBorders/>
            <w:shd w:fill="CCEEFF" w:val="clear"/>
            <w:vAlign w:val="center"/>
          </w:tcPr>
          <w:p>
            <w:pPr>
              <w:pStyle w:val="TableContents"/>
              <w:bidi w:val="0"/>
              <w:spacing w:before="0" w:after="283"/>
              <w:jc w:val="left"/>
              <w:rPr/>
            </w:pPr>
            <w:r>
              <w:rPr/>
              <w:t>%</w:t>
            </w:r>
          </w:p>
        </w:tc>
        <w:tc>
          <w:tcPr>
            <w:tcW w:w="55" w:type="dxa"/>
            <w:tcBorders/>
            <w:shd w:fill="CCEEFF" w:val="clear"/>
            <w:vAlign w:val="center"/>
          </w:tcPr>
          <w:p>
            <w:pPr>
              <w:pStyle w:val="TableContents"/>
              <w:bidi w:val="0"/>
              <w:spacing w:before="0" w:after="283"/>
              <w:jc w:val="left"/>
              <w:rPr/>
            </w:pPr>
            <w:r>
              <w:rPr/>
            </w:r>
          </w:p>
        </w:tc>
      </w:tr>
      <w:tr>
        <w:trPr/>
        <w:tc>
          <w:tcPr>
            <w:tcW w:w="1456"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Operating income</w:t>
            </w:r>
          </w:p>
        </w:tc>
        <w:tc>
          <w:tcPr>
            <w:tcW w:w="60" w:type="dxa"/>
            <w:tcBorders/>
            <w:vAlign w:val="center"/>
          </w:tcPr>
          <w:p>
            <w:pPr>
              <w:pStyle w:val="TableContents"/>
              <w:bidi w:val="0"/>
              <w:spacing w:before="0" w:after="0"/>
              <w:jc w:val="left"/>
              <w:rPr/>
            </w:pPr>
            <w:r>
              <w:rPr/>
              <w:t> </w:t>
            </w:r>
          </w:p>
        </w:tc>
        <w:tc>
          <w:tcPr>
            <w:tcW w:w="143"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557"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26.2</w:t>
            </w:r>
          </w:p>
        </w:tc>
        <w:tc>
          <w:tcPr>
            <w:tcW w:w="26"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0"/>
              <w:jc w:val="left"/>
              <w:rPr/>
            </w:pPr>
            <w:r>
              <w:rPr/>
              <w:t> </w:t>
            </w:r>
          </w:p>
        </w:tc>
        <w:tc>
          <w:tcPr>
            <w:tcW w:w="143"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557"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26.8</w:t>
            </w:r>
          </w:p>
        </w:tc>
        <w:tc>
          <w:tcPr>
            <w:tcW w:w="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273"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644"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(0.6</w:t>
            </w:r>
          </w:p>
        </w:tc>
        <w:tc>
          <w:tcPr>
            <w:tcW w:w="165" w:type="dxa"/>
            <w:tcBorders/>
            <w:vAlign w:val="center"/>
          </w:tcPr>
          <w:p>
            <w:pPr>
              <w:pStyle w:val="TableContents"/>
              <w:bidi w:val="0"/>
              <w:spacing w:before="0" w:after="283"/>
              <w:jc w:val="left"/>
              <w:rPr/>
            </w:pPr>
            <w:r>
              <w:rPr/>
              <w:t>)</w:t>
            </w:r>
          </w:p>
        </w:tc>
        <w:tc>
          <w:tcPr>
            <w:tcW w:w="76" w:type="dxa"/>
            <w:tcBorders/>
            <w:vAlign w:val="center"/>
          </w:tcPr>
          <w:p>
            <w:pPr>
              <w:pStyle w:val="TableContents"/>
              <w:bidi w:val="0"/>
              <w:spacing w:before="0" w:after="0"/>
              <w:jc w:val="left"/>
              <w:rPr/>
            </w:pPr>
            <w:r>
              <w:rPr/>
              <w:t> </w:t>
            </w:r>
          </w:p>
        </w:tc>
        <w:tc>
          <w:tcPr>
            <w:tcW w:w="864"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w:t>
            </w:r>
          </w:p>
        </w:tc>
        <w:tc>
          <w:tcPr>
            <w:tcW w:w="705"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pPr>
            <w:r>
              <w:rPr/>
            </w:r>
          </w:p>
        </w:tc>
        <w:tc>
          <w:tcPr>
            <w:tcW w:w="151" w:type="dxa"/>
            <w:tcBorders/>
            <w:vAlign w:val="center"/>
          </w:tcPr>
          <w:p>
            <w:pPr>
              <w:pStyle w:val="TableContents"/>
              <w:bidi w:val="0"/>
              <w:spacing w:before="0" w:after="283"/>
              <w:jc w:val="left"/>
              <w:rPr/>
            </w:pPr>
            <w:r>
              <w:rPr/>
              <w:t>$</w:t>
            </w:r>
          </w:p>
        </w:tc>
        <w:tc>
          <w:tcPr>
            <w:tcW w:w="605" w:type="dxa"/>
            <w:tcBorders/>
            <w:vAlign w:val="center"/>
          </w:tcPr>
          <w:p>
            <w:pPr>
              <w:pStyle w:val="TableContents"/>
              <w:bidi w:val="0"/>
              <w:spacing w:before="0" w:after="283"/>
              <w:jc w:val="right"/>
              <w:rPr/>
            </w:pPr>
            <w:r>
              <w:rPr/>
              <w:t>52.8</w:t>
            </w:r>
          </w:p>
        </w:tc>
        <w:tc>
          <w:tcPr>
            <w:tcW w:w="24" w:type="dxa"/>
            <w:tcBorders/>
            <w:vAlign w:val="center"/>
          </w:tcPr>
          <w:p>
            <w:pPr>
              <w:pStyle w:val="TableContents"/>
              <w:bidi w:val="0"/>
              <w:spacing w:before="0" w:after="283"/>
              <w:jc w:val="left"/>
              <w:rPr/>
            </w:pPr>
            <w:r>
              <w:rPr/>
            </w:r>
          </w:p>
        </w:tc>
        <w:tc>
          <w:tcPr>
            <w:tcW w:w="24" w:type="dxa"/>
            <w:tcBorders/>
            <w:vAlign w:val="center"/>
          </w:tcPr>
          <w:p>
            <w:pPr>
              <w:pStyle w:val="TableContents"/>
              <w:bidi w:val="0"/>
              <w:spacing w:before="0" w:after="283"/>
              <w:jc w:val="left"/>
              <w:rPr/>
            </w:pPr>
            <w:r>
              <w:rPr/>
            </w:r>
          </w:p>
        </w:tc>
        <w:tc>
          <w:tcPr>
            <w:tcW w:w="151" w:type="dxa"/>
            <w:tcBorders/>
            <w:vAlign w:val="center"/>
          </w:tcPr>
          <w:p>
            <w:pPr>
              <w:pStyle w:val="TableContents"/>
              <w:bidi w:val="0"/>
              <w:spacing w:before="0" w:after="283"/>
              <w:jc w:val="left"/>
              <w:rPr/>
            </w:pPr>
            <w:r>
              <w:rPr/>
              <w:t>$</w:t>
            </w:r>
          </w:p>
        </w:tc>
        <w:tc>
          <w:tcPr>
            <w:tcW w:w="605" w:type="dxa"/>
            <w:tcBorders/>
            <w:vAlign w:val="center"/>
          </w:tcPr>
          <w:p>
            <w:pPr>
              <w:pStyle w:val="TableContents"/>
              <w:bidi w:val="0"/>
              <w:spacing w:before="0" w:after="283"/>
              <w:jc w:val="right"/>
              <w:rPr/>
            </w:pPr>
            <w:r>
              <w:rPr/>
              <w:t>54.3</w:t>
            </w:r>
          </w:p>
        </w:tc>
        <w:tc>
          <w:tcPr>
            <w:tcW w:w="24"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34" w:type="dxa"/>
            <w:tcBorders/>
            <w:vAlign w:val="center"/>
          </w:tcPr>
          <w:p>
            <w:pPr>
              <w:pStyle w:val="TableContents"/>
              <w:bidi w:val="0"/>
              <w:spacing w:before="0" w:after="283"/>
              <w:jc w:val="left"/>
              <w:rPr/>
            </w:pPr>
            <w:r>
              <w:rPr/>
              <w:t>$</w:t>
            </w:r>
          </w:p>
        </w:tc>
        <w:tc>
          <w:tcPr>
            <w:tcW w:w="707" w:type="dxa"/>
            <w:tcBorders/>
            <w:vAlign w:val="center"/>
          </w:tcPr>
          <w:p>
            <w:pPr>
              <w:pStyle w:val="TableContents"/>
              <w:bidi w:val="0"/>
              <w:spacing w:before="0" w:after="283"/>
              <w:jc w:val="right"/>
              <w:rPr/>
            </w:pPr>
            <w:r>
              <w:rPr/>
              <w:t>(1.5</w:t>
            </w:r>
          </w:p>
        </w:tc>
        <w:tc>
          <w:tcPr>
            <w:tcW w:w="140" w:type="dxa"/>
            <w:tcBorders/>
            <w:vAlign w:val="center"/>
          </w:tcPr>
          <w:p>
            <w:pPr>
              <w:pStyle w:val="TableContents"/>
              <w:bidi w:val="0"/>
              <w:spacing w:before="0" w:after="283"/>
              <w:jc w:val="left"/>
              <w:rPr/>
            </w:pPr>
            <w:r>
              <w:rPr/>
              <w:t>)</w:t>
            </w:r>
          </w:p>
        </w:tc>
        <w:tc>
          <w:tcPr>
            <w:tcW w:w="24" w:type="dxa"/>
            <w:tcBorders/>
            <w:vAlign w:val="center"/>
          </w:tcPr>
          <w:p>
            <w:pPr>
              <w:pStyle w:val="TableContents"/>
              <w:bidi w:val="0"/>
              <w:spacing w:before="0" w:after="283"/>
              <w:jc w:val="left"/>
              <w:rPr/>
            </w:pPr>
            <w:r>
              <w:rPr/>
            </w:r>
          </w:p>
        </w:tc>
        <w:tc>
          <w:tcPr>
            <w:tcW w:w="858" w:type="dxa"/>
            <w:tcBorders/>
            <w:vAlign w:val="center"/>
          </w:tcPr>
          <w:p>
            <w:pPr>
              <w:pStyle w:val="TableContents"/>
              <w:bidi w:val="0"/>
              <w:spacing w:before="0" w:after="283"/>
              <w:jc w:val="right"/>
              <w:rPr/>
            </w:pPr>
            <w:r>
              <w:rPr/>
              <w:t>(3)</w:t>
            </w:r>
          </w:p>
        </w:tc>
        <w:tc>
          <w:tcPr>
            <w:tcW w:w="711" w:type="dxa"/>
            <w:tcBorders/>
            <w:vAlign w:val="center"/>
          </w:tcPr>
          <w:p>
            <w:pPr>
              <w:pStyle w:val="TableContents"/>
              <w:bidi w:val="0"/>
              <w:spacing w:before="0" w:after="283"/>
              <w:jc w:val="left"/>
              <w:rPr/>
            </w:pPr>
            <w:r>
              <w:rPr/>
              <w:t>%</w:t>
            </w:r>
          </w:p>
        </w:tc>
        <w:tc>
          <w:tcPr>
            <w:tcW w:w="55" w:type="dxa"/>
            <w:tcBorders/>
            <w:vAlign w:val="center"/>
          </w:tcPr>
          <w:p>
            <w:pPr>
              <w:pStyle w:val="TableContents"/>
              <w:bidi w:val="0"/>
              <w:spacing w:before="0" w:after="283"/>
              <w:jc w:val="left"/>
              <w:rPr/>
            </w:pPr>
            <w:r>
              <w:rPr/>
            </w:r>
          </w:p>
        </w:tc>
      </w:tr>
      <w:tr>
        <w:trPr/>
        <w:tc>
          <w:tcPr>
            <w:tcW w:w="1456" w:type="dxa"/>
            <w:tcBorders/>
            <w:shd w:fill="CCEEFF" w:val="clear"/>
            <w:vAlign w:val="center"/>
          </w:tcPr>
          <w:p>
            <w:pPr>
              <w:pStyle w:val="TableContents"/>
              <w:bidi w:val="0"/>
              <w:spacing w:before="0" w:after="0"/>
              <w:ind w:left="0" w:right="0" w:hanging="180"/>
              <w:jc w:val="left"/>
              <w:rPr>
                <w:rFonts w:ascii="times new roman;times" w:hAnsi="times new roman;times"/>
                <w:sz w:val="20"/>
              </w:rPr>
            </w:pPr>
            <w:r>
              <w:rPr>
                <w:rFonts w:ascii="times new roman;times" w:hAnsi="times new roman;times"/>
                <w:sz w:val="20"/>
              </w:rPr>
              <w:t>Transactions processed (millions)</w:t>
            </w:r>
          </w:p>
        </w:tc>
        <w:tc>
          <w:tcPr>
            <w:tcW w:w="60" w:type="dxa"/>
            <w:tcBorders/>
            <w:shd w:fill="CCEEFF" w:val="clear"/>
            <w:vAlign w:val="center"/>
          </w:tcPr>
          <w:p>
            <w:pPr>
              <w:pStyle w:val="TableContents"/>
              <w:bidi w:val="0"/>
              <w:spacing w:before="0" w:after="0"/>
              <w:jc w:val="left"/>
              <w:rPr/>
            </w:pPr>
            <w:r>
              <w:rPr/>
              <w:t> </w:t>
            </w:r>
          </w:p>
        </w:tc>
        <w:tc>
          <w:tcPr>
            <w:tcW w:w="700"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1,110</w:t>
            </w:r>
          </w:p>
        </w:tc>
        <w:tc>
          <w:tcPr>
            <w:tcW w:w="26" w:type="dxa"/>
            <w:tcBorders/>
            <w:shd w:fill="CCEEFF" w:val="clear"/>
            <w:vAlign w:val="center"/>
          </w:tcPr>
          <w:p>
            <w:pPr>
              <w:pStyle w:val="TableContents"/>
              <w:bidi w:val="0"/>
              <w:spacing w:before="0" w:after="283"/>
              <w:jc w:val="left"/>
              <w:rPr>
                <w:sz w:val="4"/>
                <w:szCs w:val="4"/>
              </w:rPr>
            </w:pPr>
            <w:r>
              <w:rPr>
                <w:sz w:val="4"/>
                <w:szCs w:val="4"/>
              </w:rPr>
            </w:r>
          </w:p>
        </w:tc>
        <w:tc>
          <w:tcPr>
            <w:tcW w:w="68" w:type="dxa"/>
            <w:tcBorders/>
            <w:shd w:fill="CCEEFF" w:val="clear"/>
            <w:vAlign w:val="center"/>
          </w:tcPr>
          <w:p>
            <w:pPr>
              <w:pStyle w:val="TableContents"/>
              <w:bidi w:val="0"/>
              <w:spacing w:before="0" w:after="0"/>
              <w:jc w:val="left"/>
              <w:rPr/>
            </w:pPr>
            <w:r>
              <w:rPr/>
              <w:t> </w:t>
            </w:r>
          </w:p>
        </w:tc>
        <w:tc>
          <w:tcPr>
            <w:tcW w:w="700"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984</w:t>
            </w:r>
          </w:p>
        </w:tc>
        <w:tc>
          <w:tcPr>
            <w:tcW w:w="2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917"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126</w:t>
            </w:r>
          </w:p>
        </w:tc>
        <w:tc>
          <w:tcPr>
            <w:tcW w:w="165" w:type="dxa"/>
            <w:tcBorders/>
            <w:shd w:fill="CCEEFF" w:val="clear"/>
            <w:vAlign w:val="center"/>
          </w:tcPr>
          <w:p>
            <w:pPr>
              <w:pStyle w:val="TableContents"/>
              <w:bidi w:val="0"/>
              <w:spacing w:before="0" w:after="283"/>
              <w:jc w:val="left"/>
              <w:rPr>
                <w:sz w:val="4"/>
                <w:szCs w:val="4"/>
              </w:rPr>
            </w:pPr>
            <w:r>
              <w:rPr>
                <w:sz w:val="4"/>
                <w:szCs w:val="4"/>
              </w:rPr>
            </w:r>
          </w:p>
        </w:tc>
        <w:tc>
          <w:tcPr>
            <w:tcW w:w="76" w:type="dxa"/>
            <w:tcBorders/>
            <w:shd w:fill="CCEEFF" w:val="clear"/>
            <w:vAlign w:val="center"/>
          </w:tcPr>
          <w:p>
            <w:pPr>
              <w:pStyle w:val="TableContents"/>
              <w:bidi w:val="0"/>
              <w:spacing w:before="0" w:after="0"/>
              <w:jc w:val="left"/>
              <w:rPr/>
            </w:pPr>
            <w:r>
              <w:rPr/>
              <w:t> </w:t>
            </w:r>
          </w:p>
        </w:tc>
        <w:tc>
          <w:tcPr>
            <w:tcW w:w="864"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13</w:t>
            </w:r>
          </w:p>
        </w:tc>
        <w:tc>
          <w:tcPr>
            <w:tcW w:w="705"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pPr>
            <w:r>
              <w:rPr/>
            </w:r>
          </w:p>
        </w:tc>
        <w:tc>
          <w:tcPr>
            <w:tcW w:w="151" w:type="dxa"/>
            <w:tcBorders/>
            <w:shd w:fill="CCEEFF" w:val="clear"/>
            <w:vAlign w:val="center"/>
          </w:tcPr>
          <w:p>
            <w:pPr>
              <w:pStyle w:val="TableContents"/>
              <w:bidi w:val="0"/>
              <w:spacing w:before="0" w:after="283"/>
              <w:jc w:val="left"/>
              <w:rPr/>
            </w:pPr>
            <w:r>
              <w:rPr/>
            </w:r>
          </w:p>
        </w:tc>
        <w:tc>
          <w:tcPr>
            <w:tcW w:w="605" w:type="dxa"/>
            <w:tcBorders/>
            <w:shd w:fill="CCEEFF" w:val="clear"/>
            <w:vAlign w:val="center"/>
          </w:tcPr>
          <w:p>
            <w:pPr>
              <w:pStyle w:val="TableContents"/>
              <w:bidi w:val="0"/>
              <w:spacing w:before="0" w:after="283"/>
              <w:jc w:val="right"/>
              <w:rPr/>
            </w:pPr>
            <w:r>
              <w:rPr/>
              <w:t>2,063</w:t>
            </w:r>
          </w:p>
        </w:tc>
        <w:tc>
          <w:tcPr>
            <w:tcW w:w="24" w:type="dxa"/>
            <w:tcBorders/>
            <w:shd w:fill="CCEEFF" w:val="clear"/>
            <w:vAlign w:val="center"/>
          </w:tcPr>
          <w:p>
            <w:pPr>
              <w:pStyle w:val="TableContents"/>
              <w:bidi w:val="0"/>
              <w:spacing w:before="0" w:after="283"/>
              <w:jc w:val="left"/>
              <w:rPr/>
            </w:pPr>
            <w:r>
              <w:rPr/>
            </w:r>
          </w:p>
        </w:tc>
        <w:tc>
          <w:tcPr>
            <w:tcW w:w="24" w:type="dxa"/>
            <w:tcBorders/>
            <w:shd w:fill="CCEEFF" w:val="clear"/>
            <w:vAlign w:val="center"/>
          </w:tcPr>
          <w:p>
            <w:pPr>
              <w:pStyle w:val="TableContents"/>
              <w:bidi w:val="0"/>
              <w:spacing w:before="0" w:after="283"/>
              <w:jc w:val="left"/>
              <w:rPr/>
            </w:pPr>
            <w:r>
              <w:rPr/>
            </w:r>
          </w:p>
        </w:tc>
        <w:tc>
          <w:tcPr>
            <w:tcW w:w="151" w:type="dxa"/>
            <w:tcBorders/>
            <w:shd w:fill="CCEEFF" w:val="clear"/>
            <w:vAlign w:val="center"/>
          </w:tcPr>
          <w:p>
            <w:pPr>
              <w:pStyle w:val="TableContents"/>
              <w:bidi w:val="0"/>
              <w:spacing w:before="0" w:after="283"/>
              <w:jc w:val="left"/>
              <w:rPr/>
            </w:pPr>
            <w:r>
              <w:rPr/>
            </w:r>
          </w:p>
        </w:tc>
        <w:tc>
          <w:tcPr>
            <w:tcW w:w="605" w:type="dxa"/>
            <w:tcBorders/>
            <w:shd w:fill="CCEEFF" w:val="clear"/>
            <w:vAlign w:val="center"/>
          </w:tcPr>
          <w:p>
            <w:pPr>
              <w:pStyle w:val="TableContents"/>
              <w:bidi w:val="0"/>
              <w:spacing w:before="0" w:after="283"/>
              <w:jc w:val="right"/>
              <w:rPr/>
            </w:pPr>
            <w:r>
              <w:rPr/>
              <w:t>1,958</w:t>
            </w:r>
          </w:p>
        </w:tc>
        <w:tc>
          <w:tcPr>
            <w:tcW w:w="24"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234" w:type="dxa"/>
            <w:tcBorders/>
            <w:shd w:fill="CCEEFF" w:val="clear"/>
            <w:vAlign w:val="center"/>
          </w:tcPr>
          <w:p>
            <w:pPr>
              <w:pStyle w:val="TableContents"/>
              <w:bidi w:val="0"/>
              <w:spacing w:before="0" w:after="283"/>
              <w:jc w:val="left"/>
              <w:rPr/>
            </w:pPr>
            <w:r>
              <w:rPr/>
            </w:r>
          </w:p>
        </w:tc>
        <w:tc>
          <w:tcPr>
            <w:tcW w:w="707" w:type="dxa"/>
            <w:tcBorders/>
            <w:shd w:fill="CCEEFF" w:val="clear"/>
            <w:vAlign w:val="center"/>
          </w:tcPr>
          <w:p>
            <w:pPr>
              <w:pStyle w:val="TableContents"/>
              <w:bidi w:val="0"/>
              <w:spacing w:before="0" w:after="283"/>
              <w:jc w:val="right"/>
              <w:rPr/>
            </w:pPr>
            <w:r>
              <w:rPr/>
              <w:t>105</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24" w:type="dxa"/>
            <w:tcBorders/>
            <w:shd w:fill="CCEEFF" w:val="clear"/>
            <w:vAlign w:val="center"/>
          </w:tcPr>
          <w:p>
            <w:pPr>
              <w:pStyle w:val="TableContents"/>
              <w:bidi w:val="0"/>
              <w:spacing w:before="0" w:after="283"/>
              <w:jc w:val="left"/>
              <w:rPr/>
            </w:pPr>
            <w:r>
              <w:rPr/>
            </w:r>
          </w:p>
        </w:tc>
        <w:tc>
          <w:tcPr>
            <w:tcW w:w="858" w:type="dxa"/>
            <w:tcBorders/>
            <w:shd w:fill="CCEEFF" w:val="clear"/>
            <w:vAlign w:val="center"/>
          </w:tcPr>
          <w:p>
            <w:pPr>
              <w:pStyle w:val="TableContents"/>
              <w:bidi w:val="0"/>
              <w:spacing w:before="0" w:after="283"/>
              <w:jc w:val="right"/>
              <w:rPr/>
            </w:pPr>
            <w:r>
              <w:rPr/>
              <w:t>5</w:t>
            </w:r>
          </w:p>
        </w:tc>
        <w:tc>
          <w:tcPr>
            <w:tcW w:w="711" w:type="dxa"/>
            <w:tcBorders/>
            <w:shd w:fill="CCEEFF" w:val="clear"/>
            <w:vAlign w:val="center"/>
          </w:tcPr>
          <w:p>
            <w:pPr>
              <w:pStyle w:val="TableContents"/>
              <w:bidi w:val="0"/>
              <w:spacing w:before="0" w:after="283"/>
              <w:jc w:val="left"/>
              <w:rPr/>
            </w:pPr>
            <w:r>
              <w:rPr/>
              <w:t>%</w:t>
            </w:r>
          </w:p>
        </w:tc>
        <w:tc>
          <w:tcPr>
            <w:tcW w:w="55" w:type="dxa"/>
            <w:tcBorders/>
            <w:shd w:fill="CCEEFF" w:val="clear"/>
            <w:vAlign w:val="center"/>
          </w:tcPr>
          <w:p>
            <w:pPr>
              <w:pStyle w:val="TableContents"/>
              <w:bidi w:val="0"/>
              <w:spacing w:before="0" w:after="283"/>
              <w:jc w:val="left"/>
              <w:rPr/>
            </w:pPr>
            <w:r>
              <w:rPr/>
            </w:r>
          </w:p>
        </w:tc>
      </w:tr>
    </w:tbl>
    <w:p>
      <w:pPr>
        <w:pStyle w:val="TextBody"/>
        <w:widowControl/>
        <w:bidi w:val="0"/>
        <w:jc w:val="left"/>
        <w:rPr>
          <w:rFonts w:ascii="Times New Roman" w:hAnsi="Times New Roman" w:eastAsia="Times New Roman" w:cs="Times New Roman"/>
          <w:b w:val="false"/>
          <w:b w:val="false"/>
          <w:bCs w:val="false"/>
          <w:i w:val="false"/>
          <w:i w:val="false"/>
          <w:iCs w:val="false"/>
          <w:caps w:val="false"/>
          <w:smallCaps w:val="false"/>
          <w:color w:val="000000"/>
          <w:spacing w:val="0"/>
          <w:sz w:val="20"/>
          <w:szCs w:val="20"/>
        </w:rPr>
      </w:pPr>
      <w:r>
        <w:rPr>
          <w:rFonts w:eastAsia="Times New Roman" w:cs="Times New Roman" w:ascii="Times New Roman" w:hAnsi="Times New Roman"/>
          <w:b w:val="false"/>
          <w:bCs w:val="false"/>
          <w:i w:val="false"/>
          <w:iCs w:val="false"/>
          <w:caps w:val="false"/>
          <w:smallCaps w:val="false"/>
          <w:color w:val="000000"/>
          <w:spacing w:val="0"/>
          <w:sz w:val="20"/>
          <w:szCs w:val="20"/>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widowControl/>
        <w:bidi w:val="0"/>
        <w:ind w:left="0" w:right="0" w:hanging="0"/>
        <w:jc w:val="both"/>
        <w:rPr>
          <w:rFonts w:ascii="Times New Roman" w:hAnsi="Times New Roman"/>
          <w:b w:val="false"/>
          <w:i w:val="false"/>
          <w:caps w:val="false"/>
          <w:smallCaps w:val="false"/>
          <w:color w:val="000000"/>
          <w:spacing w:val="0"/>
          <w:sz w:val="20"/>
        </w:rPr>
      </w:pPr>
      <w:r>
        <w:rPr>
          <w:rFonts w:ascii="times new roman;times" w:hAnsi="times new roman;times"/>
          <w:b w:val="false"/>
          <w:i/>
          <w:caps w:val="false"/>
          <w:smallCaps w:val="false"/>
          <w:color w:val="000000"/>
          <w:spacing w:val="0"/>
          <w:sz w:val="20"/>
        </w:rPr>
        <w:t>Revenues</w:t>
        <w:br/>
      </w:r>
      <w:r>
        <w:rPr>
          <w:rFonts w:ascii="Times New Roman" w:hAnsi="Times New Roman"/>
          <w:b w:val="false"/>
          <w:i w:val="false"/>
          <w:caps w:val="false"/>
          <w:smallCaps w:val="false"/>
          <w:color w:val="000000"/>
          <w:spacing w:val="0"/>
          <w:sz w:val="20"/>
        </w:rPr>
        <w:br/>
      </w:r>
      <w:r>
        <w:rPr>
          <w:rFonts w:ascii="times new roman;times" w:hAnsi="times new roman;times"/>
          <w:b w:val="false"/>
          <w:i w:val="false"/>
          <w:caps w:val="false"/>
          <w:smallCaps w:val="false"/>
          <w:color w:val="000000"/>
          <w:spacing w:val="0"/>
          <w:sz w:val="20"/>
        </w:rPr>
        <w:t>epay Segment total revenues were $260.9 million for the three months ended June 30, 2024, a decrease of $2.9 million or 1% compared to the same period in 2023. epay Segment total revenues were $518.0 million for the six months ended June 30, 2024, an increase of $16.8 million or 3% compared to the same period in 2023. The increase in revenue for the six months ended June 30, 2024 was driven by continued expansion in mobile and digital branded payments</w:t>
      </w:r>
      <w:r>
        <w:rPr>
          <w:rFonts w:ascii="Century Gothic;sans-serif" w:hAnsi="Century Gothic;sans-serif"/>
          <w:b w:val="false"/>
          <w:i w:val="false"/>
          <w:caps w:val="false"/>
          <w:smallCaps w:val="false"/>
          <w:color w:val="000000"/>
          <w:spacing w:val="0"/>
          <w:sz w:val="22"/>
        </w:rPr>
        <w:t>. </w:t>
      </w:r>
      <w:r>
        <w:rPr>
          <w:rFonts w:ascii="times new roman;times" w:hAnsi="times new roman;times"/>
          <w:b w:val="false"/>
          <w:i w:val="false"/>
          <w:caps w:val="false"/>
          <w:smallCaps w:val="false"/>
          <w:color w:val="000000"/>
          <w:spacing w:val="0"/>
          <w:sz w:val="20"/>
        </w:rPr>
        <w:t>Fluctuations in foreign currency exchange rates increased revenue by approximately $3.8 million for the three </w:t>
      </w:r>
      <w:r>
        <w:rPr>
          <w:rFonts w:ascii="times new roman;times" w:hAnsi="times new roman;times"/>
          <w:b w:val="false"/>
          <w:i w:val="false"/>
          <w:caps w:val="false"/>
          <w:smallCaps w:val="false"/>
          <w:color w:val="000000"/>
          <w:spacing w:val="0"/>
          <w:sz w:val="20"/>
        </w:rPr>
        <w:t>months ended June 30, 2024</w:t>
      </w:r>
      <w:r>
        <w:rPr>
          <w:rFonts w:ascii="times new roman;times" w:hAnsi="times new roman;times"/>
          <w:b w:val="false"/>
          <w:i w:val="false"/>
          <w:caps w:val="false"/>
          <w:smallCaps w:val="false"/>
          <w:color w:val="000000"/>
          <w:spacing w:val="0"/>
          <w:sz w:val="20"/>
        </w:rPr>
        <w:t>, compared to the same period in 2023. Fluctuations in </w:t>
      </w:r>
      <w:r>
        <w:rPr>
          <w:rFonts w:ascii="times new roman;times" w:hAnsi="times new roman;times"/>
          <w:b w:val="false"/>
          <w:i w:val="false"/>
          <w:caps w:val="false"/>
          <w:smallCaps w:val="false"/>
          <w:color w:val="000000"/>
          <w:spacing w:val="0"/>
          <w:sz w:val="20"/>
        </w:rPr>
        <w:t>foreign currency exchange rates did not have a material impact on revenues for the six months ended June 30, 2024, compared to the same period in 2023.</w:t>
      </w:r>
    </w:p>
    <w:p>
      <w:pPr>
        <w:pStyle w:val="TextBody"/>
        <w:bidi w:val="0"/>
        <w:spacing w:lineRule="auto" w:line="288" w:before="0" w:after="0"/>
        <w:ind w:left="0" w:right="0" w:hanging="0"/>
        <w:jc w:val="both"/>
        <w:rPr/>
      </w:pPr>
      <w:r>
        <w:rPr/>
        <w:t> </w:t>
      </w:r>
    </w:p>
    <w:p>
      <w:pPr>
        <w:pStyle w:val="TextBody"/>
        <w:widowControl/>
        <w:bidi w:val="0"/>
        <w:spacing w:before="0" w:after="0"/>
        <w:ind w:left="0" w:right="0" w:hanging="0"/>
        <w:jc w:val="both"/>
        <w:rPr>
          <w:rFonts w:ascii="Times New Roman" w:hAnsi="Times New Roman"/>
          <w:b w:val="false"/>
          <w:i w:val="false"/>
          <w:caps w:val="false"/>
          <w:smallCaps w:val="false"/>
          <w:spacing w:val="0"/>
          <w:sz w:val="20"/>
        </w:rPr>
      </w:pPr>
      <w:r>
        <w:rPr>
          <w:rFonts w:ascii="times new roman;times" w:hAnsi="times new roman;times"/>
          <w:b w:val="false"/>
          <w:i w:val="false"/>
          <w:caps w:val="false"/>
          <w:smallCaps w:val="false"/>
          <w:color w:val="000000"/>
          <w:spacing w:val="0"/>
          <w:sz w:val="20"/>
        </w:rPr>
        <w:t>Revenue per transaction decreased to $0.24 and $0.25 for the </w:t>
      </w:r>
      <w:r>
        <w:rPr>
          <w:rFonts w:ascii="times new roman;times" w:hAnsi="times new roman;times"/>
          <w:b w:val="false"/>
          <w:i w:val="false"/>
          <w:caps w:val="false"/>
          <w:smallCaps w:val="false"/>
          <w:color w:val="000000"/>
          <w:spacing w:val="0"/>
          <w:sz w:val="20"/>
        </w:rPr>
        <w:t>three and six months ended June 30, 2024</w:t>
      </w:r>
      <w:r>
        <w:rPr>
          <w:rFonts w:ascii="times new roman;times" w:hAnsi="times new roman;times"/>
          <w:b w:val="false"/>
          <w:i w:val="false"/>
          <w:caps w:val="false"/>
          <w:smallCaps w:val="false"/>
          <w:color w:val="000000"/>
          <w:spacing w:val="0"/>
          <w:sz w:val="20"/>
        </w:rPr>
        <w:t>, compared to $0.27 and $0.26 for the same periods in 2023</w:t>
      </w:r>
      <w:r>
        <w:rPr>
          <w:rFonts w:ascii="times new roman;times" w:hAnsi="times new roman;times"/>
          <w:b w:val="false"/>
          <w:i w:val="false"/>
          <w:caps w:val="false"/>
          <w:smallCaps w:val="false"/>
          <w:spacing w:val="0"/>
          <w:sz w:val="20"/>
        </w:rPr>
        <w:t>. The decrease in revenue per transaction was</w:t>
      </w:r>
      <w:r>
        <w:rPr>
          <w:rFonts w:ascii="times new roman;times" w:hAnsi="times new roman;times"/>
          <w:b w:val="false"/>
          <w:i w:val="false"/>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primarily due to the</w:t>
      </w:r>
      <w:r>
        <w:rPr>
          <w:rFonts w:ascii="times new roman;times" w:hAnsi="times new roman;times"/>
          <w:b w:val="false"/>
          <w:i w:val="false"/>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shift in the mix of transactions processed.</w:t>
      </w:r>
      <w:r>
        <w:rPr>
          <w:rFonts w:ascii="times new roman;times" w:hAnsi="times new roman;times"/>
          <w:b w:val="false"/>
          <w:i w:val="false"/>
          <w:caps w:val="false"/>
          <w:smallCaps w:val="false"/>
          <w:spacing w:val="0"/>
          <w:sz w:val="20"/>
        </w:rPr>
        <w:br/>
      </w:r>
      <w:r>
        <w:rPr>
          <w:rFonts w:ascii="Times New Roman" w:hAnsi="Times New Roman"/>
          <w:b w:val="false"/>
          <w:i w:val="false"/>
          <w:caps w:val="false"/>
          <w:smallCaps w:val="false"/>
          <w:spacing w:val="0"/>
          <w:sz w:val="20"/>
        </w:rPr>
        <w:br/>
      </w:r>
      <w:r>
        <w:rPr>
          <w:rFonts w:ascii="times new roman;times" w:hAnsi="times new roman;times"/>
          <w:b w:val="false"/>
          <w:i/>
          <w:caps w:val="false"/>
          <w:smallCaps w:val="false"/>
          <w:color w:val="000000"/>
          <w:spacing w:val="0"/>
          <w:sz w:val="20"/>
        </w:rPr>
        <w:t>Direct operating costs</w:t>
        <w:br/>
      </w:r>
      <w:r>
        <w:rPr>
          <w:rFonts w:ascii="Times New Roman" w:hAnsi="Times New Roman"/>
          <w:b w:val="false"/>
          <w:i w:val="false"/>
          <w:caps w:val="false"/>
          <w:smallCaps w:val="false"/>
          <w:spacing w:val="0"/>
          <w:sz w:val="20"/>
        </w:rPr>
        <w:br/>
      </w:r>
      <w:r>
        <w:rPr>
          <w:rFonts w:ascii="times new roman;times" w:hAnsi="times new roman;times"/>
          <w:b w:val="false"/>
          <w:i w:val="false"/>
          <w:caps w:val="false"/>
          <w:smallCaps w:val="false"/>
          <w:color w:val="000000"/>
          <w:spacing w:val="0"/>
          <w:sz w:val="20"/>
        </w:rPr>
        <w:t xml:space="preserve">epay Segment direct operating costs were $198.5 million for the three months ended June 30, 2024, a decrease of $5.7 million or 3% compared to the same period in 2023. epay Segment direct operating costs were $393.6 million for the six months ended June 30, 2024, an increase of $11.3 million or 3% compared to the same period in 2023. Direct operating costs primarily consist of the commissions paid to retail merchants for the distribution and sale of prepaid mobile airtime and other prepaid products, expenses incurred to operate POS terminals and the cost of vouchers sold and physical gifts fulfilled. </w:t>
      </w:r>
      <w:r>
        <w:rPr>
          <w:rFonts w:ascii="times new roman;times" w:hAnsi="times new roman;times"/>
          <w:b w:val="false"/>
          <w:i w:val="false"/>
          <w:caps w:val="false"/>
          <w:smallCaps w:val="false"/>
          <w:color w:val="000000"/>
          <w:spacing w:val="0"/>
          <w:sz w:val="20"/>
        </w:rPr>
        <w:t>Fluctuations in foreign currency exchange rates increased direct operating costs by approximately</w:t>
      </w:r>
      <w:r>
        <w:rPr>
          <w:rFonts w:ascii="times new roman;times" w:hAnsi="times new roman;times"/>
          <w:b w:val="false"/>
          <w:i w:val="false"/>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$2.8 million for the three </w:t>
      </w:r>
      <w:r>
        <w:rPr>
          <w:rFonts w:ascii="times new roman;times" w:hAnsi="times new roman;times"/>
          <w:b w:val="false"/>
          <w:i w:val="false"/>
          <w:caps w:val="false"/>
          <w:smallCaps w:val="false"/>
          <w:color w:val="000000"/>
          <w:spacing w:val="0"/>
          <w:sz w:val="20"/>
        </w:rPr>
        <w:t>months ended June 30, 2024</w:t>
      </w:r>
      <w:r>
        <w:rPr>
          <w:rFonts w:ascii="times new roman;times" w:hAnsi="times new roman;times"/>
          <w:b w:val="false"/>
          <w:i w:val="false"/>
          <w:caps w:val="false"/>
          <w:smallCaps w:val="false"/>
          <w:color w:val="000000"/>
          <w:spacing w:val="0"/>
          <w:sz w:val="20"/>
        </w:rPr>
        <w:t>, compared to the same period in 2023. Fluctuations in foreign currency exchange rates did not have a material impact on direct operating costs for the six months ended June 30, 2024, compared to the same period in 2023.</w:t>
      </w:r>
      <w:r>
        <w:rPr>
          <w:rFonts w:ascii="times new roman;times" w:hAnsi="times new roman;times"/>
          <w:b w:val="false"/>
          <w:i w:val="false"/>
          <w:caps w:val="false"/>
          <w:smallCaps w:val="false"/>
          <w:color w:val="000000"/>
          <w:spacing w:val="0"/>
          <w:sz w:val="20"/>
        </w:rPr>
        <w:br/>
      </w:r>
      <w:r>
        <w:rPr>
          <w:rFonts w:ascii="Times New Roman" w:hAnsi="Times New Roman"/>
          <w:b w:val="false"/>
          <w:i w:val="false"/>
          <w:caps w:val="false"/>
          <w:smallCaps w:val="false"/>
          <w:spacing w:val="0"/>
          <w:sz w:val="20"/>
        </w:rPr>
        <w:br/>
      </w:r>
      <w:r>
        <w:rPr>
          <w:rFonts w:ascii="times new roman;times" w:hAnsi="times new roman;times"/>
          <w:b w:val="false"/>
          <w:i/>
          <w:caps w:val="false"/>
          <w:smallCaps w:val="false"/>
          <w:color w:val="000000"/>
          <w:spacing w:val="0"/>
          <w:sz w:val="20"/>
        </w:rPr>
        <w:t>Gross profit</w:t>
        <w:br/>
      </w:r>
      <w:r>
        <w:rPr>
          <w:rFonts w:ascii="Times New Roman" w:hAnsi="Times New Roman"/>
          <w:b w:val="false"/>
          <w:i w:val="false"/>
          <w:caps w:val="false"/>
          <w:smallCaps w:val="false"/>
          <w:spacing w:val="0"/>
          <w:sz w:val="20"/>
        </w:rPr>
        <w:br/>
      </w:r>
      <w:r>
        <w:rPr>
          <w:rFonts w:ascii="times new roman;times" w:hAnsi="times new roman;times"/>
          <w:b w:val="false"/>
          <w:i w:val="false"/>
          <w:caps w:val="false"/>
          <w:smallCaps w:val="false"/>
          <w:color w:val="000000"/>
          <w:spacing w:val="0"/>
          <w:sz w:val="20"/>
        </w:rPr>
        <w:t xml:space="preserve">Gross profit was $62.4 million for the three months ended June 30, 2024, an increase of $2.8 million or 5% compared to $59.6 million for the same period in 2023. Gross profit was $124.4 million for the six months ended June 30, 2024, an increase of $5.5 million or 5% compared to $118.9 million for the same period in 2023. Gross margin increased to 23.9% and 24.0% for the </w:t>
      </w:r>
      <w:r>
        <w:rPr>
          <w:rFonts w:ascii="times new roman;times" w:hAnsi="times new roman;times"/>
          <w:b w:val="false"/>
          <w:i w:val="false"/>
          <w:caps w:val="false"/>
          <w:smallCaps w:val="false"/>
          <w:color w:val="000000"/>
          <w:spacing w:val="0"/>
          <w:sz w:val="20"/>
        </w:rPr>
        <w:t>three and six months ended June 30, 2024</w:t>
      </w:r>
      <w:r>
        <w:rPr>
          <w:rFonts w:ascii="times new roman;times" w:hAnsi="times new roman;times"/>
          <w:b w:val="false"/>
          <w:i w:val="false"/>
          <w:caps w:val="false"/>
          <w:smallCaps w:val="false"/>
          <w:color w:val="000000"/>
          <w:spacing w:val="0"/>
          <w:sz w:val="20"/>
        </w:rPr>
        <w:t>, compared to 22.6% and 23.7% for the same periods in 2023</w:t>
      </w:r>
      <w:r>
        <w:rPr>
          <w:rFonts w:ascii="times new roman;times" w:hAnsi="times new roman;times"/>
          <w:b w:val="false"/>
          <w:i w:val="false"/>
          <w:caps w:val="false"/>
          <w:smallCaps w:val="false"/>
          <w:color w:val="000000"/>
          <w:spacing w:val="0"/>
          <w:sz w:val="20"/>
        </w:rPr>
        <w:t>. The</w:t>
      </w:r>
      <w:r>
        <w:rPr>
          <w:rFonts w:ascii="Times New Roman" w:hAnsi="Times New Roman"/>
          <w:b w:val="false"/>
          <w:i w:val="false"/>
          <w:caps w:val="false"/>
          <w:smallCaps w:val="false"/>
          <w:spacing w:val="0"/>
          <w:sz w:val="20"/>
        </w:rPr>
        <w:t xml:space="preserve"> changes in</w:t>
      </w:r>
      <w:r>
        <w:rPr>
          <w:rFonts w:ascii="Times New Roman" w:hAnsi="Times New Roman"/>
          <w:b w:val="false"/>
          <w:i w:val="false"/>
          <w:caps w:val="false"/>
          <w:smallCaps w:val="false"/>
          <w:color w:val="000000"/>
          <w:spacing w:val="0"/>
          <w:sz w:val="20"/>
        </w:rPr>
        <w:t xml:space="preserve"> </w:t>
      </w:r>
      <w:r>
        <w:rPr>
          <w:rFonts w:ascii="times new roman;times" w:hAnsi="times new roman;times"/>
          <w:b w:val="false"/>
          <w:i w:val="false"/>
          <w:caps w:val="false"/>
          <w:smallCaps w:val="false"/>
          <w:color w:val="000000"/>
          <w:spacing w:val="0"/>
          <w:sz w:val="20"/>
        </w:rPr>
        <w:t>gross profit and gross margin were primarily due to the shift in the mix of transactions processed.</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16" w:type="dxa"/>
        <w:jc w:val="left"/>
        <w:tblInd w:w="0" w:type="dxa"/>
        <w:tblLayout w:type="fixed"/>
        <w:tblCellMar>
          <w:top w:w="0" w:type="dxa"/>
          <w:left w:w="0" w:type="dxa"/>
          <w:bottom w:w="0" w:type="dxa"/>
          <w:right w:w="0" w:type="dxa"/>
        </w:tblCellMar>
      </w:tblPr>
      <w:tblGrid>
        <w:gridCol w:w="316"/>
      </w:tblGrid>
      <w:tr>
        <w:trPr/>
        <w:tc>
          <w:tcPr>
            <w:tcW w:w="31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31</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before="0" w:after="0"/>
        <w:jc w:val="left"/>
        <w:rPr>
          <w:sz w:val="20"/>
        </w:rPr>
      </w:pPr>
      <w:r>
        <w:rPr>
          <w:sz w:val="20"/>
        </w:rPr>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ind w:left="0" w:right="0" w:hanging="0"/>
        <w:jc w:val="left"/>
        <w:rPr>
          <w:rFonts w:ascii="Times New Roman" w:hAnsi="Times New Roman"/>
          <w:b w:val="false"/>
          <w:i w:val="false"/>
          <w:caps w:val="false"/>
          <w:smallCaps w:val="false"/>
          <w:color w:val="000000"/>
          <w:spacing w:val="0"/>
          <w:sz w:val="20"/>
        </w:rPr>
      </w:pPr>
      <w:r>
        <w:rPr>
          <w:rFonts w:ascii="times new roman;times" w:hAnsi="times new roman;times"/>
          <w:b w:val="false"/>
          <w:i/>
          <w:caps w:val="false"/>
          <w:smallCaps w:val="false"/>
          <w:color w:val="000000"/>
          <w:spacing w:val="0"/>
          <w:sz w:val="20"/>
        </w:rPr>
        <w:t>Salaries and benefits</w:t>
        <w:br/>
      </w:r>
      <w:r>
        <w:rPr>
          <w:rFonts w:ascii="Times New Roman" w:hAnsi="Times New Roman"/>
          <w:b w:val="false"/>
          <w:i w:val="false"/>
          <w:caps w:val="false"/>
          <w:smallCaps w:val="false"/>
          <w:color w:val="000000"/>
          <w:spacing w:val="0"/>
          <w:sz w:val="20"/>
        </w:rPr>
        <w:br/>
      </w:r>
      <w:r>
        <w:rPr>
          <w:rFonts w:ascii="times new roman;times" w:hAnsi="times new roman;times"/>
          <w:b w:val="false"/>
          <w:i w:val="false"/>
          <w:caps w:val="false"/>
          <w:smallCaps w:val="false"/>
          <w:color w:val="000000"/>
          <w:spacing w:val="0"/>
          <w:sz w:val="20"/>
        </w:rPr>
        <w:t>Salaries and benefits expenses were $25.1 million for the three months ended June 30, 2024, an increase of $3.1 million or 14% compared to the same period in 2023. Salaries and benefits expenses were $49.2 million for the six months ended June 30, 2024, an increase of $5.8 million or 13% compared to the same period in 2023. The fluctuations in salaries and benefits were driven by an increase in headcount to support the growth of the business and salary increases due to inflationary pressures. As a percentage of revenues, these expenses increased to 9.6% and 9.5% for the three and six months ended June 30, 2024, compared to 8.3% and 8.7% for the same periods in 2023. </w:t>
        <w:br/>
        <w:br/>
      </w:r>
      <w:r>
        <w:rPr>
          <w:rFonts w:ascii="times new roman;times" w:hAnsi="times new roman;times"/>
          <w:b w:val="false"/>
          <w:i/>
          <w:caps w:val="false"/>
          <w:smallCaps w:val="false"/>
          <w:color w:val="000000"/>
          <w:spacing w:val="0"/>
          <w:sz w:val="20"/>
        </w:rPr>
        <w:t>Selling, general and administrative</w:t>
        <w:br/>
      </w:r>
      <w:r>
        <w:rPr>
          <w:rFonts w:ascii="Times New Roman" w:hAnsi="Times New Roman"/>
          <w:b w:val="false"/>
          <w:i w:val="false"/>
          <w:caps w:val="false"/>
          <w:smallCaps w:val="false"/>
          <w:color w:val="000000"/>
          <w:spacing w:val="0"/>
          <w:sz w:val="20"/>
        </w:rPr>
        <w:br/>
      </w:r>
      <w:r>
        <w:rPr>
          <w:rFonts w:ascii="times new roman;times" w:hAnsi="times new roman;times"/>
          <w:b w:val="false"/>
          <w:i w:val="false"/>
          <w:caps w:val="false"/>
          <w:smallCaps w:val="false"/>
          <w:color w:val="000000"/>
          <w:spacing w:val="0"/>
          <w:sz w:val="20"/>
        </w:rPr>
        <w:t>Selling, general and administrative expenses were $9.3 million for the three months ended June 30, 2024, an increase of $0.2 million or 2% compared to the same period in 2023. Selling, general and administrative expenses were $18.9 million for the six months ended June 30, 2024, an increase of $1.0 million or 6% compared to the same period in 2023. As a percentage of revenues, these expenses were </w:t>
      </w:r>
      <w:r>
        <w:rPr>
          <w:rFonts w:ascii="Times New Roman" w:hAnsi="Times New Roman"/>
          <w:b w:val="false"/>
          <w:i w:val="false"/>
          <w:caps w:val="false"/>
          <w:smallCaps w:val="false"/>
          <w:color w:val="000000"/>
          <w:spacing w:val="0"/>
          <w:sz w:val="20"/>
        </w:rPr>
        <w:t>3.6% and 3.6% for the three and six months ended June 30, 2024, compared to 3.4% and 3.6% for the same periods in 2023.</w:t>
      </w:r>
    </w:p>
    <w:p>
      <w:pPr>
        <w:pStyle w:val="TextBody"/>
        <w:bidi w:val="0"/>
        <w:spacing w:lineRule="auto" w:line="288" w:before="0" w:after="0"/>
        <w:ind w:left="0" w:right="0" w:hanging="0"/>
        <w:jc w:val="both"/>
        <w:rPr/>
      </w:pPr>
      <w:r>
        <w:rPr/>
        <w:t> </w:t>
      </w:r>
    </w:p>
    <w:p>
      <w:pPr>
        <w:pStyle w:val="TextBody"/>
        <w:widowControl/>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times" w:hAnsi="times new roman;times"/>
          <w:b w:val="false"/>
          <w:i/>
          <w:caps w:val="false"/>
          <w:smallCaps w:val="false"/>
          <w:color w:val="000000"/>
          <w:spacing w:val="0"/>
          <w:sz w:val="20"/>
        </w:rPr>
        <w:t>Depreciation and amortization</w:t>
        <w:br/>
      </w:r>
      <w:r>
        <w:rPr>
          <w:rFonts w:ascii="Times New Roman" w:hAnsi="Times New Roman"/>
          <w:b w:val="false"/>
          <w:i w:val="false"/>
          <w:caps w:val="false"/>
          <w:smallCaps w:val="false"/>
          <w:color w:val="000000"/>
          <w:spacing w:val="0"/>
          <w:sz w:val="20"/>
        </w:rPr>
        <w:br/>
      </w:r>
      <w:r>
        <w:rPr>
          <w:rFonts w:ascii="times new roman;times" w:hAnsi="times new roman;times"/>
          <w:b w:val="false"/>
          <w:i w:val="false"/>
          <w:caps w:val="false"/>
          <w:smallCaps w:val="false"/>
          <w:color w:val="000000"/>
          <w:spacing w:val="0"/>
          <w:sz w:val="20"/>
        </w:rPr>
        <w:t>Depreciation and amortization expenses were $1.8 million for the three months ended June 30, 2024, an increase of $0.1 million or 6% compared to the same period in 2023. </w:t>
      </w:r>
      <w:r>
        <w:rPr>
          <w:rFonts w:ascii="times new roman;times" w:hAnsi="times new roman;times"/>
          <w:b w:val="false"/>
          <w:i w:val="false"/>
          <w:caps w:val="false"/>
          <w:smallCaps w:val="false"/>
          <w:color w:val="000000"/>
          <w:spacing w:val="0"/>
          <w:sz w:val="20"/>
        </w:rPr>
        <w:t>Depreciation and amortization expenses were $3.5 million for the six months ended June 30, 2024 an increase of $0.2 million or 6% compared to the same period in 2023.</w:t>
      </w:r>
      <w:r>
        <w:rPr>
          <w:rFonts w:ascii="times new roman;times" w:hAnsi="times new roman;times"/>
          <w:b w:val="false"/>
          <w:i w:val="false"/>
          <w:caps w:val="false"/>
          <w:smallCaps w:val="false"/>
          <w:color w:val="000000"/>
          <w:spacing w:val="0"/>
          <w:sz w:val="20"/>
        </w:rPr>
        <w:t> Depreciation and amortization expense primarily represents depreciation of POS terminals we install in retail stores and amortization of acquired intangible assets. As a percentage of revenues, these expenses were 0.7% for both the three and six months ended June 30, 2024, respectively, compared to 0.6% and 0.7% for the same periods in 2023.</w:t>
        <w:br/>
        <w:br/>
      </w:r>
      <w:r>
        <w:rPr>
          <w:rFonts w:ascii="times new roman;times" w:hAnsi="times new roman;times"/>
          <w:b w:val="false"/>
          <w:i/>
          <w:caps w:val="false"/>
          <w:smallCaps w:val="false"/>
          <w:color w:val="000000"/>
          <w:spacing w:val="0"/>
          <w:sz w:val="20"/>
        </w:rPr>
        <w:t>Operating income</w:t>
        <w:br/>
      </w:r>
      <w:r>
        <w:rPr>
          <w:rFonts w:ascii="Times New Roman" w:hAnsi="Times New Roman"/>
          <w:b w:val="false"/>
          <w:i w:val="false"/>
          <w:caps w:val="false"/>
          <w:smallCaps w:val="false"/>
          <w:color w:val="000000"/>
          <w:spacing w:val="0"/>
          <w:sz w:val="20"/>
        </w:rPr>
        <w:br/>
      </w:r>
      <w:r>
        <w:rPr>
          <w:rFonts w:ascii="times new roman;times" w:hAnsi="times new roman;times"/>
          <w:b w:val="false"/>
          <w:i w:val="false"/>
          <w:caps w:val="false"/>
          <w:smallCaps w:val="false"/>
          <w:color w:val="000000"/>
          <w:spacing w:val="0"/>
          <w:sz w:val="20"/>
        </w:rPr>
        <w:t xml:space="preserve">epay Segment operating income was $26.2 million for the three months ended June 30, 2024, a decrease of $0.6 million or 2% compared to the same period in 2023. epay Segment operating income was $52.8 million for the six months ended June 30, 2024, a decrease of $1.5 million or 3% compared to the same period in 2023. Operating margin decreased to 10.0% and 10.2% for the </w:t>
      </w:r>
      <w:r>
        <w:rPr>
          <w:rFonts w:ascii="times new roman;times" w:hAnsi="times new roman;times"/>
          <w:b w:val="false"/>
          <w:i w:val="false"/>
          <w:caps w:val="false"/>
          <w:smallCaps w:val="false"/>
          <w:color w:val="000000"/>
          <w:spacing w:val="0"/>
          <w:sz w:val="20"/>
        </w:rPr>
        <w:t xml:space="preserve">three and six months ended June 30, 2024, </w:t>
      </w:r>
      <w:r>
        <w:rPr>
          <w:rFonts w:ascii="times new roman;times" w:hAnsi="times new roman;times"/>
          <w:b w:val="false"/>
          <w:i w:val="false"/>
          <w:caps w:val="false"/>
          <w:smallCaps w:val="false"/>
          <w:color w:val="000000"/>
          <w:spacing w:val="0"/>
          <w:sz w:val="20"/>
        </w:rPr>
        <w:t xml:space="preserve">compared to </w:t>
      </w:r>
      <w:r>
        <w:rPr>
          <w:rFonts w:ascii="times new roman;times" w:hAnsi="times new roman;times"/>
          <w:b w:val="false"/>
          <w:i w:val="false"/>
          <w:caps w:val="false"/>
          <w:smallCaps w:val="false"/>
          <w:color w:val="000000"/>
          <w:spacing w:val="0"/>
          <w:sz w:val="20"/>
        </w:rPr>
        <w:t>10.2</w:t>
      </w:r>
      <w:r>
        <w:rPr>
          <w:rFonts w:ascii="times new roman;times" w:hAnsi="times new roman;times"/>
          <w:b w:val="false"/>
          <w:i w:val="false"/>
          <w:caps w:val="false"/>
          <w:smallCaps w:val="false"/>
          <w:color w:val="000000"/>
          <w:spacing w:val="0"/>
          <w:sz w:val="20"/>
        </w:rPr>
        <w:t>% and 10.8% for the same periods in 2023. Operating income per transaction was $</w:t>
      </w:r>
      <w:r>
        <w:rPr>
          <w:rFonts w:ascii="times new roman;times" w:hAnsi="times new roman;times"/>
          <w:b w:val="false"/>
          <w:i w:val="false"/>
          <w:caps w:val="false"/>
          <w:smallCaps w:val="false"/>
          <w:color w:val="000000"/>
          <w:spacing w:val="0"/>
          <w:sz w:val="20"/>
        </w:rPr>
        <w:t>0.02</w:t>
      </w:r>
      <w:r>
        <w:rPr>
          <w:rFonts w:ascii="times new roman;times" w:hAnsi="times new roman;times"/>
          <w:b w:val="false"/>
          <w:i w:val="false"/>
          <w:caps w:val="false"/>
          <w:smallCaps w:val="false"/>
          <w:color w:val="000000"/>
          <w:spacing w:val="0"/>
          <w:sz w:val="20"/>
        </w:rPr>
        <w:t> and $0.03 for the three and six months ended June 30, 2024</w:t>
      </w:r>
      <w:r>
        <w:rPr>
          <w:rFonts w:ascii="times new roman;times" w:hAnsi="times new roman;times"/>
          <w:b w:val="false"/>
          <w:i w:val="false"/>
          <w:caps w:val="false"/>
          <w:smallCaps w:val="false"/>
          <w:color w:val="000000"/>
          <w:spacing w:val="0"/>
          <w:sz w:val="20"/>
        </w:rPr>
        <w:t>, respectively compared to $0.03 and $0.03 for</w:t>
      </w:r>
      <w:r>
        <w:rPr>
          <w:rFonts w:ascii="times new roman;times" w:hAnsi="times new roman;times"/>
          <w:b w:val="false"/>
          <w:i w:val="false"/>
          <w:caps w:val="false"/>
          <w:smallCaps w:val="false"/>
          <w:color w:val="000000"/>
          <w:spacing w:val="0"/>
          <w:sz w:val="20"/>
        </w:rPr>
        <w:t> the same periods in 2023. </w:t>
      </w:r>
      <w:r>
        <w:rPr>
          <w:rFonts w:ascii="Times New Roman" w:hAnsi="Times New Roman"/>
          <w:b w:val="false"/>
          <w:i w:val="false"/>
          <w:caps w:val="false"/>
          <w:smallCaps w:val="false"/>
          <w:color w:val="000000"/>
          <w:spacing w:val="0"/>
          <w:sz w:val="20"/>
        </w:rPr>
        <w:t xml:space="preserve">Changes in operating income and operating margin for the </w:t>
      </w:r>
      <w:r>
        <w:rPr>
          <w:rFonts w:ascii="Times New Roman" w:hAnsi="Times New Roman"/>
          <w:b w:val="false"/>
          <w:i w:val="false"/>
          <w:caps w:val="false"/>
          <w:smallCaps w:val="false"/>
          <w:color w:val="000000"/>
          <w:spacing w:val="0"/>
          <w:sz w:val="20"/>
        </w:rPr>
        <w:t>three and six months ended June 30, 2024</w:t>
      </w:r>
      <w:r>
        <w:rPr>
          <w:rFonts w:ascii="Times New Roman" w:hAnsi="Times New Roman"/>
          <w:b w:val="false"/>
          <w:i w:val="false"/>
          <w:caps w:val="false"/>
          <w:smallCaps w:val="false"/>
          <w:color w:val="000000"/>
          <w:spacing w:val="0"/>
          <w:sz w:val="20"/>
        </w:rPr>
        <w:t xml:space="preserve"> compared to the same periods in 2023 were primarily due to the shift in the mix of transactions processed and a decline in the promotional campaign activity this quarter compared to the same period last year. </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16" w:type="dxa"/>
        <w:jc w:val="left"/>
        <w:tblInd w:w="0" w:type="dxa"/>
        <w:tblLayout w:type="fixed"/>
        <w:tblCellMar>
          <w:top w:w="0" w:type="dxa"/>
          <w:left w:w="0" w:type="dxa"/>
          <w:bottom w:w="0" w:type="dxa"/>
          <w:right w:w="0" w:type="dxa"/>
        </w:tblCellMar>
      </w:tblPr>
      <w:tblGrid>
        <w:gridCol w:w="316"/>
      </w:tblGrid>
      <w:tr>
        <w:trPr/>
        <w:tc>
          <w:tcPr>
            <w:tcW w:w="31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32</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before="0" w:after="0"/>
        <w:jc w:val="left"/>
        <w:rPr>
          <w:sz w:val="20"/>
        </w:rPr>
      </w:pPr>
      <w:r>
        <w:rPr>
          <w:sz w:val="20"/>
        </w:rPr>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ind w:left="0" w:right="0" w:hanging="0"/>
        <w:jc w:val="left"/>
        <w:rPr>
          <w:rFonts w:ascii="Times New Roman" w:hAnsi="Times New Roman"/>
          <w:b w:val="false"/>
          <w:i w:val="false"/>
          <w:caps w:val="false"/>
          <w:smallCaps w:val="false"/>
          <w:color w:val="000000"/>
          <w:spacing w:val="0"/>
          <w:sz w:val="20"/>
        </w:rPr>
      </w:pPr>
      <w:r>
        <w:rPr>
          <w:rFonts w:ascii="times new roman;times" w:hAnsi="times new roman;times"/>
          <w:b/>
          <w:i w:val="false"/>
          <w:caps w:val="false"/>
          <w:smallCaps w:val="false"/>
          <w:color w:val="000000"/>
          <w:spacing w:val="0"/>
          <w:sz w:val="20"/>
        </w:rPr>
        <w:t>MONEY TRANSFER SEGMENT</w:t>
        <w:br/>
      </w:r>
      <w:r>
        <w:rPr>
          <w:rFonts w:ascii="Times New Roman" w:hAnsi="Times New Roman"/>
          <w:b w:val="false"/>
          <w:i w:val="false"/>
          <w:caps w:val="false"/>
          <w:smallCaps w:val="false"/>
          <w:color w:val="000000"/>
          <w:spacing w:val="0"/>
          <w:sz w:val="20"/>
        </w:rPr>
        <w:br/>
      </w:r>
      <w:r>
        <w:rPr>
          <w:rFonts w:ascii="times new roman;times" w:hAnsi="times new roman;times"/>
          <w:b w:val="false"/>
          <w:i w:val="false"/>
          <w:caps w:val="false"/>
          <w:smallCaps w:val="false"/>
          <w:color w:val="000000"/>
          <w:spacing w:val="0"/>
          <w:sz w:val="20"/>
        </w:rPr>
        <w:t>The following table presents the results of operations for the three and six months ended </w:t>
      </w:r>
      <w:r>
        <w:rPr>
          <w:rFonts w:ascii="times new roman;times" w:hAnsi="times new roman;times"/>
          <w:b w:val="false"/>
          <w:i w:val="false"/>
          <w:caps w:val="false"/>
          <w:smallCaps w:val="false"/>
          <w:strike w:val="false"/>
          <w:dstrike w:val="false"/>
          <w:color w:val="000000"/>
          <w:spacing w:val="0"/>
          <w:sz w:val="20"/>
          <w:u w:val="none"/>
          <w:effect w:val="none"/>
        </w:rPr>
        <w:t>June 30, 2024</w:t>
      </w:r>
      <w:r>
        <w:rPr>
          <w:rFonts w:ascii="times new roman;times" w:hAnsi="times new roman;times"/>
          <w:b w:val="false"/>
          <w:i w:val="false"/>
          <w:caps w:val="false"/>
          <w:smallCaps w:val="false"/>
          <w:color w:val="000000"/>
          <w:spacing w:val="0"/>
          <w:sz w:val="20"/>
        </w:rPr>
        <w:t> and </w:t>
      </w:r>
      <w:r>
        <w:rPr>
          <w:rFonts w:ascii="times new roman;times" w:hAnsi="times new roman;times"/>
          <w:b w:val="false"/>
          <w:i w:val="false"/>
          <w:caps w:val="false"/>
          <w:smallCaps w:val="false"/>
          <w:strike w:val="false"/>
          <w:dstrike w:val="false"/>
          <w:color w:val="000000"/>
          <w:spacing w:val="0"/>
          <w:sz w:val="20"/>
          <w:u w:val="none"/>
          <w:effect w:val="none"/>
        </w:rPr>
        <w:t>2023</w:t>
      </w:r>
      <w:r>
        <w:rPr>
          <w:rFonts w:ascii="times new roman;times" w:hAnsi="times new roman;times"/>
          <w:b w:val="false"/>
          <w:i w:val="false"/>
          <w:caps w:val="false"/>
          <w:smallCaps w:val="false"/>
          <w:color w:val="000000"/>
          <w:spacing w:val="0"/>
          <w:sz w:val="20"/>
        </w:rPr>
        <w:t> for the Money Transfer Segment: </w:t>
      </w:r>
    </w:p>
    <w:p>
      <w:pPr>
        <w:pStyle w:val="TextBody"/>
        <w:bidi w:val="0"/>
        <w:spacing w:lineRule="auto" w:line="288" w:before="0" w:after="0"/>
        <w:ind w:left="0" w:right="0" w:hanging="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10205" w:type="dxa"/>
        <w:jc w:val="left"/>
        <w:tblInd w:w="0" w:type="dxa"/>
        <w:tblLayout w:type="fixed"/>
        <w:tblCellMar>
          <w:top w:w="0" w:type="dxa"/>
          <w:left w:w="0" w:type="dxa"/>
          <w:bottom w:w="0" w:type="dxa"/>
          <w:right w:w="0" w:type="dxa"/>
        </w:tblCellMar>
      </w:tblPr>
      <w:tblGrid>
        <w:gridCol w:w="1538"/>
        <w:gridCol w:w="23"/>
        <w:gridCol w:w="329"/>
        <w:gridCol w:w="485"/>
        <w:gridCol w:w="30"/>
        <w:gridCol w:w="30"/>
        <w:gridCol w:w="165"/>
        <w:gridCol w:w="643"/>
        <w:gridCol w:w="30"/>
        <w:gridCol w:w="23"/>
        <w:gridCol w:w="215"/>
        <w:gridCol w:w="658"/>
        <w:gridCol w:w="165"/>
        <w:gridCol w:w="23"/>
        <w:gridCol w:w="1550"/>
        <w:gridCol w:w="185"/>
        <w:gridCol w:w="23"/>
        <w:gridCol w:w="23"/>
        <w:gridCol w:w="125"/>
        <w:gridCol w:w="605"/>
        <w:gridCol w:w="24"/>
        <w:gridCol w:w="24"/>
        <w:gridCol w:w="135"/>
        <w:gridCol w:w="605"/>
        <w:gridCol w:w="24"/>
        <w:gridCol w:w="23"/>
        <w:gridCol w:w="196"/>
        <w:gridCol w:w="693"/>
        <w:gridCol w:w="151"/>
        <w:gridCol w:w="23"/>
        <w:gridCol w:w="846"/>
        <w:gridCol w:w="544"/>
        <w:gridCol w:w="49"/>
      </w:tblGrid>
      <w:tr>
        <w:trPr/>
        <w:tc>
          <w:tcPr>
            <w:tcW w:w="1538" w:type="dxa"/>
            <w:tcBorders/>
            <w:vAlign w:val="center"/>
          </w:tcPr>
          <w:p>
            <w:pPr>
              <w:pStyle w:val="TableContents"/>
              <w:bidi w:val="0"/>
              <w:spacing w:before="0" w:after="0"/>
              <w:ind w:left="0" w:right="0" w:hanging="0"/>
              <w:jc w:val="left"/>
              <w:rPr/>
            </w:pPr>
            <w:r>
              <w:rPr/>
              <w:t> </w:t>
            </w:r>
          </w:p>
        </w:tc>
        <w:tc>
          <w:tcPr>
            <w:tcW w:w="23" w:type="dxa"/>
            <w:tcBorders/>
            <w:vAlign w:val="center"/>
          </w:tcPr>
          <w:p>
            <w:pPr>
              <w:pStyle w:val="TableContents"/>
              <w:bidi w:val="0"/>
              <w:spacing w:before="0" w:after="0"/>
              <w:jc w:val="left"/>
              <w:rPr>
                <w:sz w:val="16"/>
              </w:rPr>
            </w:pPr>
            <w:r>
              <w:rPr>
                <w:sz w:val="16"/>
              </w:rPr>
            </w:r>
          </w:p>
        </w:tc>
        <w:tc>
          <w:tcPr>
            <w:tcW w:w="1712" w:type="dxa"/>
            <w:gridSpan w:val="7"/>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Three Months Ended June 30,</w:t>
            </w:r>
          </w:p>
        </w:tc>
        <w:tc>
          <w:tcPr>
            <w:tcW w:w="23" w:type="dxa"/>
            <w:tcBorders/>
            <w:vAlign w:val="center"/>
          </w:tcPr>
          <w:p>
            <w:pPr>
              <w:pStyle w:val="TableContents"/>
              <w:bidi w:val="0"/>
              <w:spacing w:before="0" w:after="283"/>
              <w:jc w:val="left"/>
              <w:rPr>
                <w:sz w:val="4"/>
                <w:szCs w:val="4"/>
              </w:rPr>
            </w:pPr>
            <w:r>
              <w:rPr>
                <w:sz w:val="4"/>
                <w:szCs w:val="4"/>
              </w:rPr>
            </w:r>
          </w:p>
        </w:tc>
        <w:tc>
          <w:tcPr>
            <w:tcW w:w="2796" w:type="dxa"/>
            <w:gridSpan w:val="6"/>
            <w:tcBorders/>
            <w:vAlign w:val="center"/>
          </w:tcPr>
          <w:p>
            <w:pPr>
              <w:pStyle w:val="TableContents"/>
              <w:widowControl/>
              <w:bidi w:val="0"/>
              <w:spacing w:before="0" w:after="283"/>
              <w:ind w:left="0" w:right="0" w:hanging="0"/>
              <w:jc w:val="center"/>
              <w:rPr>
                <w:rFonts w:ascii="times new roman;times" w:hAnsi="times new roman;times"/>
                <w:b/>
                <w:i w:val="false"/>
                <w:caps w:val="false"/>
                <w:smallCaps w:val="false"/>
                <w:color w:val="000000"/>
                <w:spacing w:val="0"/>
                <w:sz w:val="16"/>
              </w:rPr>
            </w:pPr>
            <w:r>
              <w:rPr>
                <w:rFonts w:ascii="times new roman;times" w:hAnsi="times new roman;times"/>
                <w:b/>
                <w:i w:val="false"/>
                <w:caps w:val="false"/>
                <w:smallCaps w:val="false"/>
                <w:color w:val="000000"/>
                <w:spacing w:val="0"/>
                <w:sz w:val="16"/>
              </w:rPr>
              <w:t>Year-over-Year Change</w:t>
            </w:r>
          </w:p>
        </w:tc>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417" w:type="dxa"/>
            <w:gridSpan w:val="6"/>
            <w:tcBorders/>
            <w:vAlign w:val="center"/>
          </w:tcPr>
          <w:p>
            <w:pPr>
              <w:pStyle w:val="TableContents"/>
              <w:widowControl/>
              <w:bidi w:val="0"/>
              <w:spacing w:before="0" w:after="283"/>
              <w:ind w:left="0" w:right="0" w:hanging="0"/>
              <w:jc w:val="center"/>
              <w:rPr>
                <w:rFonts w:ascii="times new roman" w:hAnsi="times new roman"/>
                <w:b/>
                <w:i w:val="false"/>
                <w:caps w:val="false"/>
                <w:smallCaps w:val="false"/>
                <w:color w:val="000000"/>
                <w:spacing w:val="0"/>
                <w:sz w:val="15"/>
              </w:rPr>
            </w:pPr>
            <w:r>
              <w:rPr>
                <w:rFonts w:ascii="times new roman" w:hAnsi="times new roman"/>
                <w:b/>
                <w:i w:val="false"/>
                <w:caps w:val="false"/>
                <w:smallCaps w:val="false"/>
                <w:color w:val="000000"/>
                <w:spacing w:val="0"/>
                <w:sz w:val="15"/>
              </w:rPr>
              <w:t>Six Months Ended June 30,</w:t>
            </w:r>
          </w:p>
        </w:tc>
        <w:tc>
          <w:tcPr>
            <w:tcW w:w="23" w:type="dxa"/>
            <w:tcBorders/>
            <w:vAlign w:val="center"/>
          </w:tcPr>
          <w:p>
            <w:pPr>
              <w:pStyle w:val="TableContents"/>
              <w:bidi w:val="0"/>
              <w:spacing w:before="0" w:after="283"/>
              <w:jc w:val="left"/>
              <w:rPr/>
            </w:pPr>
            <w:r>
              <w:rPr/>
            </w:r>
          </w:p>
        </w:tc>
        <w:tc>
          <w:tcPr>
            <w:tcW w:w="2453" w:type="dxa"/>
            <w:gridSpan w:val="6"/>
            <w:tcBorders/>
            <w:vAlign w:val="center"/>
          </w:tcPr>
          <w:p>
            <w:pPr>
              <w:pStyle w:val="TableContents"/>
              <w:widowControl/>
              <w:bidi w:val="0"/>
              <w:spacing w:before="0" w:after="283"/>
              <w:ind w:left="0" w:right="0" w:hanging="0"/>
              <w:jc w:val="center"/>
              <w:rPr>
                <w:rFonts w:ascii="times new roman;times" w:hAnsi="times new roman;times"/>
                <w:b/>
                <w:i w:val="false"/>
                <w:caps w:val="false"/>
                <w:smallCaps w:val="false"/>
                <w:color w:val="000000"/>
                <w:spacing w:val="0"/>
                <w:sz w:val="15"/>
              </w:rPr>
            </w:pPr>
            <w:r>
              <w:rPr>
                <w:rFonts w:ascii="times new roman;times" w:hAnsi="times new roman;times"/>
                <w:b/>
                <w:i w:val="false"/>
                <w:caps w:val="false"/>
                <w:smallCaps w:val="false"/>
                <w:color w:val="000000"/>
                <w:spacing w:val="0"/>
                <w:sz w:val="15"/>
              </w:rPr>
              <w:t>Year-over-Year Change</w:t>
            </w:r>
          </w:p>
        </w:tc>
        <w:tc>
          <w:tcPr>
            <w:tcW w:w="49" w:type="dxa"/>
            <w:tcBorders/>
            <w:vAlign w:val="center"/>
          </w:tcPr>
          <w:p>
            <w:pPr>
              <w:pStyle w:val="TableContents"/>
              <w:bidi w:val="0"/>
              <w:spacing w:before="0" w:after="283"/>
              <w:jc w:val="left"/>
              <w:rPr/>
            </w:pPr>
            <w:r>
              <w:rPr/>
            </w:r>
          </w:p>
        </w:tc>
      </w:tr>
      <w:tr>
        <w:trPr/>
        <w:tc>
          <w:tcPr>
            <w:tcW w:w="1538" w:type="dxa"/>
            <w:tcBorders/>
            <w:vAlign w:val="center"/>
          </w:tcPr>
          <w:p>
            <w:pPr>
              <w:pStyle w:val="TableContents"/>
              <w:widowControl/>
              <w:bidi w:val="0"/>
              <w:spacing w:before="0" w:after="0"/>
              <w:ind w:left="0" w:right="0" w:hanging="0"/>
              <w:jc w:val="left"/>
              <w:rPr>
                <w:rFonts w:ascii="times new roman;times" w:hAnsi="times new roman;times"/>
                <w:sz w:val="16"/>
              </w:rPr>
            </w:pPr>
            <w:r>
              <w:rPr>
                <w:rFonts w:ascii="times new roman;times" w:hAnsi="times new roman;times"/>
                <w:sz w:val="16"/>
              </w:rPr>
              <w:t xml:space="preserve">(dollar amounts in </w:t>
            </w:r>
            <w:r>
              <w:rPr>
                <w:rFonts w:ascii="times new roman;times" w:hAnsi="times new roman;times"/>
                <w:b w:val="false"/>
                <w:color w:val="000000"/>
                <w:spacing w:val="0"/>
                <w:sz w:val="16"/>
              </w:rPr>
              <w:t>millions</w:t>
            </w:r>
            <w:r>
              <w:rPr>
                <w:rFonts w:ascii="times new roman;times" w:hAnsi="times new roman;times"/>
                <w:sz w:val="16"/>
              </w:rPr>
              <w:t>)</w:t>
            </w:r>
          </w:p>
        </w:tc>
        <w:tc>
          <w:tcPr>
            <w:tcW w:w="23" w:type="dxa"/>
            <w:tcBorders/>
            <w:vAlign w:val="center"/>
          </w:tcPr>
          <w:p>
            <w:pPr>
              <w:pStyle w:val="TableContents"/>
              <w:bidi w:val="0"/>
              <w:spacing w:before="0" w:after="0"/>
              <w:jc w:val="left"/>
              <w:rPr>
                <w:sz w:val="16"/>
              </w:rPr>
            </w:pPr>
            <w:r>
              <w:rPr>
                <w:sz w:val="16"/>
              </w:rPr>
            </w:r>
          </w:p>
        </w:tc>
        <w:tc>
          <w:tcPr>
            <w:tcW w:w="844" w:type="dxa"/>
            <w:gridSpan w:val="3"/>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2024</w:t>
            </w:r>
          </w:p>
        </w:tc>
        <w:tc>
          <w:tcPr>
            <w:tcW w:w="30" w:type="dxa"/>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center"/>
              <w:rPr>
                <w:rFonts w:ascii="times new roman;times" w:hAnsi="times new roman;times"/>
                <w:b/>
                <w:sz w:val="16"/>
              </w:rPr>
            </w:pPr>
            <w:r>
              <w:rPr>
                <w:rFonts w:ascii="times new roman;times" w:hAnsi="times new roman;times"/>
                <w:b/>
                <w:sz w:val="16"/>
              </w:rPr>
              <w:t>2023</w:t>
            </w:r>
          </w:p>
        </w:tc>
        <w:tc>
          <w:tcPr>
            <w:tcW w:w="23" w:type="dxa"/>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widowControl/>
              <w:bidi w:val="0"/>
              <w:spacing w:before="0" w:after="0"/>
              <w:ind w:left="0" w:right="0" w:hanging="0"/>
              <w:jc w:val="center"/>
              <w:rPr>
                <w:rFonts w:ascii="times new roman;times" w:hAnsi="times new roman;times"/>
                <w:b/>
                <w:i w:val="false"/>
                <w:caps w:val="false"/>
                <w:smallCaps w:val="false"/>
                <w:color w:val="000000"/>
                <w:spacing w:val="0"/>
                <w:sz w:val="16"/>
              </w:rPr>
            </w:pPr>
            <w:r>
              <w:rPr>
                <w:rFonts w:ascii="times new roman;times" w:hAnsi="times new roman;times"/>
                <w:b/>
                <w:i w:val="false"/>
                <w:caps w:val="false"/>
                <w:smallCaps w:val="false"/>
                <w:color w:val="000000"/>
                <w:spacing w:val="0"/>
                <w:sz w:val="16"/>
              </w:rPr>
              <w:t>Increase (Decrease) Amount</w:t>
            </w:r>
          </w:p>
        </w:tc>
        <w:tc>
          <w:tcPr>
            <w:tcW w:w="23"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widowControl/>
              <w:bidi w:val="0"/>
              <w:spacing w:before="0" w:after="0"/>
              <w:ind w:left="0" w:right="0" w:hanging="0"/>
              <w:jc w:val="left"/>
              <w:rPr>
                <w:rFonts w:ascii="times new roman;times" w:hAnsi="times new roman;times"/>
                <w:b/>
                <w:i w:val="false"/>
                <w:caps w:val="false"/>
                <w:smallCaps w:val="false"/>
                <w:color w:val="000000"/>
                <w:spacing w:val="0"/>
                <w:sz w:val="16"/>
              </w:rPr>
            </w:pPr>
            <w:r>
              <w:rPr>
                <w:rFonts w:ascii="times new roman;times" w:hAnsi="times new roman;times"/>
                <w:b/>
                <w:i w:val="false"/>
                <w:caps w:val="false"/>
                <w:smallCaps w:val="false"/>
                <w:color w:val="000000"/>
                <w:spacing w:val="0"/>
                <w:sz w:val="16"/>
              </w:rPr>
              <w:t>Increase (Decrease) Percent</w:t>
            </w:r>
          </w:p>
        </w:tc>
        <w:tc>
          <w:tcPr>
            <w:tcW w:w="18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widowControl/>
              <w:bidi w:val="0"/>
              <w:spacing w:before="0" w:after="0"/>
              <w:ind w:left="0" w:right="0" w:hanging="0"/>
              <w:jc w:val="center"/>
              <w:rPr>
                <w:rFonts w:ascii="times new roman" w:hAnsi="times new roman"/>
                <w:b w:val="false"/>
                <w:i w:val="false"/>
                <w:caps w:val="false"/>
                <w:smallCaps w:val="false"/>
                <w:color w:val="000000"/>
                <w:spacing w:val="0"/>
              </w:rPr>
            </w:pPr>
            <w:r>
              <w:rPr>
                <w:rFonts w:ascii="times new roman" w:hAnsi="times new roman"/>
                <w:b w:val="false"/>
                <w:i w:val="false"/>
                <w:caps w:val="false"/>
                <w:smallCaps w:val="false"/>
                <w:color w:val="000000"/>
                <w:spacing w:val="0"/>
              </w:rPr>
            </w:r>
          </w:p>
        </w:tc>
        <w:tc>
          <w:tcPr>
            <w:tcW w:w="125" w:type="dxa"/>
            <w:tcBorders/>
            <w:vAlign w:val="center"/>
          </w:tcPr>
          <w:p>
            <w:pPr>
              <w:pStyle w:val="TableContents"/>
              <w:widowControl/>
              <w:bidi w:val="0"/>
              <w:spacing w:before="0" w:after="0"/>
              <w:ind w:left="0" w:right="0" w:hanging="0"/>
              <w:jc w:val="center"/>
              <w:rPr>
                <w:rFonts w:ascii="times new roman" w:hAnsi="times new roman"/>
                <w:b w:val="false"/>
                <w:i w:val="false"/>
                <w:caps w:val="false"/>
                <w:smallCaps w:val="false"/>
                <w:color w:val="000000"/>
                <w:spacing w:val="0"/>
              </w:rPr>
            </w:pPr>
            <w:r>
              <w:rPr>
                <w:rFonts w:ascii="times new roman" w:hAnsi="times new roman"/>
                <w:b w:val="false"/>
                <w:i w:val="false"/>
                <w:caps w:val="false"/>
                <w:smallCaps w:val="false"/>
                <w:color w:val="000000"/>
                <w:spacing w:val="0"/>
              </w:rPr>
            </w:r>
          </w:p>
        </w:tc>
        <w:tc>
          <w:tcPr>
            <w:tcW w:w="629" w:type="dxa"/>
            <w:gridSpan w:val="2"/>
            <w:tcBorders/>
            <w:vAlign w:val="center"/>
          </w:tcPr>
          <w:p>
            <w:pPr>
              <w:pStyle w:val="TableContents"/>
              <w:bidi w:val="0"/>
              <w:spacing w:before="0" w:after="283"/>
              <w:jc w:val="center"/>
              <w:rPr>
                <w:b/>
                <w:sz w:val="16"/>
              </w:rPr>
            </w:pPr>
            <w:r>
              <w:rPr>
                <w:b/>
                <w:sz w:val="16"/>
              </w:rPr>
              <w:t>2024</w:t>
            </w:r>
          </w:p>
        </w:tc>
        <w:tc>
          <w:tcPr>
            <w:tcW w:w="24" w:type="dxa"/>
            <w:tcBorders/>
            <w:vAlign w:val="center"/>
          </w:tcPr>
          <w:p>
            <w:pPr>
              <w:pStyle w:val="TableContents"/>
              <w:bidi w:val="0"/>
              <w:spacing w:before="0" w:after="0"/>
              <w:jc w:val="left"/>
              <w:rPr/>
            </w:pPr>
            <w:r>
              <w:rPr/>
            </w:r>
          </w:p>
        </w:tc>
        <w:tc>
          <w:tcPr>
            <w:tcW w:w="764" w:type="dxa"/>
            <w:gridSpan w:val="3"/>
            <w:tcBorders/>
            <w:vAlign w:val="center"/>
          </w:tcPr>
          <w:p>
            <w:pPr>
              <w:pStyle w:val="TableContents"/>
              <w:bidi w:val="0"/>
              <w:spacing w:before="0" w:after="283"/>
              <w:jc w:val="center"/>
              <w:rPr>
                <w:b/>
                <w:sz w:val="16"/>
              </w:rPr>
            </w:pPr>
            <w:r>
              <w:rPr>
                <w:b/>
                <w:sz w:val="16"/>
              </w:rPr>
              <w:t>2023</w:t>
            </w:r>
          </w:p>
        </w:tc>
        <w:tc>
          <w:tcPr>
            <w:tcW w:w="23" w:type="dxa"/>
            <w:tcBorders/>
            <w:vAlign w:val="center"/>
          </w:tcPr>
          <w:p>
            <w:pPr>
              <w:pStyle w:val="TableContents"/>
              <w:widowControl/>
              <w:bidi w:val="0"/>
              <w:spacing w:before="0" w:after="0"/>
              <w:ind w:left="0" w:right="0" w:hanging="0"/>
              <w:jc w:val="center"/>
              <w:rPr>
                <w:rFonts w:ascii="times new roman" w:hAnsi="times new roman"/>
                <w:b w:val="false"/>
                <w:i w:val="false"/>
                <w:caps w:val="false"/>
                <w:smallCaps w:val="false"/>
                <w:color w:val="000000"/>
                <w:spacing w:val="0"/>
              </w:rPr>
            </w:pPr>
            <w:r>
              <w:rPr>
                <w:rFonts w:ascii="times new roman" w:hAnsi="times new roman"/>
                <w:b w:val="false"/>
                <w:i w:val="false"/>
                <w:caps w:val="false"/>
                <w:smallCaps w:val="false"/>
                <w:color w:val="000000"/>
                <w:spacing w:val="0"/>
              </w:rPr>
            </w:r>
          </w:p>
        </w:tc>
        <w:tc>
          <w:tcPr>
            <w:tcW w:w="1040" w:type="dxa"/>
            <w:gridSpan w:val="3"/>
            <w:tcBorders/>
            <w:vAlign w:val="center"/>
          </w:tcPr>
          <w:p>
            <w:pPr>
              <w:pStyle w:val="TableContents"/>
              <w:widowControl/>
              <w:bidi w:val="0"/>
              <w:spacing w:before="0" w:after="0"/>
              <w:ind w:left="0" w:right="0" w:hanging="0"/>
              <w:jc w:val="center"/>
              <w:rPr>
                <w:rFonts w:ascii="times new roman;times" w:hAnsi="times new roman;times"/>
                <w:b/>
                <w:i w:val="false"/>
                <w:caps w:val="false"/>
                <w:smallCaps w:val="false"/>
                <w:color w:val="000000"/>
                <w:spacing w:val="0"/>
                <w:sz w:val="16"/>
              </w:rPr>
            </w:pPr>
            <w:r>
              <w:rPr>
                <w:rFonts w:ascii="times new roman;times" w:hAnsi="times new roman;times"/>
                <w:b/>
                <w:i w:val="false"/>
                <w:caps w:val="false"/>
                <w:smallCaps w:val="false"/>
                <w:color w:val="000000"/>
                <w:spacing w:val="0"/>
                <w:sz w:val="16"/>
              </w:rPr>
              <w:t>Increase (Decrease) Amount</w:t>
            </w:r>
          </w:p>
        </w:tc>
        <w:tc>
          <w:tcPr>
            <w:tcW w:w="23" w:type="dxa"/>
            <w:tcBorders/>
            <w:vAlign w:val="center"/>
          </w:tcPr>
          <w:p>
            <w:pPr>
              <w:pStyle w:val="TableContents"/>
              <w:widowControl/>
              <w:bidi w:val="0"/>
              <w:spacing w:before="0" w:after="0"/>
              <w:ind w:left="0" w:right="0" w:hanging="0"/>
              <w:jc w:val="center"/>
              <w:rPr>
                <w:rFonts w:ascii="times new roman" w:hAnsi="times new roman"/>
                <w:b w:val="false"/>
                <w:i w:val="false"/>
                <w:caps w:val="false"/>
                <w:smallCaps w:val="false"/>
                <w:color w:val="000000"/>
                <w:spacing w:val="0"/>
              </w:rPr>
            </w:pPr>
            <w:r>
              <w:rPr>
                <w:rFonts w:ascii="times new roman" w:hAnsi="times new roman"/>
                <w:b w:val="false"/>
                <w:i w:val="false"/>
                <w:caps w:val="false"/>
                <w:smallCaps w:val="false"/>
                <w:color w:val="000000"/>
                <w:spacing w:val="0"/>
              </w:rPr>
            </w:r>
          </w:p>
        </w:tc>
        <w:tc>
          <w:tcPr>
            <w:tcW w:w="1390" w:type="dxa"/>
            <w:gridSpan w:val="2"/>
            <w:tcBorders/>
            <w:vAlign w:val="center"/>
          </w:tcPr>
          <w:p>
            <w:pPr>
              <w:pStyle w:val="TableContents"/>
              <w:widowControl/>
              <w:bidi w:val="0"/>
              <w:spacing w:before="0" w:after="0"/>
              <w:ind w:left="0" w:right="0" w:hanging="0"/>
              <w:jc w:val="center"/>
              <w:rPr>
                <w:rFonts w:ascii="times new roman;times" w:hAnsi="times new roman;times"/>
                <w:b/>
                <w:i w:val="false"/>
                <w:caps w:val="false"/>
                <w:smallCaps w:val="false"/>
                <w:color w:val="000000"/>
                <w:spacing w:val="0"/>
                <w:sz w:val="16"/>
              </w:rPr>
            </w:pPr>
            <w:r>
              <w:rPr>
                <w:rFonts w:ascii="times new roman;times" w:hAnsi="times new roman;times"/>
                <w:b/>
                <w:i w:val="false"/>
                <w:caps w:val="false"/>
                <w:smallCaps w:val="false"/>
                <w:color w:val="000000"/>
                <w:spacing w:val="0"/>
                <w:sz w:val="16"/>
              </w:rPr>
              <w:t xml:space="preserve">Increase (Decrease) </w:t>
            </w:r>
          </w:p>
          <w:p>
            <w:pPr>
              <w:pStyle w:val="TableContents"/>
              <w:widowControl/>
              <w:bidi w:val="0"/>
              <w:spacing w:before="0" w:after="0"/>
              <w:ind w:left="0" w:right="0" w:hanging="0"/>
              <w:jc w:val="center"/>
              <w:rPr>
                <w:rFonts w:ascii="times new roman;times" w:hAnsi="times new roman;times"/>
                <w:b/>
                <w:i w:val="false"/>
                <w:caps w:val="false"/>
                <w:smallCaps w:val="false"/>
                <w:color w:val="000000"/>
                <w:spacing w:val="0"/>
                <w:sz w:val="16"/>
              </w:rPr>
            </w:pPr>
            <w:r>
              <w:rPr>
                <w:rFonts w:ascii="times new roman;times" w:hAnsi="times new roman;times"/>
                <w:b/>
                <w:i w:val="false"/>
                <w:caps w:val="false"/>
                <w:smallCaps w:val="false"/>
                <w:color w:val="000000"/>
                <w:spacing w:val="0"/>
                <w:sz w:val="16"/>
              </w:rPr>
              <w:t>Percent</w:t>
            </w:r>
          </w:p>
        </w:tc>
        <w:tc>
          <w:tcPr>
            <w:tcW w:w="49" w:type="dxa"/>
            <w:tcBorders/>
            <w:vAlign w:val="center"/>
          </w:tcPr>
          <w:p>
            <w:pPr>
              <w:pStyle w:val="TableContents"/>
              <w:widowControl/>
              <w:bidi w:val="0"/>
              <w:spacing w:before="0" w:after="0"/>
              <w:ind w:left="0" w:right="0" w:hanging="0"/>
              <w:jc w:val="center"/>
              <w:rPr>
                <w:rFonts w:ascii="times new roman" w:hAnsi="times new roman"/>
                <w:b w:val="false"/>
                <w:i w:val="false"/>
                <w:caps w:val="false"/>
                <w:smallCaps w:val="false"/>
                <w:color w:val="000000"/>
                <w:spacing w:val="0"/>
              </w:rPr>
            </w:pPr>
            <w:r>
              <w:rPr>
                <w:rFonts w:ascii="times new roman" w:hAnsi="times new roman"/>
                <w:b w:val="false"/>
                <w:i w:val="false"/>
                <w:caps w:val="false"/>
                <w:smallCaps w:val="false"/>
                <w:color w:val="000000"/>
                <w:spacing w:val="0"/>
              </w:rPr>
            </w:r>
          </w:p>
        </w:tc>
      </w:tr>
      <w:tr>
        <w:trPr/>
        <w:tc>
          <w:tcPr>
            <w:tcW w:w="1538"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Total revenues</w:t>
            </w:r>
          </w:p>
        </w:tc>
        <w:tc>
          <w:tcPr>
            <w:tcW w:w="23" w:type="dxa"/>
            <w:tcBorders/>
            <w:shd w:fill="CCEEFF" w:val="clear"/>
            <w:vAlign w:val="center"/>
          </w:tcPr>
          <w:p>
            <w:pPr>
              <w:pStyle w:val="TableContents"/>
              <w:bidi w:val="0"/>
              <w:spacing w:before="0" w:after="0"/>
              <w:jc w:val="left"/>
              <w:rPr>
                <w:sz w:val="20"/>
              </w:rPr>
            </w:pPr>
            <w:r>
              <w:rPr>
                <w:sz w:val="20"/>
              </w:rPr>
            </w:r>
          </w:p>
        </w:tc>
        <w:tc>
          <w:tcPr>
            <w:tcW w:w="329"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485"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421.8</w:t>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165"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643"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394.8</w:t>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215"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658"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27.0</w:t>
            </w:r>
          </w:p>
        </w:tc>
        <w:tc>
          <w:tcPr>
            <w:tcW w:w="165" w:type="dxa"/>
            <w:tcBorders/>
            <w:shd w:fill="CCEEFF" w:val="clear"/>
            <w:vAlign w:val="center"/>
          </w:tcPr>
          <w:p>
            <w:pPr>
              <w:pStyle w:val="TableContents"/>
              <w:bidi w:val="0"/>
              <w:spacing w:before="0" w:after="283"/>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1550"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7</w:t>
            </w:r>
          </w:p>
        </w:tc>
        <w:tc>
          <w:tcPr>
            <w:tcW w:w="185"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23" w:type="dxa"/>
            <w:tcBorders/>
            <w:shd w:fill="CCEEFF" w:val="clear"/>
            <w:vAlign w:val="center"/>
          </w:tcPr>
          <w:p>
            <w:pPr>
              <w:pStyle w:val="TableContents"/>
              <w:bidi w:val="0"/>
              <w:spacing w:before="0" w:after="0"/>
              <w:jc w:val="left"/>
              <w:rPr>
                <w:sz w:val="20"/>
              </w:rPr>
            </w:pPr>
            <w:r>
              <w:rPr>
                <w:sz w:val="20"/>
              </w:rPr>
            </w:r>
          </w:p>
        </w:tc>
        <w:tc>
          <w:tcPr>
            <w:tcW w:w="23" w:type="dxa"/>
            <w:tcBorders/>
            <w:shd w:fill="CCEEFF" w:val="clear"/>
            <w:vAlign w:val="center"/>
          </w:tcPr>
          <w:p>
            <w:pPr>
              <w:pStyle w:val="TableContents"/>
              <w:bidi w:val="0"/>
              <w:spacing w:before="0" w:after="0"/>
              <w:jc w:val="left"/>
              <w:rPr>
                <w:sz w:val="20"/>
              </w:rPr>
            </w:pPr>
            <w:r>
              <w:rPr>
                <w:sz w:val="20"/>
              </w:rPr>
            </w:r>
          </w:p>
        </w:tc>
        <w:tc>
          <w:tcPr>
            <w:tcW w:w="125" w:type="dxa"/>
            <w:tcBorders/>
            <w:shd w:fill="CCEEFF" w:val="clear"/>
            <w:vAlign w:val="center"/>
          </w:tcPr>
          <w:p>
            <w:pPr>
              <w:pStyle w:val="TableContents"/>
              <w:bidi w:val="0"/>
              <w:spacing w:before="0" w:after="0"/>
              <w:jc w:val="left"/>
              <w:rPr>
                <w:sz w:val="20"/>
              </w:rPr>
            </w:pPr>
            <w:r>
              <w:rPr>
                <w:sz w:val="20"/>
              </w:rPr>
              <w:t>$</w:t>
            </w:r>
          </w:p>
        </w:tc>
        <w:tc>
          <w:tcPr>
            <w:tcW w:w="605" w:type="dxa"/>
            <w:tcBorders/>
            <w:shd w:fill="CCEEFF" w:val="clear"/>
            <w:vAlign w:val="center"/>
          </w:tcPr>
          <w:p>
            <w:pPr>
              <w:pStyle w:val="TableContents"/>
              <w:bidi w:val="0"/>
              <w:spacing w:before="0" w:after="283"/>
              <w:jc w:val="right"/>
              <w:rPr/>
            </w:pPr>
            <w:r>
              <w:rPr/>
              <w:t>806.4</w:t>
            </w:r>
          </w:p>
        </w:tc>
        <w:tc>
          <w:tcPr>
            <w:tcW w:w="24" w:type="dxa"/>
            <w:tcBorders/>
            <w:shd w:fill="CCEEFF" w:val="clear"/>
            <w:vAlign w:val="center"/>
          </w:tcPr>
          <w:p>
            <w:pPr>
              <w:pStyle w:val="TableContents"/>
              <w:bidi w:val="0"/>
              <w:spacing w:before="0" w:after="0"/>
              <w:jc w:val="left"/>
              <w:rPr>
                <w:sz w:val="20"/>
              </w:rPr>
            </w:pPr>
            <w:r>
              <w:rPr>
                <w:sz w:val="20"/>
              </w:rPr>
            </w:r>
          </w:p>
        </w:tc>
        <w:tc>
          <w:tcPr>
            <w:tcW w:w="24" w:type="dxa"/>
            <w:tcBorders/>
            <w:shd w:fill="CCEEFF" w:val="clear"/>
            <w:vAlign w:val="center"/>
          </w:tcPr>
          <w:p>
            <w:pPr>
              <w:pStyle w:val="TableContents"/>
              <w:bidi w:val="0"/>
              <w:spacing w:before="0" w:after="0"/>
              <w:jc w:val="left"/>
              <w:rPr>
                <w:sz w:val="20"/>
              </w:rPr>
            </w:pPr>
            <w:r>
              <w:rPr>
                <w:sz w:val="20"/>
              </w:rPr>
            </w:r>
          </w:p>
        </w:tc>
        <w:tc>
          <w:tcPr>
            <w:tcW w:w="135" w:type="dxa"/>
            <w:tcBorders/>
            <w:shd w:fill="CCEEFF" w:val="clear"/>
            <w:vAlign w:val="center"/>
          </w:tcPr>
          <w:p>
            <w:pPr>
              <w:pStyle w:val="TableContents"/>
              <w:bidi w:val="0"/>
              <w:spacing w:before="0" w:after="0"/>
              <w:jc w:val="left"/>
              <w:rPr>
                <w:sz w:val="20"/>
              </w:rPr>
            </w:pPr>
            <w:r>
              <w:rPr>
                <w:sz w:val="20"/>
              </w:rPr>
              <w:t>$</w:t>
            </w:r>
          </w:p>
        </w:tc>
        <w:tc>
          <w:tcPr>
            <w:tcW w:w="605" w:type="dxa"/>
            <w:tcBorders/>
            <w:shd w:fill="CCEEFF" w:val="clear"/>
            <w:vAlign w:val="center"/>
          </w:tcPr>
          <w:p>
            <w:pPr>
              <w:pStyle w:val="TableContents"/>
              <w:bidi w:val="0"/>
              <w:spacing w:before="0" w:after="283"/>
              <w:jc w:val="right"/>
              <w:rPr/>
            </w:pPr>
            <w:r>
              <w:rPr/>
              <w:t>754.2</w:t>
            </w:r>
          </w:p>
        </w:tc>
        <w:tc>
          <w:tcPr>
            <w:tcW w:w="24" w:type="dxa"/>
            <w:tcBorders/>
            <w:shd w:fill="CCEEFF" w:val="clear"/>
            <w:vAlign w:val="center"/>
          </w:tcPr>
          <w:p>
            <w:pPr>
              <w:pStyle w:val="TableContents"/>
              <w:bidi w:val="0"/>
              <w:spacing w:before="0" w:after="0"/>
              <w:jc w:val="left"/>
              <w:rPr>
                <w:sz w:val="20"/>
              </w:rPr>
            </w:pPr>
            <w:r>
              <w:rPr>
                <w:sz w:val="20"/>
              </w:rPr>
            </w:r>
          </w:p>
        </w:tc>
        <w:tc>
          <w:tcPr>
            <w:tcW w:w="23" w:type="dxa"/>
            <w:tcBorders/>
            <w:shd w:fill="CCEEFF" w:val="clear"/>
            <w:vAlign w:val="center"/>
          </w:tcPr>
          <w:p>
            <w:pPr>
              <w:pStyle w:val="TableContents"/>
              <w:bidi w:val="0"/>
              <w:spacing w:before="0" w:after="0"/>
              <w:jc w:val="left"/>
              <w:rPr>
                <w:sz w:val="20"/>
              </w:rPr>
            </w:pPr>
            <w:r>
              <w:rPr>
                <w:sz w:val="20"/>
              </w:rPr>
            </w:r>
          </w:p>
        </w:tc>
        <w:tc>
          <w:tcPr>
            <w:tcW w:w="196" w:type="dxa"/>
            <w:tcBorders/>
            <w:shd w:fill="CCEEFF" w:val="clear"/>
            <w:vAlign w:val="center"/>
          </w:tcPr>
          <w:p>
            <w:pPr>
              <w:pStyle w:val="TableContents"/>
              <w:bidi w:val="0"/>
              <w:spacing w:before="0" w:after="0"/>
              <w:jc w:val="left"/>
              <w:rPr>
                <w:sz w:val="20"/>
              </w:rPr>
            </w:pPr>
            <w:r>
              <w:rPr>
                <w:sz w:val="20"/>
              </w:rPr>
              <w:t>$</w:t>
            </w:r>
          </w:p>
        </w:tc>
        <w:tc>
          <w:tcPr>
            <w:tcW w:w="693" w:type="dxa"/>
            <w:tcBorders/>
            <w:shd w:fill="CCEEFF" w:val="clear"/>
            <w:vAlign w:val="center"/>
          </w:tcPr>
          <w:p>
            <w:pPr>
              <w:pStyle w:val="TableContents"/>
              <w:bidi w:val="0"/>
              <w:spacing w:before="0" w:after="0"/>
              <w:jc w:val="right"/>
              <w:rPr>
                <w:sz w:val="20"/>
              </w:rPr>
            </w:pPr>
            <w:r>
              <w:rPr>
                <w:sz w:val="20"/>
              </w:rPr>
              <w:t>52.2</w:t>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23" w:type="dxa"/>
            <w:tcBorders/>
            <w:shd w:fill="CCEEFF" w:val="clear"/>
            <w:vAlign w:val="center"/>
          </w:tcPr>
          <w:p>
            <w:pPr>
              <w:pStyle w:val="TableContents"/>
              <w:bidi w:val="0"/>
              <w:spacing w:before="0" w:after="0"/>
              <w:jc w:val="left"/>
              <w:rPr>
                <w:sz w:val="20"/>
              </w:rPr>
            </w:pPr>
            <w:r>
              <w:rPr>
                <w:sz w:val="20"/>
              </w:rPr>
            </w:r>
          </w:p>
        </w:tc>
        <w:tc>
          <w:tcPr>
            <w:tcW w:w="846" w:type="dxa"/>
            <w:tcBorders/>
            <w:shd w:fill="CCEEFF" w:val="clear"/>
            <w:vAlign w:val="center"/>
          </w:tcPr>
          <w:p>
            <w:pPr>
              <w:pStyle w:val="TableContents"/>
              <w:bidi w:val="0"/>
              <w:spacing w:before="0" w:after="0"/>
              <w:jc w:val="right"/>
              <w:rPr>
                <w:sz w:val="20"/>
              </w:rPr>
            </w:pPr>
            <w:r>
              <w:rPr>
                <w:sz w:val="20"/>
              </w:rPr>
              <w:t>7</w:t>
            </w:r>
          </w:p>
        </w:tc>
        <w:tc>
          <w:tcPr>
            <w:tcW w:w="544" w:type="dxa"/>
            <w:tcBorders/>
            <w:shd w:fill="CCEEFF" w:val="clear"/>
            <w:vAlign w:val="center"/>
          </w:tcPr>
          <w:p>
            <w:pPr>
              <w:pStyle w:val="TableContents"/>
              <w:bidi w:val="0"/>
              <w:spacing w:before="0" w:after="0"/>
              <w:jc w:val="right"/>
              <w:rPr>
                <w:sz w:val="20"/>
              </w:rPr>
            </w:pPr>
            <w:r>
              <w:rPr>
                <w:sz w:val="20"/>
              </w:rPr>
              <w:t>%</w:t>
            </w:r>
          </w:p>
        </w:tc>
        <w:tc>
          <w:tcPr>
            <w:tcW w:w="49" w:type="dxa"/>
            <w:tcBorders/>
            <w:shd w:fill="CCEEFF" w:val="clear"/>
            <w:vAlign w:val="center"/>
          </w:tcPr>
          <w:p>
            <w:pPr>
              <w:pStyle w:val="TableContents"/>
              <w:bidi w:val="0"/>
              <w:spacing w:before="0" w:after="283"/>
              <w:jc w:val="left"/>
              <w:rPr>
                <w:sz w:val="4"/>
                <w:szCs w:val="4"/>
              </w:rPr>
            </w:pPr>
            <w:r>
              <w:rPr>
                <w:sz w:val="4"/>
                <w:szCs w:val="4"/>
              </w:rPr>
            </w:r>
          </w:p>
        </w:tc>
      </w:tr>
      <w:tr>
        <w:trPr/>
        <w:tc>
          <w:tcPr>
            <w:tcW w:w="1538"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Operating expenses:</w:t>
            </w:r>
          </w:p>
        </w:tc>
        <w:tc>
          <w:tcPr>
            <w:tcW w:w="23" w:type="dxa"/>
            <w:tcBorders/>
            <w:vAlign w:val="center"/>
          </w:tcPr>
          <w:p>
            <w:pPr>
              <w:pStyle w:val="TableContents"/>
              <w:bidi w:val="0"/>
              <w:spacing w:before="0" w:after="0"/>
              <w:jc w:val="left"/>
              <w:rPr>
                <w:sz w:val="20"/>
              </w:rPr>
            </w:pPr>
            <w:r>
              <w:rPr>
                <w:sz w:val="20"/>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605" w:type="dxa"/>
            <w:tcBorders/>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pPr>
            <w:r>
              <w:rPr/>
            </w:r>
          </w:p>
        </w:tc>
        <w:tc>
          <w:tcPr>
            <w:tcW w:w="24" w:type="dxa"/>
            <w:tcBorders/>
            <w:vAlign w:val="center"/>
          </w:tcPr>
          <w:p>
            <w:pPr>
              <w:pStyle w:val="TableContents"/>
              <w:bidi w:val="0"/>
              <w:spacing w:before="0" w:after="283"/>
              <w:jc w:val="left"/>
              <w:rPr/>
            </w:pPr>
            <w:r>
              <w:rPr/>
            </w:r>
          </w:p>
        </w:tc>
        <w:tc>
          <w:tcPr>
            <w:tcW w:w="135" w:type="dxa"/>
            <w:tcBorders/>
            <w:vAlign w:val="center"/>
          </w:tcPr>
          <w:p>
            <w:pPr>
              <w:pStyle w:val="TableContents"/>
              <w:bidi w:val="0"/>
              <w:spacing w:before="0" w:after="283"/>
              <w:jc w:val="left"/>
              <w:rPr/>
            </w:pPr>
            <w:r>
              <w:rPr/>
            </w:r>
          </w:p>
        </w:tc>
        <w:tc>
          <w:tcPr>
            <w:tcW w:w="605" w:type="dxa"/>
            <w:tcBorders/>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196" w:type="dxa"/>
            <w:tcBorders/>
            <w:vAlign w:val="center"/>
          </w:tcPr>
          <w:p>
            <w:pPr>
              <w:pStyle w:val="TableContents"/>
              <w:bidi w:val="0"/>
              <w:spacing w:before="0" w:after="283"/>
              <w:jc w:val="left"/>
              <w:rPr/>
            </w:pPr>
            <w:r>
              <w:rPr/>
            </w:r>
          </w:p>
        </w:tc>
        <w:tc>
          <w:tcPr>
            <w:tcW w:w="69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84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pPr>
            <w:r>
              <w:rPr/>
            </w:r>
          </w:p>
        </w:tc>
        <w:tc>
          <w:tcPr>
            <w:tcW w:w="49" w:type="dxa"/>
            <w:tcBorders/>
            <w:vAlign w:val="center"/>
          </w:tcPr>
          <w:p>
            <w:pPr>
              <w:pStyle w:val="TableContents"/>
              <w:bidi w:val="0"/>
              <w:spacing w:before="0" w:after="283"/>
              <w:jc w:val="left"/>
              <w:rPr/>
            </w:pPr>
            <w:r>
              <w:rPr/>
            </w:r>
          </w:p>
        </w:tc>
      </w:tr>
      <w:tr>
        <w:trPr/>
        <w:tc>
          <w:tcPr>
            <w:tcW w:w="1538"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Direct operating costs</w:t>
            </w:r>
          </w:p>
        </w:tc>
        <w:tc>
          <w:tcPr>
            <w:tcW w:w="23" w:type="dxa"/>
            <w:tcBorders/>
            <w:shd w:fill="CCEEFF" w:val="clear"/>
            <w:vAlign w:val="center"/>
          </w:tcPr>
          <w:p>
            <w:pPr>
              <w:pStyle w:val="TableContents"/>
              <w:bidi w:val="0"/>
              <w:spacing w:before="0" w:after="0"/>
              <w:jc w:val="left"/>
              <w:rPr>
                <w:sz w:val="20"/>
              </w:rPr>
            </w:pPr>
            <w:r>
              <w:rPr>
                <w:sz w:val="20"/>
              </w:rPr>
            </w:r>
          </w:p>
        </w:tc>
        <w:tc>
          <w:tcPr>
            <w:tcW w:w="814" w:type="dxa"/>
            <w:gridSpan w:val="2"/>
            <w:tcBorders/>
            <w:shd w:fill="CCEEFF" w:val="clear"/>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231.7</w:t>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213.7</w:t>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18.0</w:t>
            </w:r>
          </w:p>
        </w:tc>
        <w:tc>
          <w:tcPr>
            <w:tcW w:w="165" w:type="dxa"/>
            <w:tcBorders/>
            <w:shd w:fill="CCEEFF" w:val="clear"/>
            <w:vAlign w:val="center"/>
          </w:tcPr>
          <w:p>
            <w:pPr>
              <w:pStyle w:val="TableContents"/>
              <w:bidi w:val="0"/>
              <w:spacing w:before="0" w:after="283"/>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1550"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8</w:t>
            </w:r>
          </w:p>
        </w:tc>
        <w:tc>
          <w:tcPr>
            <w:tcW w:w="185"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23"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125" w:type="dxa"/>
            <w:tcBorders/>
            <w:shd w:fill="CCEEFF" w:val="clear"/>
            <w:vAlign w:val="center"/>
          </w:tcPr>
          <w:p>
            <w:pPr>
              <w:pStyle w:val="TableContents"/>
              <w:bidi w:val="0"/>
              <w:spacing w:before="0" w:after="283"/>
              <w:jc w:val="left"/>
              <w:rPr/>
            </w:pPr>
            <w:r>
              <w:rPr/>
            </w:r>
          </w:p>
        </w:tc>
        <w:tc>
          <w:tcPr>
            <w:tcW w:w="605" w:type="dxa"/>
            <w:tcBorders/>
            <w:shd w:fill="CCEEFF" w:val="clear"/>
            <w:vAlign w:val="center"/>
          </w:tcPr>
          <w:p>
            <w:pPr>
              <w:pStyle w:val="TableContents"/>
              <w:bidi w:val="0"/>
              <w:spacing w:before="0" w:after="283"/>
              <w:jc w:val="right"/>
              <w:rPr/>
            </w:pPr>
            <w:r>
              <w:rPr/>
              <w:t>441.1</w:t>
            </w:r>
          </w:p>
        </w:tc>
        <w:tc>
          <w:tcPr>
            <w:tcW w:w="24" w:type="dxa"/>
            <w:tcBorders/>
            <w:shd w:fill="CCEEFF" w:val="clear"/>
            <w:vAlign w:val="center"/>
          </w:tcPr>
          <w:p>
            <w:pPr>
              <w:pStyle w:val="TableContents"/>
              <w:bidi w:val="0"/>
              <w:spacing w:before="0" w:after="283"/>
              <w:jc w:val="left"/>
              <w:rPr>
                <w:sz w:val="4"/>
                <w:szCs w:val="4"/>
              </w:rPr>
            </w:pPr>
            <w:r>
              <w:rPr>
                <w:sz w:val="4"/>
                <w:szCs w:val="4"/>
              </w:rPr>
            </w:r>
          </w:p>
        </w:tc>
        <w:tc>
          <w:tcPr>
            <w:tcW w:w="24" w:type="dxa"/>
            <w:tcBorders/>
            <w:shd w:fill="CCEEFF" w:val="clear"/>
            <w:vAlign w:val="center"/>
          </w:tcPr>
          <w:p>
            <w:pPr>
              <w:pStyle w:val="TableContents"/>
              <w:bidi w:val="0"/>
              <w:spacing w:before="0" w:after="283"/>
              <w:jc w:val="left"/>
              <w:rPr/>
            </w:pPr>
            <w:r>
              <w:rPr/>
            </w:r>
          </w:p>
        </w:tc>
        <w:tc>
          <w:tcPr>
            <w:tcW w:w="135" w:type="dxa"/>
            <w:tcBorders/>
            <w:shd w:fill="CCEEFF" w:val="clear"/>
            <w:vAlign w:val="center"/>
          </w:tcPr>
          <w:p>
            <w:pPr>
              <w:pStyle w:val="TableContents"/>
              <w:bidi w:val="0"/>
              <w:spacing w:before="0" w:after="283"/>
              <w:jc w:val="left"/>
              <w:rPr/>
            </w:pPr>
            <w:r>
              <w:rPr/>
            </w:r>
          </w:p>
        </w:tc>
        <w:tc>
          <w:tcPr>
            <w:tcW w:w="605" w:type="dxa"/>
            <w:tcBorders/>
            <w:shd w:fill="CCEEFF" w:val="clear"/>
            <w:vAlign w:val="center"/>
          </w:tcPr>
          <w:p>
            <w:pPr>
              <w:pStyle w:val="TableContents"/>
              <w:bidi w:val="0"/>
              <w:spacing w:before="0" w:after="283"/>
              <w:jc w:val="right"/>
              <w:rPr/>
            </w:pPr>
            <w:r>
              <w:rPr/>
              <w:t>410.0</w:t>
            </w:r>
          </w:p>
        </w:tc>
        <w:tc>
          <w:tcPr>
            <w:tcW w:w="24"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196" w:type="dxa"/>
            <w:tcBorders/>
            <w:shd w:fill="CCEEFF" w:val="clear"/>
            <w:vAlign w:val="center"/>
          </w:tcPr>
          <w:p>
            <w:pPr>
              <w:pStyle w:val="TableContents"/>
              <w:bidi w:val="0"/>
              <w:spacing w:before="0" w:after="283"/>
              <w:jc w:val="left"/>
              <w:rPr/>
            </w:pPr>
            <w:r>
              <w:rPr/>
            </w:r>
          </w:p>
        </w:tc>
        <w:tc>
          <w:tcPr>
            <w:tcW w:w="693" w:type="dxa"/>
            <w:tcBorders/>
            <w:shd w:fill="CCEEFF" w:val="clear"/>
            <w:vAlign w:val="center"/>
          </w:tcPr>
          <w:p>
            <w:pPr>
              <w:pStyle w:val="TableContents"/>
              <w:bidi w:val="0"/>
              <w:spacing w:before="0" w:after="283"/>
              <w:jc w:val="right"/>
              <w:rPr/>
            </w:pPr>
            <w:r>
              <w:rPr/>
              <w:t>31.1</w:t>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pPr>
            <w:r>
              <w:rPr/>
            </w:r>
          </w:p>
        </w:tc>
        <w:tc>
          <w:tcPr>
            <w:tcW w:w="846" w:type="dxa"/>
            <w:tcBorders/>
            <w:shd w:fill="CCEEFF" w:val="clear"/>
            <w:vAlign w:val="center"/>
          </w:tcPr>
          <w:p>
            <w:pPr>
              <w:pStyle w:val="TableContents"/>
              <w:bidi w:val="0"/>
              <w:spacing w:before="0" w:after="283"/>
              <w:jc w:val="right"/>
              <w:rPr/>
            </w:pPr>
            <w:r>
              <w:rPr/>
              <w:t>8</w:t>
            </w:r>
          </w:p>
        </w:tc>
        <w:tc>
          <w:tcPr>
            <w:tcW w:w="544" w:type="dxa"/>
            <w:tcBorders/>
            <w:shd w:fill="CCEEFF" w:val="clear"/>
            <w:vAlign w:val="center"/>
          </w:tcPr>
          <w:p>
            <w:pPr>
              <w:pStyle w:val="TableContents"/>
              <w:bidi w:val="0"/>
              <w:spacing w:before="0" w:after="283"/>
              <w:jc w:val="right"/>
              <w:rPr/>
            </w:pPr>
            <w:r>
              <w:rPr/>
              <w:t>%</w:t>
            </w:r>
          </w:p>
        </w:tc>
        <w:tc>
          <w:tcPr>
            <w:tcW w:w="49" w:type="dxa"/>
            <w:tcBorders/>
            <w:shd w:fill="CCEEFF" w:val="clear"/>
            <w:vAlign w:val="center"/>
          </w:tcPr>
          <w:p>
            <w:pPr>
              <w:pStyle w:val="TableContents"/>
              <w:bidi w:val="0"/>
              <w:spacing w:before="0" w:after="283"/>
              <w:jc w:val="left"/>
              <w:rPr/>
            </w:pPr>
            <w:r>
              <w:rPr/>
            </w:r>
          </w:p>
        </w:tc>
      </w:tr>
      <w:tr>
        <w:trPr/>
        <w:tc>
          <w:tcPr>
            <w:tcW w:w="1538"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Salaries and benefits</w:t>
            </w:r>
          </w:p>
        </w:tc>
        <w:tc>
          <w:tcPr>
            <w:tcW w:w="23" w:type="dxa"/>
            <w:tcBorders/>
            <w:vAlign w:val="center"/>
          </w:tcPr>
          <w:p>
            <w:pPr>
              <w:pStyle w:val="TableContents"/>
              <w:bidi w:val="0"/>
              <w:spacing w:before="0" w:after="0"/>
              <w:jc w:val="left"/>
              <w:rPr>
                <w:sz w:val="20"/>
              </w:rPr>
            </w:pPr>
            <w:r>
              <w:rPr>
                <w:sz w:val="20"/>
              </w:rPr>
            </w:r>
          </w:p>
        </w:tc>
        <w:tc>
          <w:tcPr>
            <w:tcW w:w="814"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82.7</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808"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78.5</w:t>
            </w:r>
          </w:p>
        </w:tc>
        <w:tc>
          <w:tcPr>
            <w:tcW w:w="3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73" w:type="dxa"/>
            <w:gridSpan w:val="2"/>
            <w:tcBorders/>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4.2</w:t>
            </w:r>
          </w:p>
        </w:tc>
        <w:tc>
          <w:tcPr>
            <w:tcW w:w="16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5</w:t>
            </w:r>
          </w:p>
        </w:tc>
        <w:tc>
          <w:tcPr>
            <w:tcW w:w="185"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605" w:type="dxa"/>
            <w:tcBorders/>
            <w:vAlign w:val="center"/>
          </w:tcPr>
          <w:p>
            <w:pPr>
              <w:pStyle w:val="TableContents"/>
              <w:bidi w:val="0"/>
              <w:spacing w:before="0" w:after="283"/>
              <w:jc w:val="right"/>
              <w:rPr/>
            </w:pPr>
            <w:r>
              <w:rPr/>
              <w:t>163.4</w:t>
            </w:r>
          </w:p>
        </w:tc>
        <w:tc>
          <w:tcPr>
            <w:tcW w:w="24" w:type="dxa"/>
            <w:tcBorders/>
            <w:vAlign w:val="center"/>
          </w:tcPr>
          <w:p>
            <w:pPr>
              <w:pStyle w:val="TableContents"/>
              <w:bidi w:val="0"/>
              <w:spacing w:before="0" w:after="283"/>
              <w:jc w:val="left"/>
              <w:rPr/>
            </w:pPr>
            <w:r>
              <w:rPr/>
            </w:r>
          </w:p>
        </w:tc>
        <w:tc>
          <w:tcPr>
            <w:tcW w:w="24" w:type="dxa"/>
            <w:tcBorders/>
            <w:vAlign w:val="center"/>
          </w:tcPr>
          <w:p>
            <w:pPr>
              <w:pStyle w:val="TableContents"/>
              <w:bidi w:val="0"/>
              <w:spacing w:before="0" w:after="283"/>
              <w:jc w:val="left"/>
              <w:rPr/>
            </w:pPr>
            <w:r>
              <w:rPr/>
            </w:r>
          </w:p>
        </w:tc>
        <w:tc>
          <w:tcPr>
            <w:tcW w:w="135" w:type="dxa"/>
            <w:tcBorders/>
            <w:vAlign w:val="center"/>
          </w:tcPr>
          <w:p>
            <w:pPr>
              <w:pStyle w:val="TableContents"/>
              <w:bidi w:val="0"/>
              <w:spacing w:before="0" w:after="283"/>
              <w:jc w:val="left"/>
              <w:rPr/>
            </w:pPr>
            <w:r>
              <w:rPr/>
            </w:r>
          </w:p>
        </w:tc>
        <w:tc>
          <w:tcPr>
            <w:tcW w:w="605" w:type="dxa"/>
            <w:tcBorders/>
            <w:vAlign w:val="center"/>
          </w:tcPr>
          <w:p>
            <w:pPr>
              <w:pStyle w:val="TableContents"/>
              <w:bidi w:val="0"/>
              <w:spacing w:before="0" w:after="283"/>
              <w:jc w:val="right"/>
              <w:rPr/>
            </w:pPr>
            <w:r>
              <w:rPr/>
              <w:t>152.8</w:t>
            </w:r>
          </w:p>
        </w:tc>
        <w:tc>
          <w:tcPr>
            <w:tcW w:w="24"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196" w:type="dxa"/>
            <w:tcBorders/>
            <w:vAlign w:val="center"/>
          </w:tcPr>
          <w:p>
            <w:pPr>
              <w:pStyle w:val="TableContents"/>
              <w:bidi w:val="0"/>
              <w:spacing w:before="0" w:after="283"/>
              <w:jc w:val="left"/>
              <w:rPr/>
            </w:pPr>
            <w:r>
              <w:rPr/>
            </w:r>
          </w:p>
        </w:tc>
        <w:tc>
          <w:tcPr>
            <w:tcW w:w="693" w:type="dxa"/>
            <w:tcBorders/>
            <w:vAlign w:val="center"/>
          </w:tcPr>
          <w:p>
            <w:pPr>
              <w:pStyle w:val="TableContents"/>
              <w:bidi w:val="0"/>
              <w:spacing w:before="0" w:after="283"/>
              <w:jc w:val="right"/>
              <w:rPr/>
            </w:pPr>
            <w:r>
              <w:rPr/>
              <w:t>10.6</w:t>
            </w:r>
          </w:p>
        </w:tc>
        <w:tc>
          <w:tcPr>
            <w:tcW w:w="15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pPr>
            <w:r>
              <w:rPr/>
            </w:r>
          </w:p>
        </w:tc>
        <w:tc>
          <w:tcPr>
            <w:tcW w:w="846" w:type="dxa"/>
            <w:tcBorders/>
            <w:vAlign w:val="center"/>
          </w:tcPr>
          <w:p>
            <w:pPr>
              <w:pStyle w:val="TableContents"/>
              <w:bidi w:val="0"/>
              <w:spacing w:before="0" w:after="283"/>
              <w:jc w:val="right"/>
              <w:rPr/>
            </w:pPr>
            <w:r>
              <w:rPr/>
              <w:t>7</w:t>
            </w:r>
          </w:p>
        </w:tc>
        <w:tc>
          <w:tcPr>
            <w:tcW w:w="544" w:type="dxa"/>
            <w:tcBorders/>
            <w:vAlign w:val="center"/>
          </w:tcPr>
          <w:p>
            <w:pPr>
              <w:pStyle w:val="TableContents"/>
              <w:bidi w:val="0"/>
              <w:spacing w:before="0" w:after="283"/>
              <w:jc w:val="right"/>
              <w:rPr/>
            </w:pPr>
            <w:r>
              <w:rPr/>
              <w:t>%</w:t>
            </w:r>
          </w:p>
        </w:tc>
        <w:tc>
          <w:tcPr>
            <w:tcW w:w="49" w:type="dxa"/>
            <w:tcBorders/>
            <w:vAlign w:val="center"/>
          </w:tcPr>
          <w:p>
            <w:pPr>
              <w:pStyle w:val="TableContents"/>
              <w:bidi w:val="0"/>
              <w:spacing w:before="0" w:after="283"/>
              <w:jc w:val="left"/>
              <w:rPr/>
            </w:pPr>
            <w:r>
              <w:rPr/>
            </w:r>
          </w:p>
        </w:tc>
      </w:tr>
      <w:tr>
        <w:trPr/>
        <w:tc>
          <w:tcPr>
            <w:tcW w:w="1538"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Selling, general and administrative</w:t>
            </w:r>
          </w:p>
        </w:tc>
        <w:tc>
          <w:tcPr>
            <w:tcW w:w="23" w:type="dxa"/>
            <w:tcBorders/>
            <w:shd w:fill="CCEEFF" w:val="clear"/>
            <w:vAlign w:val="center"/>
          </w:tcPr>
          <w:p>
            <w:pPr>
              <w:pStyle w:val="TableContents"/>
              <w:bidi w:val="0"/>
              <w:spacing w:before="0" w:after="0"/>
              <w:ind w:left="0" w:right="0" w:hanging="180"/>
              <w:jc w:val="left"/>
              <w:rPr>
                <w:sz w:val="20"/>
              </w:rPr>
            </w:pPr>
            <w:r>
              <w:rPr>
                <w:sz w:val="20"/>
              </w:rPr>
            </w:r>
          </w:p>
        </w:tc>
        <w:tc>
          <w:tcPr>
            <w:tcW w:w="814"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53.4</w:t>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47.3</w:t>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6.1</w:t>
            </w:r>
          </w:p>
        </w:tc>
        <w:tc>
          <w:tcPr>
            <w:tcW w:w="165" w:type="dxa"/>
            <w:tcBorders/>
            <w:shd w:fill="CCEEFF" w:val="clear"/>
            <w:vAlign w:val="center"/>
          </w:tcPr>
          <w:p>
            <w:pPr>
              <w:pStyle w:val="TableContents"/>
              <w:bidi w:val="0"/>
              <w:spacing w:before="0" w:after="283"/>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1550"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13</w:t>
            </w:r>
          </w:p>
        </w:tc>
        <w:tc>
          <w:tcPr>
            <w:tcW w:w="185"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23"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125" w:type="dxa"/>
            <w:tcBorders/>
            <w:shd w:fill="CCEEFF" w:val="clear"/>
            <w:vAlign w:val="center"/>
          </w:tcPr>
          <w:p>
            <w:pPr>
              <w:pStyle w:val="TableContents"/>
              <w:bidi w:val="0"/>
              <w:spacing w:before="0" w:after="283"/>
              <w:jc w:val="left"/>
              <w:rPr/>
            </w:pPr>
            <w:r>
              <w:rPr/>
            </w:r>
          </w:p>
        </w:tc>
        <w:tc>
          <w:tcPr>
            <w:tcW w:w="605" w:type="dxa"/>
            <w:tcBorders/>
            <w:shd w:fill="CCEEFF" w:val="clear"/>
            <w:vAlign w:val="center"/>
          </w:tcPr>
          <w:p>
            <w:pPr>
              <w:pStyle w:val="TableContents"/>
              <w:bidi w:val="0"/>
              <w:spacing w:before="0" w:after="283"/>
              <w:jc w:val="right"/>
              <w:rPr/>
            </w:pPr>
            <w:r>
              <w:rPr/>
              <w:t>103.4</w:t>
            </w:r>
          </w:p>
        </w:tc>
        <w:tc>
          <w:tcPr>
            <w:tcW w:w="24" w:type="dxa"/>
            <w:tcBorders/>
            <w:shd w:fill="CCEEFF" w:val="clear"/>
            <w:vAlign w:val="center"/>
          </w:tcPr>
          <w:p>
            <w:pPr>
              <w:pStyle w:val="TableContents"/>
              <w:bidi w:val="0"/>
              <w:spacing w:before="0" w:after="283"/>
              <w:jc w:val="left"/>
              <w:rPr/>
            </w:pPr>
            <w:r>
              <w:rPr/>
            </w:r>
          </w:p>
        </w:tc>
        <w:tc>
          <w:tcPr>
            <w:tcW w:w="24" w:type="dxa"/>
            <w:tcBorders/>
            <w:shd w:fill="CCEEFF" w:val="clear"/>
            <w:vAlign w:val="center"/>
          </w:tcPr>
          <w:p>
            <w:pPr>
              <w:pStyle w:val="TableContents"/>
              <w:bidi w:val="0"/>
              <w:spacing w:before="0" w:after="283"/>
              <w:jc w:val="left"/>
              <w:rPr/>
            </w:pPr>
            <w:r>
              <w:rPr/>
            </w:r>
          </w:p>
        </w:tc>
        <w:tc>
          <w:tcPr>
            <w:tcW w:w="135" w:type="dxa"/>
            <w:tcBorders/>
            <w:shd w:fill="CCEEFF" w:val="clear"/>
            <w:vAlign w:val="center"/>
          </w:tcPr>
          <w:p>
            <w:pPr>
              <w:pStyle w:val="TableContents"/>
              <w:bidi w:val="0"/>
              <w:spacing w:before="0" w:after="283"/>
              <w:jc w:val="left"/>
              <w:rPr/>
            </w:pPr>
            <w:r>
              <w:rPr/>
            </w:r>
          </w:p>
        </w:tc>
        <w:tc>
          <w:tcPr>
            <w:tcW w:w="605" w:type="dxa"/>
            <w:tcBorders/>
            <w:shd w:fill="CCEEFF" w:val="clear"/>
            <w:vAlign w:val="center"/>
          </w:tcPr>
          <w:p>
            <w:pPr>
              <w:pStyle w:val="TableContents"/>
              <w:bidi w:val="0"/>
              <w:spacing w:before="0" w:after="283"/>
              <w:jc w:val="right"/>
              <w:rPr/>
            </w:pPr>
            <w:r>
              <w:rPr/>
              <w:t>95.0</w:t>
            </w:r>
          </w:p>
        </w:tc>
        <w:tc>
          <w:tcPr>
            <w:tcW w:w="24"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196" w:type="dxa"/>
            <w:tcBorders/>
            <w:shd w:fill="CCEEFF" w:val="clear"/>
            <w:vAlign w:val="center"/>
          </w:tcPr>
          <w:p>
            <w:pPr>
              <w:pStyle w:val="TableContents"/>
              <w:bidi w:val="0"/>
              <w:spacing w:before="0" w:after="283"/>
              <w:jc w:val="left"/>
              <w:rPr/>
            </w:pPr>
            <w:r>
              <w:rPr/>
            </w:r>
          </w:p>
        </w:tc>
        <w:tc>
          <w:tcPr>
            <w:tcW w:w="693" w:type="dxa"/>
            <w:tcBorders/>
            <w:shd w:fill="CCEEFF" w:val="clear"/>
            <w:vAlign w:val="center"/>
          </w:tcPr>
          <w:p>
            <w:pPr>
              <w:pStyle w:val="TableContents"/>
              <w:bidi w:val="0"/>
              <w:spacing w:before="0" w:after="283"/>
              <w:jc w:val="right"/>
              <w:rPr/>
            </w:pPr>
            <w:r>
              <w:rPr/>
              <w:t>8.4</w:t>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pPr>
            <w:r>
              <w:rPr/>
            </w:r>
          </w:p>
        </w:tc>
        <w:tc>
          <w:tcPr>
            <w:tcW w:w="846" w:type="dxa"/>
            <w:tcBorders/>
            <w:shd w:fill="CCEEFF" w:val="clear"/>
            <w:vAlign w:val="center"/>
          </w:tcPr>
          <w:p>
            <w:pPr>
              <w:pStyle w:val="TableContents"/>
              <w:bidi w:val="0"/>
              <w:spacing w:before="0" w:after="283"/>
              <w:jc w:val="right"/>
              <w:rPr/>
            </w:pPr>
            <w:r>
              <w:rPr/>
              <w:t>9</w:t>
            </w:r>
          </w:p>
        </w:tc>
        <w:tc>
          <w:tcPr>
            <w:tcW w:w="544" w:type="dxa"/>
            <w:tcBorders/>
            <w:shd w:fill="CCEEFF" w:val="clear"/>
            <w:vAlign w:val="center"/>
          </w:tcPr>
          <w:p>
            <w:pPr>
              <w:pStyle w:val="TableContents"/>
              <w:bidi w:val="0"/>
              <w:spacing w:before="0" w:after="283"/>
              <w:jc w:val="right"/>
              <w:rPr/>
            </w:pPr>
            <w:r>
              <w:rPr/>
              <w:t>%</w:t>
            </w:r>
          </w:p>
        </w:tc>
        <w:tc>
          <w:tcPr>
            <w:tcW w:w="49" w:type="dxa"/>
            <w:tcBorders/>
            <w:shd w:fill="CCEEFF" w:val="clear"/>
            <w:vAlign w:val="center"/>
          </w:tcPr>
          <w:p>
            <w:pPr>
              <w:pStyle w:val="TableContents"/>
              <w:bidi w:val="0"/>
              <w:spacing w:before="0" w:after="283"/>
              <w:jc w:val="left"/>
              <w:rPr/>
            </w:pPr>
            <w:r>
              <w:rPr/>
            </w:r>
          </w:p>
        </w:tc>
      </w:tr>
      <w:tr>
        <w:trPr/>
        <w:tc>
          <w:tcPr>
            <w:tcW w:w="1538"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Depreciation and amortization</w:t>
            </w:r>
          </w:p>
        </w:tc>
        <w:tc>
          <w:tcPr>
            <w:tcW w:w="23" w:type="dxa"/>
            <w:tcBorders/>
            <w:vAlign w:val="center"/>
          </w:tcPr>
          <w:p>
            <w:pPr>
              <w:pStyle w:val="TableContents"/>
              <w:bidi w:val="0"/>
              <w:spacing w:before="0" w:after="0"/>
              <w:ind w:left="0" w:right="0" w:hanging="180"/>
              <w:jc w:val="left"/>
              <w:rPr>
                <w:sz w:val="20"/>
              </w:rPr>
            </w:pPr>
            <w:r>
              <w:rPr>
                <w:sz w:val="20"/>
              </w:rPr>
            </w:r>
          </w:p>
        </w:tc>
        <w:tc>
          <w:tcPr>
            <w:tcW w:w="814"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6.7</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808"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8.1</w:t>
            </w:r>
          </w:p>
        </w:tc>
        <w:tc>
          <w:tcPr>
            <w:tcW w:w="3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73" w:type="dxa"/>
            <w:gridSpan w:val="2"/>
            <w:tcBorders/>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(1.4</w:t>
            </w:r>
          </w:p>
        </w:tc>
        <w:tc>
          <w:tcPr>
            <w:tcW w:w="165"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(17)</w:t>
            </w:r>
          </w:p>
        </w:tc>
        <w:tc>
          <w:tcPr>
            <w:tcW w:w="185"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605" w:type="dxa"/>
            <w:tcBorders/>
            <w:vAlign w:val="center"/>
          </w:tcPr>
          <w:p>
            <w:pPr>
              <w:pStyle w:val="TableContents"/>
              <w:bidi w:val="0"/>
              <w:spacing w:before="0" w:after="283"/>
              <w:jc w:val="right"/>
              <w:rPr/>
            </w:pPr>
            <w:r>
              <w:rPr/>
              <w:t>14.0</w:t>
            </w:r>
          </w:p>
        </w:tc>
        <w:tc>
          <w:tcPr>
            <w:tcW w:w="24" w:type="dxa"/>
            <w:tcBorders/>
            <w:vAlign w:val="center"/>
          </w:tcPr>
          <w:p>
            <w:pPr>
              <w:pStyle w:val="TableContents"/>
              <w:bidi w:val="0"/>
              <w:spacing w:before="0" w:after="283"/>
              <w:jc w:val="left"/>
              <w:rPr/>
            </w:pPr>
            <w:r>
              <w:rPr/>
            </w:r>
          </w:p>
        </w:tc>
        <w:tc>
          <w:tcPr>
            <w:tcW w:w="24" w:type="dxa"/>
            <w:tcBorders/>
            <w:vAlign w:val="center"/>
          </w:tcPr>
          <w:p>
            <w:pPr>
              <w:pStyle w:val="TableContents"/>
              <w:bidi w:val="0"/>
              <w:spacing w:before="0" w:after="283"/>
              <w:jc w:val="left"/>
              <w:rPr/>
            </w:pPr>
            <w:r>
              <w:rPr/>
            </w:r>
          </w:p>
        </w:tc>
        <w:tc>
          <w:tcPr>
            <w:tcW w:w="135" w:type="dxa"/>
            <w:tcBorders/>
            <w:vAlign w:val="center"/>
          </w:tcPr>
          <w:p>
            <w:pPr>
              <w:pStyle w:val="TableContents"/>
              <w:bidi w:val="0"/>
              <w:spacing w:before="0" w:after="283"/>
              <w:jc w:val="left"/>
              <w:rPr/>
            </w:pPr>
            <w:r>
              <w:rPr/>
            </w:r>
          </w:p>
        </w:tc>
        <w:tc>
          <w:tcPr>
            <w:tcW w:w="605" w:type="dxa"/>
            <w:tcBorders/>
            <w:vAlign w:val="center"/>
          </w:tcPr>
          <w:p>
            <w:pPr>
              <w:pStyle w:val="TableContents"/>
              <w:bidi w:val="0"/>
              <w:spacing w:before="0" w:after="283"/>
              <w:jc w:val="right"/>
              <w:rPr/>
            </w:pPr>
            <w:r>
              <w:rPr/>
              <w:t>16.6</w:t>
            </w:r>
          </w:p>
        </w:tc>
        <w:tc>
          <w:tcPr>
            <w:tcW w:w="24"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196" w:type="dxa"/>
            <w:tcBorders/>
            <w:vAlign w:val="center"/>
          </w:tcPr>
          <w:p>
            <w:pPr>
              <w:pStyle w:val="TableContents"/>
              <w:bidi w:val="0"/>
              <w:spacing w:before="0" w:after="283"/>
              <w:jc w:val="left"/>
              <w:rPr/>
            </w:pPr>
            <w:r>
              <w:rPr/>
            </w:r>
          </w:p>
        </w:tc>
        <w:tc>
          <w:tcPr>
            <w:tcW w:w="693" w:type="dxa"/>
            <w:tcBorders/>
            <w:vAlign w:val="center"/>
          </w:tcPr>
          <w:p>
            <w:pPr>
              <w:pStyle w:val="TableContents"/>
              <w:bidi w:val="0"/>
              <w:spacing w:before="0" w:after="283"/>
              <w:jc w:val="right"/>
              <w:rPr/>
            </w:pPr>
            <w:r>
              <w:rPr/>
              <w:t>(2.6</w:t>
            </w:r>
          </w:p>
        </w:tc>
        <w:tc>
          <w:tcPr>
            <w:tcW w:w="151"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r>
          </w:p>
        </w:tc>
        <w:tc>
          <w:tcPr>
            <w:tcW w:w="846" w:type="dxa"/>
            <w:tcBorders/>
            <w:vAlign w:val="center"/>
          </w:tcPr>
          <w:p>
            <w:pPr>
              <w:pStyle w:val="TableContents"/>
              <w:bidi w:val="0"/>
              <w:spacing w:before="0" w:after="283"/>
              <w:jc w:val="right"/>
              <w:rPr/>
            </w:pPr>
            <w:r>
              <w:rPr/>
              <w:t>(16)</w:t>
            </w:r>
          </w:p>
        </w:tc>
        <w:tc>
          <w:tcPr>
            <w:tcW w:w="544" w:type="dxa"/>
            <w:tcBorders/>
            <w:vAlign w:val="center"/>
          </w:tcPr>
          <w:p>
            <w:pPr>
              <w:pStyle w:val="TableContents"/>
              <w:bidi w:val="0"/>
              <w:spacing w:before="0" w:after="283"/>
              <w:jc w:val="right"/>
              <w:rPr/>
            </w:pPr>
            <w:r>
              <w:rPr/>
              <w:t>%</w:t>
            </w:r>
          </w:p>
        </w:tc>
        <w:tc>
          <w:tcPr>
            <w:tcW w:w="49" w:type="dxa"/>
            <w:tcBorders/>
            <w:vAlign w:val="center"/>
          </w:tcPr>
          <w:p>
            <w:pPr>
              <w:pStyle w:val="TableContents"/>
              <w:bidi w:val="0"/>
              <w:spacing w:before="0" w:after="283"/>
              <w:jc w:val="left"/>
              <w:rPr/>
            </w:pPr>
            <w:r>
              <w:rPr/>
            </w:r>
          </w:p>
        </w:tc>
      </w:tr>
      <w:tr>
        <w:trPr/>
        <w:tc>
          <w:tcPr>
            <w:tcW w:w="1538"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Total operating expenses</w:t>
            </w:r>
          </w:p>
        </w:tc>
        <w:tc>
          <w:tcPr>
            <w:tcW w:w="23" w:type="dxa"/>
            <w:tcBorders/>
            <w:shd w:fill="CCEEFF" w:val="clear"/>
            <w:vAlign w:val="center"/>
          </w:tcPr>
          <w:p>
            <w:pPr>
              <w:pStyle w:val="TableContents"/>
              <w:bidi w:val="0"/>
              <w:spacing w:before="0" w:after="0"/>
              <w:jc w:val="left"/>
              <w:rPr>
                <w:sz w:val="20"/>
              </w:rPr>
            </w:pPr>
            <w:r>
              <w:rPr>
                <w:sz w:val="20"/>
              </w:rPr>
            </w:r>
          </w:p>
        </w:tc>
        <w:tc>
          <w:tcPr>
            <w:tcW w:w="814"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374.5</w:t>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347.6</w:t>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26.9</w:t>
            </w:r>
          </w:p>
        </w:tc>
        <w:tc>
          <w:tcPr>
            <w:tcW w:w="165" w:type="dxa"/>
            <w:tcBorders/>
            <w:shd w:fill="CCEEFF" w:val="clear"/>
            <w:vAlign w:val="center"/>
          </w:tcPr>
          <w:p>
            <w:pPr>
              <w:pStyle w:val="TableContents"/>
              <w:bidi w:val="0"/>
              <w:spacing w:before="0" w:after="283"/>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1550"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8</w:t>
            </w:r>
          </w:p>
        </w:tc>
        <w:tc>
          <w:tcPr>
            <w:tcW w:w="185"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23"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125" w:type="dxa"/>
            <w:tcBorders/>
            <w:shd w:fill="CCEEFF" w:val="clear"/>
            <w:vAlign w:val="center"/>
          </w:tcPr>
          <w:p>
            <w:pPr>
              <w:pStyle w:val="TableContents"/>
              <w:bidi w:val="0"/>
              <w:spacing w:before="0" w:after="283"/>
              <w:jc w:val="left"/>
              <w:rPr/>
            </w:pPr>
            <w:r>
              <w:rPr/>
            </w:r>
          </w:p>
        </w:tc>
        <w:tc>
          <w:tcPr>
            <w:tcW w:w="605" w:type="dxa"/>
            <w:tcBorders/>
            <w:shd w:fill="CCEEFF" w:val="clear"/>
            <w:vAlign w:val="center"/>
          </w:tcPr>
          <w:p>
            <w:pPr>
              <w:pStyle w:val="TableContents"/>
              <w:bidi w:val="0"/>
              <w:spacing w:before="0" w:after="283"/>
              <w:jc w:val="right"/>
              <w:rPr/>
            </w:pPr>
            <w:r>
              <w:rPr/>
              <w:t>721.9</w:t>
            </w:r>
          </w:p>
        </w:tc>
        <w:tc>
          <w:tcPr>
            <w:tcW w:w="24" w:type="dxa"/>
            <w:tcBorders/>
            <w:shd w:fill="CCEEFF" w:val="clear"/>
            <w:vAlign w:val="center"/>
          </w:tcPr>
          <w:p>
            <w:pPr>
              <w:pStyle w:val="TableContents"/>
              <w:bidi w:val="0"/>
              <w:spacing w:before="0" w:after="283"/>
              <w:jc w:val="left"/>
              <w:rPr/>
            </w:pPr>
            <w:r>
              <w:rPr/>
            </w:r>
          </w:p>
        </w:tc>
        <w:tc>
          <w:tcPr>
            <w:tcW w:w="24" w:type="dxa"/>
            <w:tcBorders/>
            <w:shd w:fill="CCEEFF" w:val="clear"/>
            <w:vAlign w:val="center"/>
          </w:tcPr>
          <w:p>
            <w:pPr>
              <w:pStyle w:val="TableContents"/>
              <w:bidi w:val="0"/>
              <w:spacing w:before="0" w:after="283"/>
              <w:jc w:val="left"/>
              <w:rPr/>
            </w:pPr>
            <w:r>
              <w:rPr/>
            </w:r>
          </w:p>
        </w:tc>
        <w:tc>
          <w:tcPr>
            <w:tcW w:w="135" w:type="dxa"/>
            <w:tcBorders/>
            <w:shd w:fill="CCEEFF" w:val="clear"/>
            <w:vAlign w:val="center"/>
          </w:tcPr>
          <w:p>
            <w:pPr>
              <w:pStyle w:val="TableContents"/>
              <w:bidi w:val="0"/>
              <w:spacing w:before="0" w:after="283"/>
              <w:jc w:val="left"/>
              <w:rPr/>
            </w:pPr>
            <w:r>
              <w:rPr/>
            </w:r>
          </w:p>
        </w:tc>
        <w:tc>
          <w:tcPr>
            <w:tcW w:w="605" w:type="dxa"/>
            <w:tcBorders/>
            <w:shd w:fill="CCEEFF" w:val="clear"/>
            <w:vAlign w:val="center"/>
          </w:tcPr>
          <w:p>
            <w:pPr>
              <w:pStyle w:val="TableContents"/>
              <w:bidi w:val="0"/>
              <w:spacing w:before="0" w:after="283"/>
              <w:jc w:val="right"/>
              <w:rPr/>
            </w:pPr>
            <w:r>
              <w:rPr/>
              <w:t>674.4</w:t>
            </w:r>
          </w:p>
        </w:tc>
        <w:tc>
          <w:tcPr>
            <w:tcW w:w="24"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196" w:type="dxa"/>
            <w:tcBorders/>
            <w:shd w:fill="CCEEFF" w:val="clear"/>
            <w:vAlign w:val="center"/>
          </w:tcPr>
          <w:p>
            <w:pPr>
              <w:pStyle w:val="TableContents"/>
              <w:bidi w:val="0"/>
              <w:spacing w:before="0" w:after="283"/>
              <w:jc w:val="left"/>
              <w:rPr/>
            </w:pPr>
            <w:r>
              <w:rPr/>
            </w:r>
          </w:p>
        </w:tc>
        <w:tc>
          <w:tcPr>
            <w:tcW w:w="693" w:type="dxa"/>
            <w:tcBorders/>
            <w:shd w:fill="CCEEFF" w:val="clear"/>
            <w:vAlign w:val="center"/>
          </w:tcPr>
          <w:p>
            <w:pPr>
              <w:pStyle w:val="TableContents"/>
              <w:bidi w:val="0"/>
              <w:spacing w:before="0" w:after="283"/>
              <w:jc w:val="right"/>
              <w:rPr/>
            </w:pPr>
            <w:r>
              <w:rPr/>
              <w:t>47.5</w:t>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pPr>
            <w:r>
              <w:rPr/>
            </w:r>
          </w:p>
        </w:tc>
        <w:tc>
          <w:tcPr>
            <w:tcW w:w="846" w:type="dxa"/>
            <w:tcBorders/>
            <w:shd w:fill="CCEEFF" w:val="clear"/>
            <w:vAlign w:val="center"/>
          </w:tcPr>
          <w:p>
            <w:pPr>
              <w:pStyle w:val="TableContents"/>
              <w:bidi w:val="0"/>
              <w:spacing w:before="0" w:after="283"/>
              <w:jc w:val="right"/>
              <w:rPr/>
            </w:pPr>
            <w:r>
              <w:rPr/>
              <w:t>7</w:t>
            </w:r>
          </w:p>
        </w:tc>
        <w:tc>
          <w:tcPr>
            <w:tcW w:w="544" w:type="dxa"/>
            <w:tcBorders/>
            <w:shd w:fill="CCEEFF" w:val="clear"/>
            <w:vAlign w:val="center"/>
          </w:tcPr>
          <w:p>
            <w:pPr>
              <w:pStyle w:val="TableContents"/>
              <w:bidi w:val="0"/>
              <w:spacing w:before="0" w:after="283"/>
              <w:jc w:val="right"/>
              <w:rPr/>
            </w:pPr>
            <w:r>
              <w:rPr/>
              <w:t>%</w:t>
            </w:r>
          </w:p>
        </w:tc>
        <w:tc>
          <w:tcPr>
            <w:tcW w:w="49" w:type="dxa"/>
            <w:tcBorders/>
            <w:shd w:fill="CCEEFF" w:val="clear"/>
            <w:vAlign w:val="center"/>
          </w:tcPr>
          <w:p>
            <w:pPr>
              <w:pStyle w:val="TableContents"/>
              <w:bidi w:val="0"/>
              <w:spacing w:before="0" w:after="283"/>
              <w:jc w:val="left"/>
              <w:rPr/>
            </w:pPr>
            <w:r>
              <w:rPr/>
            </w:r>
          </w:p>
        </w:tc>
      </w:tr>
      <w:tr>
        <w:trPr/>
        <w:tc>
          <w:tcPr>
            <w:tcW w:w="1538"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Operating income </w:t>
            </w:r>
          </w:p>
        </w:tc>
        <w:tc>
          <w:tcPr>
            <w:tcW w:w="23" w:type="dxa"/>
            <w:tcBorders/>
            <w:vAlign w:val="center"/>
          </w:tcPr>
          <w:p>
            <w:pPr>
              <w:pStyle w:val="TableContents"/>
              <w:bidi w:val="0"/>
              <w:spacing w:before="0" w:after="0"/>
              <w:jc w:val="left"/>
              <w:rPr>
                <w:sz w:val="20"/>
              </w:rPr>
            </w:pPr>
            <w:r>
              <w:rPr>
                <w:sz w:val="20"/>
              </w:rPr>
            </w:r>
          </w:p>
        </w:tc>
        <w:tc>
          <w:tcPr>
            <w:tcW w:w="329"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485"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47.3</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643"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47.2</w:t>
            </w:r>
          </w:p>
        </w:tc>
        <w:tc>
          <w:tcPr>
            <w:tcW w:w="3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658"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0.1</w:t>
            </w:r>
          </w:p>
        </w:tc>
        <w:tc>
          <w:tcPr>
            <w:tcW w:w="16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0</w:t>
            </w:r>
          </w:p>
        </w:tc>
        <w:tc>
          <w:tcPr>
            <w:tcW w:w="185"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23" w:type="dxa"/>
            <w:tcBorders/>
            <w:vAlign w:val="center"/>
          </w:tcPr>
          <w:p>
            <w:pPr>
              <w:pStyle w:val="TableContents"/>
              <w:bidi w:val="0"/>
              <w:spacing w:before="0" w:after="0"/>
              <w:jc w:val="left"/>
              <w:rPr>
                <w:sz w:val="20"/>
              </w:rPr>
            </w:pPr>
            <w:r>
              <w:rPr>
                <w:sz w:val="20"/>
              </w:rPr>
            </w:r>
          </w:p>
        </w:tc>
        <w:tc>
          <w:tcPr>
            <w:tcW w:w="23" w:type="dxa"/>
            <w:tcBorders/>
            <w:vAlign w:val="center"/>
          </w:tcPr>
          <w:p>
            <w:pPr>
              <w:pStyle w:val="TableContents"/>
              <w:bidi w:val="0"/>
              <w:spacing w:before="0" w:after="0"/>
              <w:jc w:val="left"/>
              <w:rPr>
                <w:sz w:val="20"/>
              </w:rPr>
            </w:pPr>
            <w:r>
              <w:rPr>
                <w:sz w:val="20"/>
              </w:rPr>
            </w:r>
          </w:p>
        </w:tc>
        <w:tc>
          <w:tcPr>
            <w:tcW w:w="125" w:type="dxa"/>
            <w:tcBorders/>
            <w:vAlign w:val="center"/>
          </w:tcPr>
          <w:p>
            <w:pPr>
              <w:pStyle w:val="TableContents"/>
              <w:bidi w:val="0"/>
              <w:spacing w:before="0" w:after="0"/>
              <w:jc w:val="left"/>
              <w:rPr>
                <w:sz w:val="20"/>
              </w:rPr>
            </w:pPr>
            <w:r>
              <w:rPr>
                <w:sz w:val="20"/>
              </w:rPr>
              <w:t>$</w:t>
            </w:r>
          </w:p>
        </w:tc>
        <w:tc>
          <w:tcPr>
            <w:tcW w:w="605" w:type="dxa"/>
            <w:tcBorders/>
            <w:vAlign w:val="center"/>
          </w:tcPr>
          <w:p>
            <w:pPr>
              <w:pStyle w:val="TableContents"/>
              <w:bidi w:val="0"/>
              <w:spacing w:before="0" w:after="0"/>
              <w:jc w:val="right"/>
              <w:rPr/>
            </w:pPr>
            <w:r>
              <w:rPr/>
              <w:t>84.5</w:t>
            </w:r>
          </w:p>
        </w:tc>
        <w:tc>
          <w:tcPr>
            <w:tcW w:w="24" w:type="dxa"/>
            <w:tcBorders/>
            <w:vAlign w:val="center"/>
          </w:tcPr>
          <w:p>
            <w:pPr>
              <w:pStyle w:val="TableContents"/>
              <w:bidi w:val="0"/>
              <w:spacing w:before="0" w:after="0"/>
              <w:jc w:val="left"/>
              <w:rPr>
                <w:sz w:val="20"/>
              </w:rPr>
            </w:pPr>
            <w:r>
              <w:rPr>
                <w:sz w:val="20"/>
              </w:rPr>
            </w:r>
          </w:p>
        </w:tc>
        <w:tc>
          <w:tcPr>
            <w:tcW w:w="24" w:type="dxa"/>
            <w:tcBorders/>
            <w:vAlign w:val="center"/>
          </w:tcPr>
          <w:p>
            <w:pPr>
              <w:pStyle w:val="TableContents"/>
              <w:bidi w:val="0"/>
              <w:spacing w:before="0" w:after="0"/>
              <w:jc w:val="left"/>
              <w:rPr>
                <w:sz w:val="20"/>
              </w:rPr>
            </w:pPr>
            <w:r>
              <w:rPr>
                <w:sz w:val="20"/>
              </w:rPr>
            </w:r>
          </w:p>
        </w:tc>
        <w:tc>
          <w:tcPr>
            <w:tcW w:w="135" w:type="dxa"/>
            <w:tcBorders/>
            <w:vAlign w:val="center"/>
          </w:tcPr>
          <w:p>
            <w:pPr>
              <w:pStyle w:val="TableContents"/>
              <w:bidi w:val="0"/>
              <w:spacing w:before="0" w:after="0"/>
              <w:jc w:val="left"/>
              <w:rPr>
                <w:sz w:val="20"/>
              </w:rPr>
            </w:pPr>
            <w:r>
              <w:rPr>
                <w:sz w:val="20"/>
              </w:rPr>
              <w:t>$</w:t>
            </w:r>
          </w:p>
        </w:tc>
        <w:tc>
          <w:tcPr>
            <w:tcW w:w="605" w:type="dxa"/>
            <w:tcBorders/>
            <w:vAlign w:val="center"/>
          </w:tcPr>
          <w:p>
            <w:pPr>
              <w:pStyle w:val="TableContents"/>
              <w:bidi w:val="0"/>
              <w:spacing w:before="0" w:after="0"/>
              <w:jc w:val="right"/>
              <w:rPr/>
            </w:pPr>
            <w:r>
              <w:rPr/>
              <w:t>79.8</w:t>
            </w:r>
          </w:p>
        </w:tc>
        <w:tc>
          <w:tcPr>
            <w:tcW w:w="24" w:type="dxa"/>
            <w:tcBorders/>
            <w:vAlign w:val="center"/>
          </w:tcPr>
          <w:p>
            <w:pPr>
              <w:pStyle w:val="TableContents"/>
              <w:bidi w:val="0"/>
              <w:spacing w:before="0" w:after="0"/>
              <w:jc w:val="left"/>
              <w:rPr>
                <w:sz w:val="20"/>
              </w:rPr>
            </w:pPr>
            <w:r>
              <w:rPr>
                <w:sz w:val="20"/>
              </w:rPr>
            </w:r>
          </w:p>
        </w:tc>
        <w:tc>
          <w:tcPr>
            <w:tcW w:w="23" w:type="dxa"/>
            <w:tcBorders/>
            <w:vAlign w:val="center"/>
          </w:tcPr>
          <w:p>
            <w:pPr>
              <w:pStyle w:val="TableContents"/>
              <w:bidi w:val="0"/>
              <w:spacing w:before="0" w:after="0"/>
              <w:jc w:val="left"/>
              <w:rPr>
                <w:sz w:val="20"/>
              </w:rPr>
            </w:pPr>
            <w:r>
              <w:rPr>
                <w:sz w:val="20"/>
              </w:rPr>
            </w:r>
          </w:p>
        </w:tc>
        <w:tc>
          <w:tcPr>
            <w:tcW w:w="196" w:type="dxa"/>
            <w:tcBorders/>
            <w:vAlign w:val="center"/>
          </w:tcPr>
          <w:p>
            <w:pPr>
              <w:pStyle w:val="TableContents"/>
              <w:bidi w:val="0"/>
              <w:spacing w:before="0" w:after="0"/>
              <w:jc w:val="left"/>
              <w:rPr>
                <w:sz w:val="20"/>
              </w:rPr>
            </w:pPr>
            <w:r>
              <w:rPr>
                <w:sz w:val="20"/>
              </w:rPr>
              <w:t>$</w:t>
            </w:r>
          </w:p>
        </w:tc>
        <w:tc>
          <w:tcPr>
            <w:tcW w:w="693" w:type="dxa"/>
            <w:tcBorders/>
            <w:vAlign w:val="center"/>
          </w:tcPr>
          <w:p>
            <w:pPr>
              <w:pStyle w:val="TableContents"/>
              <w:bidi w:val="0"/>
              <w:spacing w:before="0" w:after="0"/>
              <w:jc w:val="right"/>
              <w:rPr>
                <w:sz w:val="20"/>
              </w:rPr>
            </w:pPr>
            <w:r>
              <w:rPr>
                <w:sz w:val="20"/>
              </w:rPr>
              <w:t>4.7</w:t>
            </w:r>
          </w:p>
        </w:tc>
        <w:tc>
          <w:tcPr>
            <w:tcW w:w="15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0"/>
              <w:jc w:val="left"/>
              <w:rPr>
                <w:sz w:val="20"/>
              </w:rPr>
            </w:pPr>
            <w:r>
              <w:rPr>
                <w:sz w:val="20"/>
              </w:rPr>
            </w:r>
          </w:p>
        </w:tc>
        <w:tc>
          <w:tcPr>
            <w:tcW w:w="846" w:type="dxa"/>
            <w:tcBorders/>
            <w:vAlign w:val="center"/>
          </w:tcPr>
          <w:p>
            <w:pPr>
              <w:pStyle w:val="TableContents"/>
              <w:bidi w:val="0"/>
              <w:spacing w:before="0" w:after="0"/>
              <w:jc w:val="right"/>
              <w:rPr>
                <w:sz w:val="20"/>
              </w:rPr>
            </w:pPr>
            <w:r>
              <w:rPr>
                <w:sz w:val="20"/>
              </w:rPr>
              <w:t>6</w:t>
            </w:r>
          </w:p>
        </w:tc>
        <w:tc>
          <w:tcPr>
            <w:tcW w:w="544" w:type="dxa"/>
            <w:tcBorders/>
            <w:vAlign w:val="center"/>
          </w:tcPr>
          <w:p>
            <w:pPr>
              <w:pStyle w:val="TableContents"/>
              <w:bidi w:val="0"/>
              <w:spacing w:before="0" w:after="0"/>
              <w:jc w:val="right"/>
              <w:rPr>
                <w:sz w:val="20"/>
              </w:rPr>
            </w:pPr>
            <w:r>
              <w:rPr>
                <w:sz w:val="20"/>
              </w:rPr>
              <w:t>%</w:t>
            </w:r>
          </w:p>
        </w:tc>
        <w:tc>
          <w:tcPr>
            <w:tcW w:w="49" w:type="dxa"/>
            <w:tcBorders/>
            <w:vAlign w:val="center"/>
          </w:tcPr>
          <w:p>
            <w:pPr>
              <w:pStyle w:val="TableContents"/>
              <w:bidi w:val="0"/>
              <w:spacing w:before="0" w:after="0"/>
              <w:jc w:val="left"/>
              <w:rPr>
                <w:sz w:val="20"/>
              </w:rPr>
            </w:pPr>
            <w:r>
              <w:rPr>
                <w:sz w:val="20"/>
              </w:rPr>
            </w:r>
          </w:p>
        </w:tc>
      </w:tr>
      <w:tr>
        <w:trPr/>
        <w:tc>
          <w:tcPr>
            <w:tcW w:w="1538"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Transactions processed (millions)</w:t>
            </w:r>
          </w:p>
        </w:tc>
        <w:tc>
          <w:tcPr>
            <w:tcW w:w="23" w:type="dxa"/>
            <w:tcBorders/>
            <w:shd w:fill="CCEEFF" w:val="clear"/>
            <w:vAlign w:val="center"/>
          </w:tcPr>
          <w:p>
            <w:pPr>
              <w:pStyle w:val="TableContents"/>
              <w:bidi w:val="0"/>
              <w:spacing w:before="0" w:after="0"/>
              <w:ind w:left="0" w:right="0" w:hanging="0"/>
              <w:jc w:val="left"/>
              <w:rPr>
                <w:sz w:val="20"/>
              </w:rPr>
            </w:pPr>
            <w:r>
              <w:rPr>
                <w:sz w:val="20"/>
              </w:rPr>
            </w:r>
          </w:p>
        </w:tc>
        <w:tc>
          <w:tcPr>
            <w:tcW w:w="814"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44.3</w:t>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41.1</w:t>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3.2</w:t>
            </w:r>
          </w:p>
        </w:tc>
        <w:tc>
          <w:tcPr>
            <w:tcW w:w="165" w:type="dxa"/>
            <w:tcBorders/>
            <w:shd w:fill="CCEEFF" w:val="clear"/>
            <w:vAlign w:val="center"/>
          </w:tcPr>
          <w:p>
            <w:pPr>
              <w:pStyle w:val="TableContents"/>
              <w:bidi w:val="0"/>
              <w:spacing w:before="0" w:after="283"/>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1550"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8</w:t>
            </w:r>
          </w:p>
        </w:tc>
        <w:tc>
          <w:tcPr>
            <w:tcW w:w="185"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23"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125" w:type="dxa"/>
            <w:tcBorders/>
            <w:shd w:fill="CCEEFF" w:val="clear"/>
            <w:vAlign w:val="center"/>
          </w:tcPr>
          <w:p>
            <w:pPr>
              <w:pStyle w:val="TableContents"/>
              <w:bidi w:val="0"/>
              <w:spacing w:before="0" w:after="283"/>
              <w:jc w:val="left"/>
              <w:rPr/>
            </w:pPr>
            <w:r>
              <w:rPr/>
            </w:r>
          </w:p>
        </w:tc>
        <w:tc>
          <w:tcPr>
            <w:tcW w:w="605" w:type="dxa"/>
            <w:tcBorders/>
            <w:shd w:fill="CCEEFF" w:val="clear"/>
            <w:vAlign w:val="center"/>
          </w:tcPr>
          <w:p>
            <w:pPr>
              <w:pStyle w:val="TableContents"/>
              <w:bidi w:val="0"/>
              <w:spacing w:before="0" w:after="283"/>
              <w:jc w:val="right"/>
              <w:rPr/>
            </w:pPr>
            <w:r>
              <w:rPr/>
              <w:t>84.9</w:t>
            </w:r>
          </w:p>
        </w:tc>
        <w:tc>
          <w:tcPr>
            <w:tcW w:w="24" w:type="dxa"/>
            <w:tcBorders/>
            <w:shd w:fill="CCEEFF" w:val="clear"/>
            <w:vAlign w:val="center"/>
          </w:tcPr>
          <w:p>
            <w:pPr>
              <w:pStyle w:val="TableContents"/>
              <w:bidi w:val="0"/>
              <w:spacing w:before="0" w:after="283"/>
              <w:jc w:val="left"/>
              <w:rPr/>
            </w:pPr>
            <w:r>
              <w:rPr/>
            </w:r>
          </w:p>
        </w:tc>
        <w:tc>
          <w:tcPr>
            <w:tcW w:w="24" w:type="dxa"/>
            <w:tcBorders/>
            <w:shd w:fill="CCEEFF" w:val="clear"/>
            <w:vAlign w:val="center"/>
          </w:tcPr>
          <w:p>
            <w:pPr>
              <w:pStyle w:val="TableContents"/>
              <w:bidi w:val="0"/>
              <w:spacing w:before="0" w:after="283"/>
              <w:jc w:val="left"/>
              <w:rPr/>
            </w:pPr>
            <w:r>
              <w:rPr/>
            </w:r>
          </w:p>
        </w:tc>
        <w:tc>
          <w:tcPr>
            <w:tcW w:w="135" w:type="dxa"/>
            <w:tcBorders/>
            <w:shd w:fill="CCEEFF" w:val="clear"/>
            <w:vAlign w:val="center"/>
          </w:tcPr>
          <w:p>
            <w:pPr>
              <w:pStyle w:val="TableContents"/>
              <w:bidi w:val="0"/>
              <w:spacing w:before="0" w:after="283"/>
              <w:jc w:val="left"/>
              <w:rPr/>
            </w:pPr>
            <w:r>
              <w:rPr/>
            </w:r>
          </w:p>
        </w:tc>
        <w:tc>
          <w:tcPr>
            <w:tcW w:w="605" w:type="dxa"/>
            <w:tcBorders/>
            <w:shd w:fill="CCEEFF" w:val="clear"/>
            <w:vAlign w:val="center"/>
          </w:tcPr>
          <w:p>
            <w:pPr>
              <w:pStyle w:val="TableContents"/>
              <w:bidi w:val="0"/>
              <w:spacing w:before="0" w:after="283"/>
              <w:jc w:val="right"/>
              <w:rPr/>
            </w:pPr>
            <w:r>
              <w:rPr/>
              <w:t>78.6</w:t>
            </w:r>
          </w:p>
        </w:tc>
        <w:tc>
          <w:tcPr>
            <w:tcW w:w="24"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196" w:type="dxa"/>
            <w:tcBorders/>
            <w:shd w:fill="CCEEFF" w:val="clear"/>
            <w:vAlign w:val="center"/>
          </w:tcPr>
          <w:p>
            <w:pPr>
              <w:pStyle w:val="TableContents"/>
              <w:bidi w:val="0"/>
              <w:spacing w:before="0" w:after="283"/>
              <w:jc w:val="left"/>
              <w:rPr/>
            </w:pPr>
            <w:r>
              <w:rPr/>
            </w:r>
          </w:p>
        </w:tc>
        <w:tc>
          <w:tcPr>
            <w:tcW w:w="693" w:type="dxa"/>
            <w:tcBorders/>
            <w:shd w:fill="CCEEFF" w:val="clear"/>
            <w:vAlign w:val="center"/>
          </w:tcPr>
          <w:p>
            <w:pPr>
              <w:pStyle w:val="TableContents"/>
              <w:bidi w:val="0"/>
              <w:spacing w:before="0" w:after="283"/>
              <w:jc w:val="right"/>
              <w:rPr/>
            </w:pPr>
            <w:r>
              <w:rPr/>
              <w:t>6.3</w:t>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pPr>
            <w:r>
              <w:rPr/>
            </w:r>
          </w:p>
        </w:tc>
        <w:tc>
          <w:tcPr>
            <w:tcW w:w="846" w:type="dxa"/>
            <w:tcBorders/>
            <w:shd w:fill="CCEEFF" w:val="clear"/>
            <w:vAlign w:val="center"/>
          </w:tcPr>
          <w:p>
            <w:pPr>
              <w:pStyle w:val="TableContents"/>
              <w:bidi w:val="0"/>
              <w:spacing w:before="0" w:after="283"/>
              <w:jc w:val="right"/>
              <w:rPr/>
            </w:pPr>
            <w:r>
              <w:rPr/>
              <w:t>8</w:t>
            </w:r>
          </w:p>
        </w:tc>
        <w:tc>
          <w:tcPr>
            <w:tcW w:w="544" w:type="dxa"/>
            <w:tcBorders/>
            <w:shd w:fill="CCEEFF" w:val="clear"/>
            <w:vAlign w:val="center"/>
          </w:tcPr>
          <w:p>
            <w:pPr>
              <w:pStyle w:val="TableContents"/>
              <w:bidi w:val="0"/>
              <w:spacing w:before="0" w:after="283"/>
              <w:jc w:val="right"/>
              <w:rPr/>
            </w:pPr>
            <w:r>
              <w:rPr/>
              <w:t>%</w:t>
            </w:r>
          </w:p>
        </w:tc>
        <w:tc>
          <w:tcPr>
            <w:tcW w:w="49" w:type="dxa"/>
            <w:tcBorders/>
            <w:shd w:fill="CCEEFF" w:val="clear"/>
            <w:vAlign w:val="center"/>
          </w:tcPr>
          <w:p>
            <w:pPr>
              <w:pStyle w:val="TableContents"/>
              <w:bidi w:val="0"/>
              <w:spacing w:before="0" w:after="283"/>
              <w:jc w:val="left"/>
              <w:rPr/>
            </w:pPr>
            <w:r>
              <w:rPr/>
            </w:r>
          </w:p>
        </w:tc>
      </w:tr>
    </w:tbl>
    <w:p>
      <w:pPr>
        <w:pStyle w:val="TextBody"/>
        <w:widowControl/>
        <w:bidi w:val="0"/>
        <w:jc w:val="left"/>
        <w:rPr>
          <w:rFonts w:ascii="Times New Roman" w:hAnsi="Times New Roman" w:eastAsia="Times New Roman" w:cs="Times New Roman"/>
          <w:b w:val="false"/>
          <w:b w:val="false"/>
          <w:bCs w:val="false"/>
          <w:i w:val="false"/>
          <w:i w:val="false"/>
          <w:iCs w:val="false"/>
          <w:caps w:val="false"/>
          <w:smallCaps w:val="false"/>
          <w:color w:val="000000"/>
          <w:spacing w:val="0"/>
          <w:sz w:val="20"/>
          <w:szCs w:val="20"/>
        </w:rPr>
      </w:pPr>
      <w:r>
        <w:rPr>
          <w:rFonts w:eastAsia="Times New Roman" w:cs="Times New Roman" w:ascii="Times New Roman" w:hAnsi="Times New Roman"/>
          <w:b w:val="false"/>
          <w:bCs w:val="false"/>
          <w:i w:val="false"/>
          <w:iCs w:val="false"/>
          <w:caps w:val="false"/>
          <w:smallCaps w:val="false"/>
          <w:color w:val="000000"/>
          <w:spacing w:val="0"/>
          <w:sz w:val="20"/>
          <w:szCs w:val="20"/>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widowControl/>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times" w:hAnsi="times new roman;times"/>
          <w:b w:val="false"/>
          <w:i/>
          <w:caps w:val="false"/>
          <w:smallCaps w:val="false"/>
          <w:color w:val="000000"/>
          <w:spacing w:val="0"/>
          <w:sz w:val="20"/>
        </w:rPr>
        <w:t>Revenues</w:t>
        <w:br/>
      </w:r>
      <w:r>
        <w:rPr>
          <w:rFonts w:ascii="Times New Roman" w:hAnsi="Times New Roman"/>
          <w:b w:val="false"/>
          <w:i w:val="false"/>
          <w:caps w:val="false"/>
          <w:smallCaps w:val="false"/>
          <w:color w:val="000000"/>
          <w:spacing w:val="0"/>
          <w:sz w:val="20"/>
        </w:rPr>
        <w:br/>
      </w:r>
      <w:r>
        <w:rPr>
          <w:rFonts w:ascii="times new roman;times" w:hAnsi="times new roman;times"/>
          <w:b w:val="false"/>
          <w:i w:val="false"/>
          <w:caps w:val="false"/>
          <w:smallCaps w:val="false"/>
          <w:color w:val="000000"/>
          <w:spacing w:val="0"/>
          <w:sz w:val="20"/>
        </w:rPr>
        <w:t>Money Transfer Segment total revenues were $421.8 million for the three months ended June 30, 2024, an increase of $27.0 million or 7% compared to the same period in 2023. Money Transfer Segment total revenues were $806.4 million for the six months ended June 30, 2024, an increase of $52.2 million or 7% compared to the same period in 2023. The increase in revenues was primarily due to an increase in international-originated money transfers, U.S. outbound transactions, and direct-to-consumer digital transactions, partially offset by a decrease in U.S. domestic transactions. Revenues per transaction decreased to $9.52 and $9.50 for the three and six months ended June 30, 2024, compared to $9.61 and $9.60 for the same periods in 2023 due to a shift in the mix of transactions processed. Fluctuations in foreign currency exchange rates increased revenues by approximately </w:t>
      </w:r>
      <w:r>
        <w:rPr>
          <w:rFonts w:ascii="Times New Roman" w:hAnsi="Times New Roman"/>
          <w:b w:val="false"/>
          <w:i w:val="false"/>
          <w:caps w:val="false"/>
          <w:smallCaps w:val="false"/>
          <w:color w:val="000000"/>
          <w:spacing w:val="0"/>
          <w:sz w:val="20"/>
        </w:rPr>
        <w:t>$3.8 million and $0.1 million for the </w:t>
      </w:r>
      <w:r>
        <w:rPr>
          <w:rFonts w:ascii="Times New Roman" w:hAnsi="Times New Roman"/>
          <w:b w:val="false"/>
          <w:i w:val="false"/>
          <w:caps w:val="false"/>
          <w:smallCaps w:val="false"/>
          <w:color w:val="000000"/>
          <w:spacing w:val="0"/>
          <w:sz w:val="20"/>
        </w:rPr>
        <w:t>three and six months ended June 30, 2024</w:t>
      </w:r>
      <w:r>
        <w:rPr>
          <w:rFonts w:ascii="Times New Roman" w:hAnsi="Times New Roman"/>
          <w:b w:val="false"/>
          <w:i w:val="false"/>
          <w:caps w:val="false"/>
          <w:smallCaps w:val="false"/>
          <w:color w:val="000000"/>
          <w:spacing w:val="0"/>
          <w:sz w:val="20"/>
        </w:rPr>
        <w:t> compared to the same periods in 2023.</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times" w:hAnsi="times new roman;times"/>
          <w:b w:val="false"/>
          <w:i/>
          <w:caps w:val="false"/>
          <w:smallCaps w:val="false"/>
          <w:color w:val="000000"/>
          <w:spacing w:val="0"/>
          <w:sz w:val="20"/>
        </w:rPr>
        <w:t>Direct operating costs</w:t>
        <w:br/>
      </w:r>
      <w:r>
        <w:rPr>
          <w:rFonts w:ascii="Times New Roman" w:hAnsi="Times New Roman"/>
          <w:b w:val="false"/>
          <w:i w:val="false"/>
          <w:caps w:val="false"/>
          <w:smallCaps w:val="false"/>
          <w:color w:val="000000"/>
          <w:spacing w:val="0"/>
          <w:sz w:val="20"/>
        </w:rPr>
        <w:br/>
      </w:r>
      <w:r>
        <w:rPr>
          <w:rFonts w:ascii="times new roman;times" w:hAnsi="times new roman;times"/>
          <w:b w:val="false"/>
          <w:i w:val="false"/>
          <w:caps w:val="false"/>
          <w:smallCaps w:val="false"/>
          <w:color w:val="000000"/>
          <w:spacing w:val="0"/>
          <w:sz w:val="20"/>
        </w:rPr>
        <w:t>Money Transfer Segment direct operating costs were $231.7 million for the three months ended June 30, 2024, an increase of $18.0 million or 8% compared to the same period in 2023. Money Transfer Segment direct operating costs were $441.1 million for the six months ended June 30, 2024, an increase of $31.1 million or 8% compared to the same period in 2023. Direct operating costs primarily consist of commissions paid to agents who originate money transfers on our behalf and correspondent agents who disburse funds to the customers’ destination beneficiaries, together with less significant costs, such as bank depository fees. The increase in direct operating costs was primarily due to the increase in the number of international-originated and U.S. outbound money transfer transactions. </w:t>
      </w:r>
      <w:r>
        <w:rPr>
          <w:rFonts w:ascii="times new roman;times" w:hAnsi="times new roman;times"/>
          <w:b w:val="false"/>
          <w:i w:val="false"/>
          <w:caps w:val="false"/>
          <w:smallCaps w:val="false"/>
          <w:color w:val="000000"/>
          <w:spacing w:val="0"/>
          <w:sz w:val="20"/>
        </w:rPr>
        <w:t>Fluctuations in foreign currency exchange rates changed direct costs by approximately</w:t>
      </w:r>
      <w:r>
        <w:rPr>
          <w:rFonts w:ascii="times new roman;times" w:hAnsi="times new roman;times"/>
          <w:b w:val="false"/>
          <w:i w:val="false"/>
          <w:caps w:val="false"/>
          <w:smallCaps w:val="false"/>
          <w:color w:val="000000"/>
          <w:spacing w:val="0"/>
          <w:sz w:val="20"/>
        </w:rPr>
        <w:t> $1.7 million and ($0.1) million for the </w:t>
      </w:r>
      <w:r>
        <w:rPr>
          <w:rFonts w:ascii="times new roman;times" w:hAnsi="times new roman;times"/>
          <w:b w:val="false"/>
          <w:i w:val="false"/>
          <w:caps w:val="false"/>
          <w:smallCaps w:val="false"/>
          <w:color w:val="000000"/>
          <w:spacing w:val="0"/>
          <w:sz w:val="20"/>
        </w:rPr>
        <w:t>three and six months ended June 30, 2024</w:t>
      </w:r>
      <w:r>
        <w:rPr>
          <w:rFonts w:ascii="times new roman;times" w:hAnsi="times new roman;times"/>
          <w:b w:val="false"/>
          <w:i w:val="false"/>
          <w:caps w:val="false"/>
          <w:smallCaps w:val="false"/>
          <w:color w:val="000000"/>
          <w:spacing w:val="0"/>
          <w:sz w:val="20"/>
        </w:rPr>
        <w:t> compared to the same periods in 2023.</w:t>
      </w:r>
    </w:p>
    <w:p>
      <w:pPr>
        <w:pStyle w:val="TextBody"/>
        <w:widowControl/>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times" w:hAnsi="times new roman;times"/>
          <w:b w:val="false"/>
          <w:i/>
          <w:caps w:val="false"/>
          <w:smallCaps w:val="false"/>
          <w:color w:val="000000"/>
          <w:spacing w:val="0"/>
          <w:sz w:val="20"/>
        </w:rPr>
        <w:t>Gross profit</w:t>
        <w:br/>
      </w:r>
      <w:r>
        <w:rPr>
          <w:rFonts w:ascii="Times New Roman" w:hAnsi="Times New Roman"/>
          <w:b w:val="false"/>
          <w:i w:val="false"/>
          <w:caps w:val="false"/>
          <w:smallCaps w:val="false"/>
          <w:color w:val="000000"/>
          <w:spacing w:val="0"/>
          <w:sz w:val="20"/>
        </w:rPr>
        <w:br/>
      </w:r>
      <w:r>
        <w:rPr>
          <w:rFonts w:ascii="times new roman;times" w:hAnsi="times new roman;times"/>
          <w:b w:val="false"/>
          <w:i w:val="false"/>
          <w:caps w:val="false"/>
          <w:smallCaps w:val="false"/>
          <w:color w:val="000000"/>
          <w:spacing w:val="0"/>
          <w:sz w:val="20"/>
        </w:rPr>
        <w:t>Gross profit was $190.1 million for the three months ended June 30, 2024, an increase of $9.0 million or 5% compared to $181.1 million for the same period in 2023. Gross profit was $365.3 million for the six months ended June 30, 2024, an increase of $21.1 million or 6% compared to $344.2 million for the same period in 2023. Gross margin decreased to 45.1% and 45.3% for the three and six months ended June 30, 2024, compared to 45.9% and 45.6% for the same periods in 2023. The increase in gross profit was primarily due to increases in international-originated money transfers, U.S. outbound transactions and direct-to-consumer digital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16" w:type="dxa"/>
        <w:jc w:val="left"/>
        <w:tblInd w:w="0" w:type="dxa"/>
        <w:tblLayout w:type="fixed"/>
        <w:tblCellMar>
          <w:top w:w="0" w:type="dxa"/>
          <w:left w:w="0" w:type="dxa"/>
          <w:bottom w:w="0" w:type="dxa"/>
          <w:right w:w="0" w:type="dxa"/>
        </w:tblCellMar>
      </w:tblPr>
      <w:tblGrid>
        <w:gridCol w:w="316"/>
      </w:tblGrid>
      <w:tr>
        <w:trPr/>
        <w:tc>
          <w:tcPr>
            <w:tcW w:w="31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33</w:t>
            </w:r>
          </w:p>
        </w:tc>
      </w:tr>
    </w:tbl>
    <w:p>
      <w:pPr>
        <w:pStyle w:val="TextBody"/>
        <w:widowControl/>
        <w:bidi w:val="0"/>
        <w:jc w:val="left"/>
        <w:rPr>
          <w:caps w:val="false"/>
          <w:smallCaps w:val="false"/>
          <w:color w:val="000000"/>
          <w:spacing w:val="0"/>
        </w:rPr>
      </w:pPr>
      <w:r>
        <w:rPr>
          <w:caps w:val="false"/>
          <w:smallCaps w:val="false"/>
          <w:color w:val="000000"/>
          <w:spacing w:val="0"/>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widowControl/>
        <w:bidi w:val="0"/>
        <w:jc w:val="left"/>
        <w:rPr/>
      </w:pPr>
      <w:r>
        <w:rPr/>
      </w:r>
    </w:p>
    <w:p>
      <w:pPr>
        <w:pStyle w:val="TextBody"/>
        <w:widowControl/>
        <w:bidi w:val="0"/>
        <w:spacing w:before="0" w:after="0"/>
        <w:jc w:val="left"/>
        <w:rPr>
          <w:sz w:val="20"/>
        </w:rPr>
      </w:pPr>
      <w:r>
        <w:rPr>
          <w:sz w:val="20"/>
        </w:rPr>
      </w:r>
    </w:p>
    <w:p>
      <w:pPr>
        <w:pStyle w:val="TextBody"/>
        <w:widowControl/>
        <w:bidi w:val="0"/>
        <w:ind w:left="0" w:right="0" w:hanging="0"/>
        <w:jc w:val="left"/>
        <w:rPr>
          <w:rFonts w:ascii="Times New Roman" w:hAnsi="Times New Roman"/>
          <w:b w:val="false"/>
          <w:i w:val="false"/>
          <w:caps w:val="false"/>
          <w:smallCaps w:val="false"/>
          <w:color w:val="000000"/>
          <w:spacing w:val="0"/>
          <w:sz w:val="20"/>
        </w:rPr>
      </w:pPr>
      <w:r>
        <w:rPr>
          <w:rFonts w:ascii="times new roman;times" w:hAnsi="times new roman;times"/>
          <w:b w:val="false"/>
          <w:i/>
          <w:caps w:val="false"/>
          <w:smallCaps w:val="false"/>
          <w:color w:val="000000"/>
          <w:spacing w:val="0"/>
          <w:sz w:val="20"/>
        </w:rPr>
        <w:t>Salaries and benefits</w:t>
        <w:br/>
      </w:r>
      <w:r>
        <w:rPr>
          <w:rFonts w:ascii="Times New Roman" w:hAnsi="Times New Roman"/>
          <w:b w:val="false"/>
          <w:i w:val="false"/>
          <w:caps w:val="false"/>
          <w:smallCaps w:val="false"/>
          <w:color w:val="000000"/>
          <w:spacing w:val="0"/>
          <w:sz w:val="20"/>
        </w:rPr>
        <w:br/>
      </w:r>
      <w:r>
        <w:rPr>
          <w:rFonts w:ascii="times new roman;times" w:hAnsi="times new roman;times"/>
          <w:b w:val="false"/>
          <w:i w:val="false"/>
          <w:caps w:val="false"/>
          <w:smallCaps w:val="false"/>
          <w:color w:val="000000"/>
          <w:spacing w:val="0"/>
          <w:sz w:val="20"/>
        </w:rPr>
        <w:t>Salaries and benefits expenses were $82.7 million for the three months ended June 30, 2024, an increase of $4.2 million or 5% compared to the same period in 2023. Salaries and benefits expenses were $163.4 million for the six months ended June 30, 2024, an increase of $10.6 million or 7% compared to the same period in 2023. The increase in salaries and benefits was primarily driven by an increase in headcount to support the growth of the business and salary increases due to inflationary pressures. As a percentage of revenues, these expenses decreased to 19.6% and 20.3% for the three and six months ended June 30, 2024, compared to 19.9% and 20.3% for the same periods in 2023. </w:t>
        <w:br/>
      </w:r>
      <w:r>
        <w:rPr>
          <w:rFonts w:ascii="Times New Roman" w:hAnsi="Times New Roman"/>
          <w:b w:val="false"/>
          <w:i w:val="false"/>
          <w:caps w:val="false"/>
          <w:smallCaps w:val="false"/>
          <w:color w:val="000000"/>
          <w:spacing w:val="0"/>
          <w:sz w:val="20"/>
        </w:rPr>
        <w:br/>
      </w:r>
      <w:r>
        <w:rPr>
          <w:rFonts w:ascii="times new roman;times" w:hAnsi="times new roman;times"/>
          <w:b w:val="false"/>
          <w:i/>
          <w:caps w:val="false"/>
          <w:smallCaps w:val="false"/>
          <w:color w:val="000000"/>
          <w:spacing w:val="0"/>
          <w:sz w:val="20"/>
        </w:rPr>
        <w:t>Selling, general and administrative</w:t>
        <w:br/>
      </w:r>
      <w:r>
        <w:rPr>
          <w:rFonts w:ascii="Times New Roman" w:hAnsi="Times New Roman"/>
          <w:b w:val="false"/>
          <w:i w:val="false"/>
          <w:caps w:val="false"/>
          <w:smallCaps w:val="false"/>
          <w:color w:val="000000"/>
          <w:spacing w:val="0"/>
          <w:sz w:val="20"/>
        </w:rPr>
        <w:br/>
      </w:r>
      <w:r>
        <w:rPr>
          <w:rFonts w:ascii="times new roman;times" w:hAnsi="times new roman;times"/>
          <w:b w:val="false"/>
          <w:i w:val="false"/>
          <w:caps w:val="false"/>
          <w:smallCaps w:val="false"/>
          <w:color w:val="000000"/>
          <w:spacing w:val="0"/>
          <w:sz w:val="20"/>
        </w:rPr>
        <w:t>Selling, general and administrative expenses were $53.4 million for the three months ended June 30, 2024, an increase of $6.1 million or 13% compared to the same period in 2023. Selling, general and administrative expenses were $103.4 million for the six months ended June 30, 2024, an increase of $8.4 million or 9% compared to the same period in 2023. As a percentage of revenues, these expenses increased to 12.7% and 12.8% for the three and six months ended June 30, 2024, compared to 12.0% and 12.6% for the same periods in 2023.</w:t>
        <w:br/>
        <w:br/>
      </w:r>
      <w:r>
        <w:rPr>
          <w:rFonts w:ascii="times new roman;times" w:hAnsi="times new roman;times"/>
          <w:b w:val="false"/>
          <w:i/>
          <w:caps w:val="false"/>
          <w:smallCaps w:val="false"/>
          <w:color w:val="000000"/>
          <w:spacing w:val="0"/>
          <w:sz w:val="20"/>
        </w:rPr>
        <w:t>Depreciation and amortization</w:t>
        <w:br/>
      </w:r>
      <w:r>
        <w:rPr>
          <w:rFonts w:ascii="Times New Roman" w:hAnsi="Times New Roman"/>
          <w:b w:val="false"/>
          <w:i w:val="false"/>
          <w:caps w:val="false"/>
          <w:smallCaps w:val="false"/>
          <w:color w:val="000000"/>
          <w:spacing w:val="0"/>
          <w:sz w:val="20"/>
        </w:rPr>
        <w:br/>
      </w:r>
      <w:r>
        <w:rPr>
          <w:rFonts w:ascii="times new roman;times" w:hAnsi="times new roman;times"/>
          <w:b w:val="false"/>
          <w:i w:val="false"/>
          <w:caps w:val="false"/>
          <w:smallCaps w:val="false"/>
          <w:color w:val="000000"/>
          <w:spacing w:val="0"/>
          <w:sz w:val="20"/>
        </w:rPr>
        <w:t>Depreciation and amortization expenses were $6.7 million for the three months ended June 30, 2024, a decrease of $1.4 million or 17% compared to the same period in 2023. Depreciation and amortization expenses were $14.0 million for the six months ended June 30, 2024, a decrease of $2.6 million or 16% compared to the same period in 2023. Depreciation and amortization expense primarily represents amortization of acquired intangible assets and depreciation of money transfer terminals, computers and software, leasehold improvements and office equipment. As a percentage of revenues, these expenses decreased to 1.6% and 1.7% for the three and six months ended June 30, 2024, compared to 2.1% and 2.2% for the same periods in 2023.</w:t>
        <w:br/>
        <w:br/>
      </w:r>
      <w:r>
        <w:rPr>
          <w:rFonts w:ascii="times new roman;times" w:hAnsi="times new roman;times"/>
          <w:b w:val="false"/>
          <w:i/>
          <w:caps w:val="false"/>
          <w:smallCaps w:val="false"/>
          <w:color w:val="000000"/>
          <w:spacing w:val="0"/>
          <w:sz w:val="20"/>
        </w:rPr>
        <w:t>Operating income</w:t>
        <w:br/>
      </w:r>
      <w:r>
        <w:rPr>
          <w:rFonts w:ascii="Times New Roman" w:hAnsi="Times New Roman"/>
          <w:b w:val="false"/>
          <w:i w:val="false"/>
          <w:caps w:val="false"/>
          <w:smallCaps w:val="false"/>
          <w:color w:val="000000"/>
          <w:spacing w:val="0"/>
          <w:sz w:val="20"/>
        </w:rPr>
        <w:br/>
      </w:r>
      <w:r>
        <w:rPr>
          <w:rFonts w:ascii="times new roman;times" w:hAnsi="times new roman;times"/>
          <w:b w:val="false"/>
          <w:i w:val="false"/>
          <w:caps w:val="false"/>
          <w:smallCaps w:val="false"/>
          <w:color w:val="000000"/>
          <w:spacing w:val="0"/>
          <w:sz w:val="20"/>
        </w:rPr>
        <w:t>Money Transfer Segment operating income was $47.3 million for the three months ended June 30, 2024, an increase of $0.1 million compared to the same period in 2023. Money Transfer </w:t>
      </w:r>
      <w:r>
        <w:rPr>
          <w:rFonts w:ascii="times new roman;times" w:hAnsi="times new roman;times"/>
          <w:b w:val="false"/>
          <w:i w:val="false"/>
          <w:caps w:val="false"/>
          <w:smallCaps w:val="false"/>
          <w:color w:val="000000"/>
          <w:spacing w:val="0"/>
          <w:sz w:val="20"/>
        </w:rPr>
        <w:t>Segment had operating income of $ 84.5 million for the six months ended June 30, 2024, an increase of $4.7 million or 6% compared to the same period in 2023. </w:t>
      </w:r>
      <w:r>
        <w:rPr>
          <w:rFonts w:ascii="times new roman;times" w:hAnsi="times new roman;times"/>
          <w:b w:val="false"/>
          <w:i w:val="false"/>
          <w:caps w:val="false"/>
          <w:smallCaps w:val="false"/>
          <w:color w:val="000000"/>
          <w:spacing w:val="0"/>
          <w:sz w:val="20"/>
        </w:rPr>
        <w:t xml:space="preserve">Operating margin decreased to 11.2% and 10.5% for the </w:t>
      </w:r>
      <w:r>
        <w:rPr>
          <w:rFonts w:ascii="times new roman;times" w:hAnsi="times new roman;times"/>
          <w:b w:val="false"/>
          <w:i w:val="false"/>
          <w:caps w:val="false"/>
          <w:smallCaps w:val="false"/>
          <w:color w:val="000000"/>
          <w:spacing w:val="0"/>
          <w:sz w:val="20"/>
        </w:rPr>
        <w:t>three and six months ended June 30, 2024</w:t>
      </w:r>
      <w:r>
        <w:rPr>
          <w:rFonts w:ascii="times new roman;times" w:hAnsi="times new roman;times"/>
          <w:b w:val="false"/>
          <w:i w:val="false"/>
          <w:caps w:val="false"/>
          <w:smallCaps w:val="false"/>
          <w:color w:val="000000"/>
          <w:spacing w:val="0"/>
          <w:sz w:val="20"/>
        </w:rPr>
        <w:t>, compared to 12.0% and 10.6% for the same periods in 2023. Operating income per transaction decreased to $</w:t>
      </w:r>
      <w:r>
        <w:rPr>
          <w:rFonts w:ascii="times new roman;times" w:hAnsi="times new roman;times"/>
          <w:b w:val="false"/>
          <w:i w:val="false"/>
          <w:caps w:val="false"/>
          <w:smallCaps w:val="false"/>
          <w:color w:val="000000"/>
          <w:spacing w:val="0"/>
          <w:sz w:val="20"/>
        </w:rPr>
        <w:t>1.07</w:t>
      </w:r>
      <w:r>
        <w:rPr>
          <w:rFonts w:ascii="times new roman;times" w:hAnsi="times new roman;times"/>
          <w:b w:val="false"/>
          <w:i w:val="false"/>
          <w:caps w:val="false"/>
          <w:smallCaps w:val="false"/>
          <w:color w:val="000000"/>
          <w:spacing w:val="0"/>
          <w:sz w:val="20"/>
        </w:rPr>
        <w:t>, and $1.00 for the three and six months ended June 30, 2024, compared to $1.15 and $1.02 for the same periods in 2023. </w:t>
      </w:r>
    </w:p>
    <w:p>
      <w:pPr>
        <w:pStyle w:val="TextBody"/>
        <w:bidi w:val="0"/>
        <w:spacing w:lineRule="auto" w:line="288" w:before="0" w:after="0"/>
        <w:ind w:left="0" w:right="0" w:hanging="0"/>
        <w:jc w:val="both"/>
        <w:rPr/>
      </w:pPr>
      <w:r>
        <w:rPr/>
      </w:r>
    </w:p>
    <w:p>
      <w:pPr>
        <w:pStyle w:val="TextBody"/>
        <w:widowControl/>
        <w:bidi w:val="0"/>
        <w:spacing w:before="0" w:after="0"/>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CORPORATE SERVICES </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following table presents the operating expenses for the </w:t>
      </w:r>
      <w:r>
        <w:rPr>
          <w:rFonts w:ascii="times new roman;times" w:hAnsi="times new roman;times"/>
          <w:b w:val="false"/>
          <w:i w:val="false"/>
          <w:caps w:val="false"/>
          <w:smallCaps w:val="false"/>
          <w:strike w:val="false"/>
          <w:dstrike w:val="false"/>
          <w:color w:val="000000"/>
          <w:spacing w:val="0"/>
          <w:sz w:val="20"/>
          <w:u w:val="none"/>
          <w:effect w:val="none"/>
        </w:rPr>
        <w:t>three and six</w:t>
      </w:r>
      <w:r>
        <w:rPr>
          <w:rFonts w:ascii="times new roman;times" w:hAnsi="times new roman;times"/>
          <w:b w:val="false"/>
          <w:i w:val="false"/>
          <w:caps w:val="false"/>
          <w:smallCaps w:val="false"/>
          <w:color w:val="000000"/>
          <w:spacing w:val="0"/>
          <w:sz w:val="20"/>
        </w:rPr>
        <w:t> months ended </w:t>
      </w:r>
      <w:r>
        <w:rPr>
          <w:rFonts w:ascii="times new roman;times" w:hAnsi="times new roman;times"/>
          <w:b w:val="false"/>
          <w:i w:val="false"/>
          <w:caps w:val="false"/>
          <w:smallCaps w:val="false"/>
          <w:strike w:val="false"/>
          <w:dstrike w:val="false"/>
          <w:color w:val="000000"/>
          <w:spacing w:val="0"/>
          <w:sz w:val="20"/>
          <w:u w:val="none"/>
          <w:effect w:val="none"/>
        </w:rPr>
        <w:t>June 30, 2024</w:t>
      </w:r>
      <w:r>
        <w:rPr>
          <w:rFonts w:ascii="times new roman;times" w:hAnsi="times new roman;times"/>
          <w:b w:val="false"/>
          <w:i w:val="false"/>
          <w:caps w:val="false"/>
          <w:smallCaps w:val="false"/>
          <w:color w:val="000000"/>
          <w:spacing w:val="0"/>
          <w:sz w:val="20"/>
        </w:rPr>
        <w:t> and </w:t>
      </w:r>
      <w:r>
        <w:rPr>
          <w:rFonts w:ascii="times new roman;times" w:hAnsi="times new roman;times"/>
          <w:b w:val="false"/>
          <w:i w:val="false"/>
          <w:caps w:val="false"/>
          <w:smallCaps w:val="false"/>
          <w:strike w:val="false"/>
          <w:dstrike w:val="false"/>
          <w:color w:val="000000"/>
          <w:spacing w:val="0"/>
          <w:sz w:val="20"/>
          <w:u w:val="none"/>
          <w:effect w:val="none"/>
        </w:rPr>
        <w:t>2023</w:t>
      </w:r>
      <w:r>
        <w:rPr>
          <w:rFonts w:ascii="times new roman;times" w:hAnsi="times new roman;times"/>
          <w:b w:val="false"/>
          <w:i w:val="false"/>
          <w:caps w:val="false"/>
          <w:smallCaps w:val="false"/>
          <w:color w:val="000000"/>
          <w:spacing w:val="0"/>
          <w:sz w:val="20"/>
        </w:rPr>
        <w:t> for Corporate Services:</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0" w:type="dxa"/>
          <w:left w:w="0" w:type="dxa"/>
          <w:bottom w:w="0" w:type="dxa"/>
          <w:right w:w="0" w:type="dxa"/>
        </w:tblCellMar>
      </w:tblPr>
      <w:tblGrid>
        <w:gridCol w:w="1918"/>
        <w:gridCol w:w="60"/>
        <w:gridCol w:w="185"/>
        <w:gridCol w:w="562"/>
        <w:gridCol w:w="33"/>
        <w:gridCol w:w="88"/>
        <w:gridCol w:w="185"/>
        <w:gridCol w:w="562"/>
        <w:gridCol w:w="23"/>
        <w:gridCol w:w="60"/>
        <w:gridCol w:w="314"/>
        <w:gridCol w:w="751"/>
        <w:gridCol w:w="154"/>
        <w:gridCol w:w="96"/>
        <w:gridCol w:w="802"/>
        <w:gridCol w:w="263"/>
        <w:gridCol w:w="23"/>
        <w:gridCol w:w="23"/>
        <w:gridCol w:w="173"/>
        <w:gridCol w:w="612"/>
        <w:gridCol w:w="31"/>
        <w:gridCol w:w="31"/>
        <w:gridCol w:w="31"/>
        <w:gridCol w:w="612"/>
        <w:gridCol w:w="31"/>
        <w:gridCol w:w="23"/>
        <w:gridCol w:w="295"/>
        <w:gridCol w:w="905"/>
        <w:gridCol w:w="111"/>
        <w:gridCol w:w="26"/>
        <w:gridCol w:w="692"/>
        <w:gridCol w:w="479"/>
        <w:gridCol w:w="51"/>
      </w:tblGrid>
      <w:tr>
        <w:trPr/>
        <w:tc>
          <w:tcPr>
            <w:tcW w:w="19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5" w:type="dxa"/>
            <w:gridSpan w:val="6"/>
            <w:tcBorders/>
            <w:vAlign w:val="center"/>
          </w:tcPr>
          <w:p>
            <w:pPr>
              <w:pStyle w:val="TableContents"/>
              <w:widowControl/>
              <w:bidi w:val="0"/>
              <w:spacing w:before="0" w:after="0"/>
              <w:ind w:left="0" w:right="0" w:hanging="0"/>
              <w:jc w:val="center"/>
              <w:rPr>
                <w:rFonts w:ascii="times new roman;times" w:hAnsi="times new roman;times"/>
                <w:sz w:val="16"/>
              </w:rPr>
            </w:pPr>
            <w:r>
              <w:rPr>
                <w:rFonts w:ascii="times new roman;times" w:hAnsi="times new roman;times"/>
                <w:b/>
                <w:sz w:val="16"/>
              </w:rPr>
              <w:t>Three Months Ended</w:t>
            </w:r>
            <w:r>
              <w:rPr>
                <w:rFonts w:ascii="times new roman;times" w:hAnsi="times new roman;times"/>
                <w:b/>
                <w:sz w:val="16"/>
              </w:rPr>
              <w:t xml:space="preserve"> </w:t>
            </w:r>
            <w:r>
              <w:rPr>
                <w:rFonts w:ascii="times new roman;times" w:hAnsi="times new roman;times"/>
                <w:b/>
                <w:color w:val="000000"/>
                <w:spacing w:val="0"/>
                <w:sz w:val="16"/>
              </w:rPr>
              <w:t>June 30,</w:t>
            </w:r>
          </w:p>
        </w:tc>
        <w:tc>
          <w:tcPr>
            <w:tcW w:w="23" w:type="dxa"/>
            <w:tcBorders/>
            <w:vAlign w:val="center"/>
          </w:tcPr>
          <w:p>
            <w:pPr>
              <w:pStyle w:val="TableContents"/>
              <w:bidi w:val="0"/>
              <w:spacing w:before="0" w:after="0"/>
              <w:jc w:val="center"/>
              <w:rPr>
                <w:sz w:val="16"/>
              </w:rPr>
            </w:pPr>
            <w:r>
              <w:rPr>
                <w:sz w:val="16"/>
              </w:rPr>
            </w:r>
          </w:p>
        </w:tc>
        <w:tc>
          <w:tcPr>
            <w:tcW w:w="60" w:type="dxa"/>
            <w:tcBorders/>
            <w:vAlign w:val="center"/>
          </w:tcPr>
          <w:p>
            <w:pPr>
              <w:pStyle w:val="TableContents"/>
              <w:bidi w:val="0"/>
              <w:spacing w:before="0" w:after="283"/>
              <w:jc w:val="left"/>
              <w:rPr>
                <w:sz w:val="4"/>
                <w:szCs w:val="4"/>
              </w:rPr>
            </w:pPr>
            <w:r>
              <w:rPr>
                <w:sz w:val="4"/>
                <w:szCs w:val="4"/>
              </w:rPr>
            </w:r>
          </w:p>
        </w:tc>
        <w:tc>
          <w:tcPr>
            <w:tcW w:w="2117" w:type="dxa"/>
            <w:gridSpan w:val="5"/>
            <w:tcBorders/>
            <w:vAlign w:val="center"/>
          </w:tcPr>
          <w:p>
            <w:pPr>
              <w:pStyle w:val="TableContents"/>
              <w:widowControl/>
              <w:bidi w:val="0"/>
              <w:spacing w:before="0" w:after="0"/>
              <w:ind w:left="0" w:right="0" w:hanging="0"/>
              <w:jc w:val="center"/>
              <w:rPr>
                <w:rFonts w:ascii="times new roman;times" w:hAnsi="times new roman;times"/>
                <w:b/>
                <w:i w:val="false"/>
                <w:caps w:val="false"/>
                <w:smallCaps w:val="false"/>
                <w:color w:val="000000"/>
                <w:spacing w:val="0"/>
                <w:sz w:val="16"/>
              </w:rPr>
            </w:pPr>
            <w:r>
              <w:rPr>
                <w:rFonts w:ascii="times new roman;times" w:hAnsi="times new roman;times"/>
                <w:b/>
                <w:i w:val="false"/>
                <w:caps w:val="false"/>
                <w:smallCaps w:val="false"/>
                <w:color w:val="000000"/>
                <w:spacing w:val="0"/>
                <w:sz w:val="16"/>
              </w:rPr>
              <w:t>Year-over-Year Change</w:t>
            </w:r>
          </w:p>
        </w:tc>
        <w:tc>
          <w:tcPr>
            <w:tcW w:w="26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0"/>
              <w:jc w:val="center"/>
              <w:rPr>
                <w:sz w:val="16"/>
              </w:rPr>
            </w:pPr>
            <w:r>
              <w:rPr>
                <w:sz w:val="16"/>
              </w:rPr>
            </w:r>
          </w:p>
        </w:tc>
        <w:tc>
          <w:tcPr>
            <w:tcW w:w="23" w:type="dxa"/>
            <w:tcBorders/>
            <w:vAlign w:val="center"/>
          </w:tcPr>
          <w:p>
            <w:pPr>
              <w:pStyle w:val="TableContents"/>
              <w:bidi w:val="0"/>
              <w:spacing w:before="0" w:after="0"/>
              <w:jc w:val="center"/>
              <w:rPr>
                <w:sz w:val="16"/>
              </w:rPr>
            </w:pPr>
            <w:r>
              <w:rPr>
                <w:sz w:val="16"/>
              </w:rPr>
            </w:r>
          </w:p>
        </w:tc>
        <w:tc>
          <w:tcPr>
            <w:tcW w:w="1521" w:type="dxa"/>
            <w:gridSpan w:val="7"/>
            <w:tcBorders/>
            <w:vAlign w:val="bottom"/>
          </w:tcPr>
          <w:p>
            <w:pPr>
              <w:pStyle w:val="TableContents"/>
              <w:bidi w:val="0"/>
              <w:spacing w:before="0" w:after="0"/>
              <w:jc w:val="center"/>
              <w:rPr>
                <w:sz w:val="16"/>
              </w:rPr>
            </w:pPr>
            <w:r>
              <w:rPr>
                <w:sz w:val="16"/>
              </w:rPr>
              <w:t>Six Months Ended June 30 ,</w:t>
            </w:r>
          </w:p>
        </w:tc>
        <w:tc>
          <w:tcPr>
            <w:tcW w:w="23" w:type="dxa"/>
            <w:tcBorders/>
            <w:vAlign w:val="center"/>
          </w:tcPr>
          <w:p>
            <w:pPr>
              <w:pStyle w:val="TableContents"/>
              <w:bidi w:val="0"/>
              <w:spacing w:before="0" w:after="0"/>
              <w:jc w:val="center"/>
              <w:rPr>
                <w:sz w:val="16"/>
              </w:rPr>
            </w:pPr>
            <w:r>
              <w:rPr>
                <w:sz w:val="16"/>
              </w:rPr>
            </w:r>
          </w:p>
        </w:tc>
        <w:tc>
          <w:tcPr>
            <w:tcW w:w="2508" w:type="dxa"/>
            <w:gridSpan w:val="6"/>
            <w:tcBorders/>
            <w:vAlign w:val="center"/>
          </w:tcPr>
          <w:p>
            <w:pPr>
              <w:pStyle w:val="TableContents"/>
              <w:widowControl/>
              <w:bidi w:val="0"/>
              <w:spacing w:before="0" w:after="0"/>
              <w:ind w:left="0" w:right="0" w:hanging="0"/>
              <w:jc w:val="center"/>
              <w:rPr>
                <w:rFonts w:ascii="times new roman;times" w:hAnsi="times new roman;times"/>
                <w:b/>
                <w:i w:val="false"/>
                <w:caps w:val="false"/>
                <w:smallCaps w:val="false"/>
                <w:color w:val="000000"/>
                <w:spacing w:val="0"/>
                <w:sz w:val="15"/>
              </w:rPr>
            </w:pPr>
            <w:r>
              <w:rPr>
                <w:rFonts w:ascii="times new roman;times" w:hAnsi="times new roman;times"/>
                <w:b/>
                <w:i w:val="false"/>
                <w:caps w:val="false"/>
                <w:smallCaps w:val="false"/>
                <w:color w:val="000000"/>
                <w:spacing w:val="0"/>
                <w:sz w:val="15"/>
              </w:rPr>
              <w:t>Year-over-Year Change</w:t>
            </w:r>
          </w:p>
        </w:tc>
        <w:tc>
          <w:tcPr>
            <w:tcW w:w="51" w:type="dxa"/>
            <w:tcBorders/>
            <w:vAlign w:val="center"/>
          </w:tcPr>
          <w:p>
            <w:pPr>
              <w:pStyle w:val="TableContents"/>
              <w:bidi w:val="0"/>
              <w:spacing w:before="0" w:after="283"/>
              <w:jc w:val="left"/>
              <w:rPr>
                <w:sz w:val="4"/>
                <w:szCs w:val="4"/>
              </w:rPr>
            </w:pPr>
            <w:r>
              <w:rPr>
                <w:sz w:val="4"/>
                <w:szCs w:val="4"/>
              </w:rPr>
            </w:r>
          </w:p>
        </w:tc>
      </w:tr>
      <w:tr>
        <w:trPr/>
        <w:tc>
          <w:tcPr>
            <w:tcW w:w="1918" w:type="dxa"/>
            <w:tcBorders/>
            <w:vAlign w:val="center"/>
          </w:tcPr>
          <w:p>
            <w:pPr>
              <w:pStyle w:val="TableContents"/>
              <w:widowControl/>
              <w:bidi w:val="0"/>
              <w:spacing w:before="0" w:after="0"/>
              <w:ind w:left="0" w:right="0" w:hanging="0"/>
              <w:jc w:val="left"/>
              <w:rPr>
                <w:rFonts w:ascii="times new roman;times" w:hAnsi="times new roman;times"/>
                <w:sz w:val="16"/>
              </w:rPr>
            </w:pPr>
            <w:r>
              <w:rPr>
                <w:rFonts w:ascii="times new roman;times" w:hAnsi="times new roman;times"/>
                <w:sz w:val="16"/>
              </w:rPr>
              <w:t xml:space="preserve">(dollar amounts in </w:t>
            </w:r>
            <w:r>
              <w:rPr>
                <w:rFonts w:ascii="times new roman;times" w:hAnsi="times new roman;times"/>
                <w:b w:val="false"/>
                <w:color w:val="000000"/>
                <w:spacing w:val="0"/>
                <w:sz w:val="16"/>
              </w:rPr>
              <w:t>millions</w:t>
            </w:r>
            <w:r>
              <w:rPr>
                <w:rFonts w:ascii="times new roman;times" w:hAnsi="times new roman;times"/>
                <w:sz w:val="16"/>
              </w:rPr>
              <w:t>)</w:t>
            </w:r>
          </w:p>
        </w:tc>
        <w:tc>
          <w:tcPr>
            <w:tcW w:w="60" w:type="dxa"/>
            <w:tcBorders/>
            <w:vAlign w:val="center"/>
          </w:tcPr>
          <w:p>
            <w:pPr>
              <w:pStyle w:val="TableContents"/>
              <w:bidi w:val="0"/>
              <w:spacing w:before="0" w:after="0"/>
              <w:jc w:val="left"/>
              <w:rPr/>
            </w:pPr>
            <w:r>
              <w:rPr/>
              <w:t> </w:t>
            </w:r>
          </w:p>
        </w:tc>
        <w:tc>
          <w:tcPr>
            <w:tcW w:w="747" w:type="dxa"/>
            <w:gridSpan w:val="2"/>
            <w:tcBorders/>
            <w:vAlign w:val="center"/>
          </w:tcPr>
          <w:p>
            <w:pPr>
              <w:pStyle w:val="TableContents"/>
              <w:widowControl/>
              <w:bidi w:val="0"/>
              <w:spacing w:before="0" w:after="283"/>
              <w:ind w:left="0" w:right="0" w:hanging="0"/>
              <w:jc w:val="center"/>
              <w:rPr>
                <w:rFonts w:ascii="times new roman;times" w:hAnsi="times new roman;times"/>
                <w:b/>
                <w:i w:val="false"/>
                <w:caps w:val="false"/>
                <w:smallCaps w:val="false"/>
                <w:color w:val="000000"/>
                <w:spacing w:val="0"/>
                <w:sz w:val="16"/>
              </w:rPr>
            </w:pPr>
            <w:r>
              <w:rPr>
                <w:rFonts w:ascii="times new roman;times" w:hAnsi="times new roman;times"/>
                <w:b/>
                <w:i w:val="false"/>
                <w:caps w:val="false"/>
                <w:smallCaps w:val="false"/>
                <w:color w:val="000000"/>
                <w:spacing w:val="0"/>
                <w:sz w:val="16"/>
              </w:rPr>
              <w:t>2024</w:t>
            </w:r>
          </w:p>
        </w:tc>
        <w:tc>
          <w:tcPr>
            <w:tcW w:w="33" w:type="dxa"/>
            <w:tcBorders/>
            <w:vAlign w:val="center"/>
          </w:tcPr>
          <w:p>
            <w:pPr>
              <w:pStyle w:val="TableContents"/>
              <w:bidi w:val="0"/>
              <w:spacing w:before="0" w:after="283"/>
              <w:jc w:val="left"/>
              <w:rPr/>
            </w:pPr>
            <w:r>
              <w:rPr/>
            </w:r>
          </w:p>
        </w:tc>
        <w:tc>
          <w:tcPr>
            <w:tcW w:w="88" w:type="dxa"/>
            <w:tcBorders/>
            <w:vAlign w:val="center"/>
          </w:tcPr>
          <w:p>
            <w:pPr>
              <w:pStyle w:val="TableContents"/>
              <w:bidi w:val="0"/>
              <w:spacing w:before="0" w:after="0"/>
              <w:jc w:val="left"/>
              <w:rPr/>
            </w:pPr>
            <w:r>
              <w:rPr/>
              <w:t> </w:t>
            </w:r>
          </w:p>
        </w:tc>
        <w:tc>
          <w:tcPr>
            <w:tcW w:w="747" w:type="dxa"/>
            <w:gridSpan w:val="2"/>
            <w:tcBorders/>
            <w:vAlign w:val="center"/>
          </w:tcPr>
          <w:p>
            <w:pPr>
              <w:pStyle w:val="TableContents"/>
              <w:widowControl/>
              <w:bidi w:val="0"/>
              <w:spacing w:before="0" w:after="283"/>
              <w:ind w:left="0" w:right="0" w:hanging="0"/>
              <w:jc w:val="center"/>
              <w:rPr>
                <w:rFonts w:ascii="times new roman;times" w:hAnsi="times new roman;times"/>
                <w:b/>
                <w:i w:val="false"/>
                <w:caps w:val="false"/>
                <w:smallCaps w:val="false"/>
                <w:color w:val="000000"/>
                <w:spacing w:val="0"/>
                <w:sz w:val="16"/>
              </w:rPr>
            </w:pPr>
            <w:r>
              <w:rPr>
                <w:rFonts w:ascii="times new roman;times" w:hAnsi="times new roman;times"/>
                <w:b/>
                <w:i w:val="false"/>
                <w:caps w:val="false"/>
                <w:smallCaps w:val="false"/>
                <w:color w:val="000000"/>
                <w:spacing w:val="0"/>
                <w:sz w:val="16"/>
              </w:rPr>
              <w:t>2023</w:t>
            </w:r>
          </w:p>
        </w:tc>
        <w:tc>
          <w:tcPr>
            <w:tcW w:w="23"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0"/>
              <w:jc w:val="left"/>
              <w:rPr/>
            </w:pPr>
            <w:r>
              <w:rPr/>
              <w:t> </w:t>
            </w:r>
          </w:p>
        </w:tc>
        <w:tc>
          <w:tcPr>
            <w:tcW w:w="1065" w:type="dxa"/>
            <w:gridSpan w:val="2"/>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Increase (Decrease)</w:t>
            </w:r>
          </w:p>
          <w:p>
            <w:pPr>
              <w:pStyle w:val="TableContents"/>
              <w:bidi w:val="0"/>
              <w:spacing w:before="0" w:after="0"/>
              <w:jc w:val="center"/>
              <w:rPr>
                <w:rFonts w:ascii="times new roman;times" w:hAnsi="times new roman;times"/>
                <w:b/>
                <w:sz w:val="16"/>
              </w:rPr>
            </w:pPr>
            <w:r>
              <w:rPr>
                <w:rFonts w:ascii="times new roman;times" w:hAnsi="times new roman;times"/>
                <w:b/>
                <w:sz w:val="16"/>
              </w:rPr>
              <w:t>Amount</w:t>
            </w:r>
          </w:p>
        </w:tc>
        <w:tc>
          <w:tcPr>
            <w:tcW w:w="154"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0"/>
              <w:jc w:val="left"/>
              <w:rPr/>
            </w:pPr>
            <w:r>
              <w:rPr/>
              <w:t> </w:t>
            </w:r>
          </w:p>
        </w:tc>
        <w:tc>
          <w:tcPr>
            <w:tcW w:w="1065" w:type="dxa"/>
            <w:gridSpan w:val="2"/>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Increase (Decrease)</w:t>
            </w:r>
          </w:p>
          <w:p>
            <w:pPr>
              <w:pStyle w:val="TableContents"/>
              <w:bidi w:val="0"/>
              <w:spacing w:before="0" w:after="0"/>
              <w:jc w:val="center"/>
              <w:rPr>
                <w:rFonts w:ascii="times new roman;times" w:hAnsi="times new roman;times"/>
                <w:b/>
                <w:sz w:val="16"/>
              </w:rPr>
            </w:pPr>
            <w:r>
              <w:rPr>
                <w:rFonts w:ascii="times new roman;times" w:hAnsi="times new roman;times"/>
                <w:b/>
                <w:sz w:val="16"/>
              </w:rPr>
              <w:t>Percent</w:t>
            </w:r>
          </w:p>
        </w:tc>
        <w:tc>
          <w:tcPr>
            <w:tcW w:w="23" w:type="dxa"/>
            <w:tcBorders/>
            <w:vAlign w:val="center"/>
          </w:tcPr>
          <w:p>
            <w:pPr>
              <w:pStyle w:val="TableContents"/>
              <w:bidi w:val="0"/>
              <w:spacing w:before="0" w:after="0"/>
              <w:jc w:val="center"/>
              <w:rPr>
                <w:sz w:val="16"/>
              </w:rPr>
            </w:pPr>
            <w:r>
              <w:rPr>
                <w:sz w:val="16"/>
              </w:rPr>
            </w:r>
          </w:p>
        </w:tc>
        <w:tc>
          <w:tcPr>
            <w:tcW w:w="23" w:type="dxa"/>
            <w:tcBorders/>
            <w:vAlign w:val="center"/>
          </w:tcPr>
          <w:p>
            <w:pPr>
              <w:pStyle w:val="TableContents"/>
              <w:bidi w:val="0"/>
              <w:spacing w:before="0" w:after="0"/>
              <w:jc w:val="center"/>
              <w:rPr>
                <w:sz w:val="16"/>
              </w:rPr>
            </w:pPr>
            <w:r>
              <w:rPr>
                <w:sz w:val="16"/>
              </w:rPr>
            </w:r>
          </w:p>
        </w:tc>
        <w:tc>
          <w:tcPr>
            <w:tcW w:w="785" w:type="dxa"/>
            <w:gridSpan w:val="2"/>
            <w:tcBorders/>
            <w:vAlign w:val="center"/>
          </w:tcPr>
          <w:p>
            <w:pPr>
              <w:pStyle w:val="TableContents"/>
              <w:bidi w:val="0"/>
              <w:spacing w:before="0" w:after="0"/>
              <w:jc w:val="center"/>
              <w:rPr>
                <w:b/>
                <w:sz w:val="16"/>
              </w:rPr>
            </w:pPr>
            <w:r>
              <w:rPr>
                <w:b/>
                <w:sz w:val="16"/>
              </w:rPr>
              <w:t>2024</w:t>
            </w:r>
          </w:p>
        </w:tc>
        <w:tc>
          <w:tcPr>
            <w:tcW w:w="31" w:type="dxa"/>
            <w:tcBorders/>
            <w:vAlign w:val="center"/>
          </w:tcPr>
          <w:p>
            <w:pPr>
              <w:pStyle w:val="TableContents"/>
              <w:bidi w:val="0"/>
              <w:spacing w:before="0" w:after="0"/>
              <w:jc w:val="center"/>
              <w:rPr>
                <w:sz w:val="16"/>
              </w:rPr>
            </w:pPr>
            <w:r>
              <w:rPr>
                <w:sz w:val="16"/>
              </w:rPr>
            </w:r>
          </w:p>
        </w:tc>
        <w:tc>
          <w:tcPr>
            <w:tcW w:w="31" w:type="dxa"/>
            <w:tcBorders/>
            <w:vAlign w:val="center"/>
          </w:tcPr>
          <w:p>
            <w:pPr>
              <w:pStyle w:val="TableContents"/>
              <w:bidi w:val="0"/>
              <w:spacing w:before="0" w:after="0"/>
              <w:jc w:val="center"/>
              <w:rPr>
                <w:sz w:val="16"/>
              </w:rPr>
            </w:pPr>
            <w:r>
              <w:rPr>
                <w:sz w:val="16"/>
              </w:rPr>
            </w:r>
          </w:p>
        </w:tc>
        <w:tc>
          <w:tcPr>
            <w:tcW w:w="31" w:type="dxa"/>
            <w:tcBorders/>
            <w:vAlign w:val="center"/>
          </w:tcPr>
          <w:p>
            <w:pPr>
              <w:pStyle w:val="TableContents"/>
              <w:bidi w:val="0"/>
              <w:spacing w:before="0" w:after="0"/>
              <w:jc w:val="center"/>
              <w:rPr>
                <w:sz w:val="16"/>
              </w:rPr>
            </w:pPr>
            <w:r>
              <w:rPr>
                <w:sz w:val="16"/>
              </w:rPr>
            </w:r>
          </w:p>
        </w:tc>
        <w:tc>
          <w:tcPr>
            <w:tcW w:w="612" w:type="dxa"/>
            <w:tcBorders/>
            <w:vAlign w:val="center"/>
          </w:tcPr>
          <w:p>
            <w:pPr>
              <w:pStyle w:val="TableContents"/>
              <w:bidi w:val="0"/>
              <w:spacing w:before="0" w:after="0"/>
              <w:jc w:val="center"/>
              <w:rPr>
                <w:b/>
                <w:sz w:val="16"/>
              </w:rPr>
            </w:pPr>
            <w:r>
              <w:rPr>
                <w:b/>
                <w:sz w:val="16"/>
              </w:rPr>
              <w:t>2023</w:t>
            </w:r>
          </w:p>
        </w:tc>
        <w:tc>
          <w:tcPr>
            <w:tcW w:w="31" w:type="dxa"/>
            <w:tcBorders/>
            <w:vAlign w:val="center"/>
          </w:tcPr>
          <w:p>
            <w:pPr>
              <w:pStyle w:val="TableContents"/>
              <w:bidi w:val="0"/>
              <w:spacing w:before="0" w:after="0"/>
              <w:jc w:val="center"/>
              <w:rPr>
                <w:sz w:val="16"/>
              </w:rPr>
            </w:pPr>
            <w:r>
              <w:rPr>
                <w:sz w:val="16"/>
              </w:rPr>
            </w:r>
          </w:p>
        </w:tc>
        <w:tc>
          <w:tcPr>
            <w:tcW w:w="23" w:type="dxa"/>
            <w:tcBorders/>
            <w:vAlign w:val="center"/>
          </w:tcPr>
          <w:p>
            <w:pPr>
              <w:pStyle w:val="TableContents"/>
              <w:bidi w:val="0"/>
              <w:spacing w:before="0" w:after="0"/>
              <w:jc w:val="center"/>
              <w:rPr>
                <w:sz w:val="16"/>
              </w:rPr>
            </w:pPr>
            <w:r>
              <w:rPr>
                <w:sz w:val="16"/>
              </w:rPr>
            </w:r>
          </w:p>
        </w:tc>
        <w:tc>
          <w:tcPr>
            <w:tcW w:w="1200" w:type="dxa"/>
            <w:gridSpan w:val="2"/>
            <w:tcBorders/>
            <w:vAlign w:val="center"/>
          </w:tcPr>
          <w:p>
            <w:pPr>
              <w:pStyle w:val="TableContents"/>
              <w:widowControl/>
              <w:bidi w:val="0"/>
              <w:spacing w:before="0" w:after="0"/>
              <w:ind w:left="0" w:right="0" w:hanging="0"/>
              <w:jc w:val="center"/>
              <w:rPr>
                <w:rFonts w:ascii="times new roman;times" w:hAnsi="times new roman;times"/>
                <w:b/>
                <w:i w:val="false"/>
                <w:caps w:val="false"/>
                <w:smallCaps w:val="false"/>
                <w:color w:val="000000"/>
                <w:spacing w:val="0"/>
                <w:sz w:val="15"/>
              </w:rPr>
            </w:pPr>
            <w:r>
              <w:rPr>
                <w:rFonts w:ascii="times new roman;times" w:hAnsi="times new roman;times"/>
                <w:b/>
                <w:i w:val="false"/>
                <w:caps w:val="false"/>
                <w:smallCaps w:val="false"/>
                <w:color w:val="000000"/>
                <w:spacing w:val="0"/>
                <w:sz w:val="15"/>
              </w:rPr>
              <w:t>Increase (Decrease) Amount</w:t>
            </w:r>
          </w:p>
        </w:tc>
        <w:tc>
          <w:tcPr>
            <w:tcW w:w="111" w:type="dxa"/>
            <w:tcBorders/>
            <w:vAlign w:val="center"/>
          </w:tcPr>
          <w:p>
            <w:pPr>
              <w:pStyle w:val="TableContents"/>
              <w:bidi w:val="0"/>
              <w:spacing w:before="0" w:after="0"/>
              <w:jc w:val="center"/>
              <w:rPr>
                <w:sz w:val="16"/>
              </w:rPr>
            </w:pPr>
            <w:r>
              <w:rPr>
                <w:sz w:val="16"/>
              </w:rPr>
            </w:r>
          </w:p>
        </w:tc>
        <w:tc>
          <w:tcPr>
            <w:tcW w:w="26" w:type="dxa"/>
            <w:tcBorders/>
            <w:vAlign w:val="center"/>
          </w:tcPr>
          <w:p>
            <w:pPr>
              <w:pStyle w:val="TableContents"/>
              <w:bidi w:val="0"/>
              <w:spacing w:before="0" w:after="0"/>
              <w:jc w:val="center"/>
              <w:rPr>
                <w:sz w:val="16"/>
              </w:rPr>
            </w:pPr>
            <w:r>
              <w:rPr>
                <w:sz w:val="16"/>
              </w:rPr>
            </w:r>
          </w:p>
        </w:tc>
        <w:tc>
          <w:tcPr>
            <w:tcW w:w="1171" w:type="dxa"/>
            <w:gridSpan w:val="2"/>
            <w:tcBorders/>
            <w:vAlign w:val="center"/>
          </w:tcPr>
          <w:p>
            <w:pPr>
              <w:pStyle w:val="TableContents"/>
              <w:widowControl/>
              <w:bidi w:val="0"/>
              <w:spacing w:before="0" w:after="0"/>
              <w:ind w:left="0" w:right="0" w:hanging="0"/>
              <w:jc w:val="center"/>
              <w:rPr>
                <w:rFonts w:ascii="times new roman;times" w:hAnsi="times new roman;times"/>
                <w:b/>
                <w:i w:val="false"/>
                <w:caps w:val="false"/>
                <w:smallCaps w:val="false"/>
                <w:color w:val="000000"/>
                <w:spacing w:val="0"/>
                <w:sz w:val="15"/>
              </w:rPr>
            </w:pPr>
            <w:r>
              <w:rPr>
                <w:rFonts w:ascii="times new roman;times" w:hAnsi="times new roman;times"/>
                <w:b/>
                <w:i w:val="false"/>
                <w:caps w:val="false"/>
                <w:smallCaps w:val="false"/>
                <w:color w:val="000000"/>
                <w:spacing w:val="0"/>
                <w:sz w:val="15"/>
              </w:rPr>
              <w:t>Increase (Decrease) Percent</w:t>
            </w:r>
          </w:p>
        </w:tc>
        <w:tc>
          <w:tcPr>
            <w:tcW w:w="51" w:type="dxa"/>
            <w:tcBorders/>
            <w:vAlign w:val="center"/>
          </w:tcPr>
          <w:p>
            <w:pPr>
              <w:pStyle w:val="TableContents"/>
              <w:bidi w:val="0"/>
              <w:spacing w:before="0" w:after="0"/>
              <w:jc w:val="center"/>
              <w:rPr>
                <w:sz w:val="16"/>
              </w:rPr>
            </w:pPr>
            <w:r>
              <w:rPr>
                <w:sz w:val="16"/>
              </w:rPr>
            </w:r>
          </w:p>
        </w:tc>
      </w:tr>
      <w:tr>
        <w:trPr/>
        <w:tc>
          <w:tcPr>
            <w:tcW w:w="1918"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Salaries and benefits</w:t>
            </w:r>
          </w:p>
        </w:tc>
        <w:tc>
          <w:tcPr>
            <w:tcW w:w="60" w:type="dxa"/>
            <w:tcBorders/>
            <w:shd w:fill="CCEEFF" w:val="clear"/>
            <w:vAlign w:val="center"/>
          </w:tcPr>
          <w:p>
            <w:pPr>
              <w:pStyle w:val="TableContents"/>
              <w:bidi w:val="0"/>
              <w:spacing w:before="0" w:after="0"/>
              <w:jc w:val="left"/>
              <w:rPr/>
            </w:pPr>
            <w:r>
              <w:rPr/>
              <w:t> </w:t>
            </w:r>
          </w:p>
        </w:tc>
        <w:tc>
          <w:tcPr>
            <w:tcW w:w="185" w:type="dxa"/>
            <w:tcBorders/>
            <w:shd w:fill="CCEEFF" w:val="clear"/>
            <w:vAlign w:val="center"/>
          </w:tcPr>
          <w:p>
            <w:pPr>
              <w:pStyle w:val="TableContents"/>
              <w:widowControl/>
              <w:bidi w:val="0"/>
              <w:spacing w:before="0" w:after="0"/>
              <w:ind w:left="0" w:right="0" w:hanging="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w:t>
            </w:r>
          </w:p>
        </w:tc>
        <w:tc>
          <w:tcPr>
            <w:tcW w:w="562" w:type="dxa"/>
            <w:tcBorders/>
            <w:shd w:fill="CCEEFF" w:val="clear"/>
            <w:vAlign w:val="center"/>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15.8</w:t>
            </w:r>
          </w:p>
        </w:tc>
        <w:tc>
          <w:tcPr>
            <w:tcW w:w="33" w:type="dxa"/>
            <w:tcBorders/>
            <w:shd w:fill="CCEEFF" w:val="clear"/>
            <w:vAlign w:val="center"/>
          </w:tcPr>
          <w:p>
            <w:pPr>
              <w:pStyle w:val="TableContents"/>
              <w:bidi w:val="0"/>
              <w:spacing w:before="0" w:after="283"/>
              <w:jc w:val="left"/>
              <w:rPr/>
            </w:pPr>
            <w:r>
              <w:rPr/>
            </w:r>
          </w:p>
        </w:tc>
        <w:tc>
          <w:tcPr>
            <w:tcW w:w="88" w:type="dxa"/>
            <w:tcBorders/>
            <w:shd w:fill="CCEEFF" w:val="clear"/>
            <w:vAlign w:val="center"/>
          </w:tcPr>
          <w:p>
            <w:pPr>
              <w:pStyle w:val="TableContents"/>
              <w:bidi w:val="0"/>
              <w:spacing w:before="0" w:after="0"/>
              <w:jc w:val="left"/>
              <w:rPr/>
            </w:pPr>
            <w:r>
              <w:rPr/>
              <w:t> </w:t>
            </w:r>
          </w:p>
        </w:tc>
        <w:tc>
          <w:tcPr>
            <w:tcW w:w="185" w:type="dxa"/>
            <w:tcBorders/>
            <w:shd w:fill="CCEEFF" w:val="clear"/>
            <w:vAlign w:val="center"/>
          </w:tcPr>
          <w:p>
            <w:pPr>
              <w:pStyle w:val="TableContents"/>
              <w:widowControl/>
              <w:bidi w:val="0"/>
              <w:spacing w:before="0" w:after="0"/>
              <w:ind w:left="0" w:right="0" w:hanging="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w:t>
            </w:r>
          </w:p>
        </w:tc>
        <w:tc>
          <w:tcPr>
            <w:tcW w:w="562" w:type="dxa"/>
            <w:tcBorders/>
            <w:shd w:fill="CCEEFF" w:val="clear"/>
            <w:vAlign w:val="center"/>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18.1</w:t>
            </w:r>
          </w:p>
        </w:tc>
        <w:tc>
          <w:tcPr>
            <w:tcW w:w="23" w:type="dxa"/>
            <w:tcBorders/>
            <w:shd w:fill="CCEEFF" w:val="clear"/>
            <w:vAlign w:val="center"/>
          </w:tcPr>
          <w:p>
            <w:pPr>
              <w:pStyle w:val="TableContents"/>
              <w:bidi w:val="0"/>
              <w:spacing w:before="0" w:after="0"/>
              <w:jc w:val="right"/>
              <w:rPr>
                <w:sz w:val="20"/>
              </w:rPr>
            </w:pPr>
            <w:r>
              <w:rPr>
                <w:sz w:val="20"/>
              </w:rPr>
            </w:r>
          </w:p>
        </w:tc>
        <w:tc>
          <w:tcPr>
            <w:tcW w:w="60" w:type="dxa"/>
            <w:tcBorders/>
            <w:shd w:fill="CCEEFF" w:val="clear"/>
            <w:vAlign w:val="center"/>
          </w:tcPr>
          <w:p>
            <w:pPr>
              <w:pStyle w:val="TableContents"/>
              <w:bidi w:val="0"/>
              <w:spacing w:before="0" w:after="0"/>
              <w:jc w:val="left"/>
              <w:rPr/>
            </w:pPr>
            <w:r>
              <w:rPr/>
              <w:t> </w:t>
            </w:r>
          </w:p>
        </w:tc>
        <w:tc>
          <w:tcPr>
            <w:tcW w:w="314" w:type="dxa"/>
            <w:tcBorders/>
            <w:shd w:fill="CCEEFF" w:val="clear"/>
            <w:vAlign w:val="center"/>
          </w:tcPr>
          <w:p>
            <w:pPr>
              <w:pStyle w:val="TableContents"/>
              <w:widowControl/>
              <w:bidi w:val="0"/>
              <w:spacing w:before="0" w:after="0"/>
              <w:ind w:left="0" w:right="0" w:hanging="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w:t>
            </w:r>
          </w:p>
        </w:tc>
        <w:tc>
          <w:tcPr>
            <w:tcW w:w="751" w:type="dxa"/>
            <w:tcBorders/>
            <w:shd w:fill="CCEEFF" w:val="clear"/>
            <w:vAlign w:val="center"/>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(2.3</w:t>
            </w:r>
          </w:p>
        </w:tc>
        <w:tc>
          <w:tcPr>
            <w:tcW w:w="154" w:type="dxa"/>
            <w:tcBorders/>
            <w:shd w:fill="CCEEFF" w:val="clear"/>
            <w:vAlign w:val="center"/>
          </w:tcPr>
          <w:p>
            <w:pPr>
              <w:pStyle w:val="TableContents"/>
              <w:bidi w:val="0"/>
              <w:spacing w:before="0" w:after="283"/>
              <w:jc w:val="left"/>
              <w:rPr/>
            </w:pPr>
            <w:r>
              <w:rPr/>
              <w:t>)</w:t>
            </w:r>
          </w:p>
        </w:tc>
        <w:tc>
          <w:tcPr>
            <w:tcW w:w="96" w:type="dxa"/>
            <w:tcBorders/>
            <w:shd w:fill="CCEEFF" w:val="clear"/>
            <w:vAlign w:val="center"/>
          </w:tcPr>
          <w:p>
            <w:pPr>
              <w:pStyle w:val="TableContents"/>
              <w:bidi w:val="0"/>
              <w:spacing w:before="0" w:after="0"/>
              <w:jc w:val="left"/>
              <w:rPr/>
            </w:pPr>
            <w:r>
              <w:rPr/>
              <w:t> </w:t>
            </w:r>
          </w:p>
        </w:tc>
        <w:tc>
          <w:tcPr>
            <w:tcW w:w="802"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(13)</w:t>
            </w:r>
          </w:p>
        </w:tc>
        <w:tc>
          <w:tcPr>
            <w:tcW w:w="263"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23" w:type="dxa"/>
            <w:tcBorders/>
            <w:shd w:fill="CCEEFF" w:val="clear"/>
            <w:vAlign w:val="center"/>
          </w:tcPr>
          <w:p>
            <w:pPr>
              <w:pStyle w:val="TableContents"/>
              <w:bidi w:val="0"/>
              <w:spacing w:before="0" w:after="283"/>
              <w:ind w:left="0" w:right="0" w:hanging="0"/>
              <w:jc w:val="left"/>
              <w:rPr/>
            </w:pPr>
            <w:r>
              <w:rPr/>
            </w:r>
          </w:p>
        </w:tc>
        <w:tc>
          <w:tcPr>
            <w:tcW w:w="23" w:type="dxa"/>
            <w:tcBorders/>
            <w:shd w:fill="CCEEFF" w:val="clear"/>
            <w:vAlign w:val="center"/>
          </w:tcPr>
          <w:p>
            <w:pPr>
              <w:pStyle w:val="TableContents"/>
              <w:bidi w:val="0"/>
              <w:spacing w:before="0" w:after="283"/>
              <w:ind w:left="0" w:right="0" w:hanging="0"/>
              <w:jc w:val="left"/>
              <w:rPr/>
            </w:pPr>
            <w:r>
              <w:rPr/>
            </w:r>
          </w:p>
        </w:tc>
        <w:tc>
          <w:tcPr>
            <w:tcW w:w="173" w:type="dxa"/>
            <w:tcBorders/>
            <w:shd w:fill="CCEEFF" w:val="clear"/>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612" w:type="dxa"/>
            <w:tcBorders/>
            <w:shd w:fill="CCEEFF" w:val="clear"/>
            <w:vAlign w:val="center"/>
          </w:tcPr>
          <w:p>
            <w:pPr>
              <w:pStyle w:val="TableContents"/>
              <w:bidi w:val="0"/>
              <w:spacing w:before="0" w:after="0"/>
              <w:ind w:left="0" w:right="0" w:hanging="0"/>
              <w:jc w:val="right"/>
              <w:rPr/>
            </w:pPr>
            <w:r>
              <w:rPr/>
              <w:t>33.9</w:t>
            </w:r>
          </w:p>
        </w:tc>
        <w:tc>
          <w:tcPr>
            <w:tcW w:w="31" w:type="dxa"/>
            <w:tcBorders/>
            <w:shd w:fill="CCEEFF" w:val="clear"/>
            <w:vAlign w:val="center"/>
          </w:tcPr>
          <w:p>
            <w:pPr>
              <w:pStyle w:val="TableContents"/>
              <w:bidi w:val="0"/>
              <w:spacing w:before="0" w:after="283"/>
              <w:ind w:left="0" w:right="0" w:hanging="0"/>
              <w:jc w:val="left"/>
              <w:rPr/>
            </w:pPr>
            <w:r>
              <w:rPr/>
            </w:r>
          </w:p>
        </w:tc>
        <w:tc>
          <w:tcPr>
            <w:tcW w:w="31" w:type="dxa"/>
            <w:tcBorders/>
            <w:shd w:fill="CCEEFF" w:val="clear"/>
            <w:vAlign w:val="center"/>
          </w:tcPr>
          <w:p>
            <w:pPr>
              <w:pStyle w:val="TableContents"/>
              <w:bidi w:val="0"/>
              <w:spacing w:before="0" w:after="283"/>
              <w:ind w:left="0" w:right="0" w:hanging="0"/>
              <w:jc w:val="left"/>
              <w:rPr/>
            </w:pPr>
            <w:r>
              <w:rPr/>
            </w:r>
          </w:p>
        </w:tc>
        <w:tc>
          <w:tcPr>
            <w:tcW w:w="31" w:type="dxa"/>
            <w:tcBorders/>
            <w:shd w:fill="CCEEFF" w:val="clear"/>
            <w:vAlign w:val="center"/>
          </w:tcPr>
          <w:p>
            <w:pPr>
              <w:pStyle w:val="TableContents"/>
              <w:bidi w:val="0"/>
              <w:spacing w:before="0" w:after="283"/>
              <w:ind w:left="0" w:right="0" w:hanging="0"/>
              <w:jc w:val="left"/>
              <w:rPr/>
            </w:pPr>
            <w:r>
              <w:rPr/>
            </w:r>
          </w:p>
        </w:tc>
        <w:tc>
          <w:tcPr>
            <w:tcW w:w="612" w:type="dxa"/>
            <w:tcBorders/>
            <w:shd w:fill="CCEEFF" w:val="clear"/>
            <w:vAlign w:val="center"/>
          </w:tcPr>
          <w:p>
            <w:pPr>
              <w:pStyle w:val="TableContents"/>
              <w:bidi w:val="0"/>
              <w:spacing w:before="0" w:after="0"/>
              <w:ind w:left="0" w:right="0" w:hanging="0"/>
              <w:jc w:val="right"/>
              <w:rPr/>
            </w:pPr>
            <w:r>
              <w:rPr/>
              <w:t>36.8</w:t>
            </w:r>
          </w:p>
        </w:tc>
        <w:tc>
          <w:tcPr>
            <w:tcW w:w="31" w:type="dxa"/>
            <w:tcBorders/>
            <w:shd w:fill="CCEEFF" w:val="clear"/>
            <w:vAlign w:val="center"/>
          </w:tcPr>
          <w:p>
            <w:pPr>
              <w:pStyle w:val="TableContents"/>
              <w:bidi w:val="0"/>
              <w:spacing w:before="0" w:after="283"/>
              <w:ind w:left="0" w:right="0" w:hanging="0"/>
              <w:jc w:val="left"/>
              <w:rPr/>
            </w:pPr>
            <w:r>
              <w:rPr/>
            </w:r>
          </w:p>
        </w:tc>
        <w:tc>
          <w:tcPr>
            <w:tcW w:w="23" w:type="dxa"/>
            <w:tcBorders/>
            <w:shd w:fill="CCEEFF" w:val="clear"/>
            <w:vAlign w:val="center"/>
          </w:tcPr>
          <w:p>
            <w:pPr>
              <w:pStyle w:val="TableContents"/>
              <w:bidi w:val="0"/>
              <w:spacing w:before="0" w:after="283"/>
              <w:ind w:left="0" w:right="0" w:hanging="0"/>
              <w:jc w:val="left"/>
              <w:rPr/>
            </w:pPr>
            <w:r>
              <w:rPr/>
            </w:r>
          </w:p>
        </w:tc>
        <w:tc>
          <w:tcPr>
            <w:tcW w:w="295" w:type="dxa"/>
            <w:tcBorders/>
            <w:shd w:fill="CCEEFF" w:val="clear"/>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905" w:type="dxa"/>
            <w:tcBorders/>
            <w:shd w:fill="CCEEFF" w:val="clear"/>
            <w:vAlign w:val="center"/>
          </w:tcPr>
          <w:p>
            <w:pPr>
              <w:pStyle w:val="TableContents"/>
              <w:bidi w:val="0"/>
              <w:spacing w:before="0" w:after="0"/>
              <w:ind w:left="0" w:right="0" w:hanging="0"/>
              <w:jc w:val="right"/>
              <w:rPr/>
            </w:pPr>
            <w:r>
              <w:rPr/>
              <w:t>(2.9</w:t>
            </w:r>
          </w:p>
        </w:tc>
        <w:tc>
          <w:tcPr>
            <w:tcW w:w="111" w:type="dxa"/>
            <w:tcBorders/>
            <w:shd w:fill="CCEEFF" w:val="clear"/>
            <w:vAlign w:val="center"/>
          </w:tcPr>
          <w:p>
            <w:pPr>
              <w:pStyle w:val="TableContents"/>
              <w:bidi w:val="0"/>
              <w:spacing w:before="0" w:after="0"/>
              <w:ind w:left="0" w:right="0" w:hanging="0"/>
              <w:jc w:val="left"/>
              <w:rPr/>
            </w:pPr>
            <w:r>
              <w:rPr/>
              <w:t>)</w:t>
            </w:r>
          </w:p>
        </w:tc>
        <w:tc>
          <w:tcPr>
            <w:tcW w:w="26" w:type="dxa"/>
            <w:tcBorders/>
            <w:shd w:fill="CCEEFF" w:val="clear"/>
            <w:vAlign w:val="center"/>
          </w:tcPr>
          <w:p>
            <w:pPr>
              <w:pStyle w:val="TableContents"/>
              <w:bidi w:val="0"/>
              <w:spacing w:before="0" w:after="283"/>
              <w:ind w:left="0" w:right="0" w:hanging="0"/>
              <w:jc w:val="left"/>
              <w:rPr/>
            </w:pPr>
            <w:r>
              <w:rPr/>
            </w:r>
          </w:p>
        </w:tc>
        <w:tc>
          <w:tcPr>
            <w:tcW w:w="692" w:type="dxa"/>
            <w:tcBorders/>
            <w:shd w:fill="CCEEFF" w:val="clear"/>
            <w:vAlign w:val="center"/>
          </w:tcPr>
          <w:p>
            <w:pPr>
              <w:pStyle w:val="TableContents"/>
              <w:bidi w:val="0"/>
              <w:spacing w:before="0" w:after="0"/>
              <w:ind w:left="0" w:right="0" w:hanging="0"/>
              <w:jc w:val="right"/>
              <w:rPr/>
            </w:pPr>
            <w:r>
              <w:rPr/>
              <w:t>(8)</w:t>
            </w:r>
          </w:p>
        </w:tc>
        <w:tc>
          <w:tcPr>
            <w:tcW w:w="479" w:type="dxa"/>
            <w:tcBorders/>
            <w:shd w:fill="CCEEFF" w:val="clear"/>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51" w:type="dxa"/>
            <w:tcBorders/>
            <w:shd w:fill="CCEEFF" w:val="clear"/>
            <w:vAlign w:val="center"/>
          </w:tcPr>
          <w:p>
            <w:pPr>
              <w:pStyle w:val="TableContents"/>
              <w:bidi w:val="0"/>
              <w:spacing w:before="0" w:after="283"/>
              <w:jc w:val="left"/>
              <w:rPr/>
            </w:pPr>
            <w:r>
              <w:rPr/>
            </w:r>
          </w:p>
        </w:tc>
      </w:tr>
      <w:tr>
        <w:trPr/>
        <w:tc>
          <w:tcPr>
            <w:tcW w:w="1918" w:type="dxa"/>
            <w:tcBorders/>
            <w:vAlign w:val="center"/>
          </w:tcPr>
          <w:p>
            <w:pPr>
              <w:pStyle w:val="TableContents"/>
              <w:bidi w:val="0"/>
              <w:spacing w:before="0" w:after="0"/>
              <w:ind w:left="0" w:right="0" w:hanging="180"/>
              <w:jc w:val="left"/>
              <w:rPr>
                <w:rFonts w:ascii="times new roman;times" w:hAnsi="times new roman;times"/>
                <w:sz w:val="20"/>
              </w:rPr>
            </w:pPr>
            <w:r>
              <w:rPr>
                <w:rFonts w:ascii="times new roman;times" w:hAnsi="times new roman;times"/>
                <w:sz w:val="20"/>
              </w:rPr>
              <w:t>Selling, general and administrative</w:t>
            </w:r>
          </w:p>
        </w:tc>
        <w:tc>
          <w:tcPr>
            <w:tcW w:w="60"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3.2</w:t>
            </w:r>
          </w:p>
        </w:tc>
        <w:tc>
          <w:tcPr>
            <w:tcW w:w="33" w:type="dxa"/>
            <w:tcBorders/>
            <w:vAlign w:val="center"/>
          </w:tcPr>
          <w:p>
            <w:pPr>
              <w:pStyle w:val="TableContents"/>
              <w:bidi w:val="0"/>
              <w:spacing w:before="0" w:after="0"/>
              <w:jc w:val="right"/>
              <w:rPr>
                <w:sz w:val="20"/>
              </w:rPr>
            </w:pPr>
            <w:r>
              <w:rPr>
                <w:sz w:val="20"/>
              </w:rPr>
            </w:r>
          </w:p>
        </w:tc>
        <w:tc>
          <w:tcPr>
            <w:tcW w:w="88"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2.3</w:t>
            </w:r>
          </w:p>
        </w:tc>
        <w:tc>
          <w:tcPr>
            <w:tcW w:w="23" w:type="dxa"/>
            <w:tcBorders/>
            <w:vAlign w:val="center"/>
          </w:tcPr>
          <w:p>
            <w:pPr>
              <w:pStyle w:val="TableContents"/>
              <w:bidi w:val="0"/>
              <w:spacing w:before="0" w:after="0"/>
              <w:jc w:val="right"/>
              <w:rPr>
                <w:sz w:val="20"/>
              </w:rPr>
            </w:pPr>
            <w:r>
              <w:rPr>
                <w:sz w:val="20"/>
              </w:rPr>
            </w:r>
          </w:p>
        </w:tc>
        <w:tc>
          <w:tcPr>
            <w:tcW w:w="60" w:type="dxa"/>
            <w:tcBorders/>
            <w:vAlign w:val="center"/>
          </w:tcPr>
          <w:p>
            <w:pPr>
              <w:pStyle w:val="TableContents"/>
              <w:bidi w:val="0"/>
              <w:spacing w:before="0" w:after="0"/>
              <w:jc w:val="left"/>
              <w:rPr/>
            </w:pPr>
            <w:r>
              <w:rPr/>
              <w:t> </w:t>
            </w:r>
          </w:p>
        </w:tc>
        <w:tc>
          <w:tcPr>
            <w:tcW w:w="31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0.9</w:t>
            </w:r>
          </w:p>
        </w:tc>
        <w:tc>
          <w:tcPr>
            <w:tcW w:w="154"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39</w:t>
            </w:r>
          </w:p>
        </w:tc>
        <w:tc>
          <w:tcPr>
            <w:tcW w:w="263"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23" w:type="dxa"/>
            <w:tcBorders/>
            <w:vAlign w:val="center"/>
          </w:tcPr>
          <w:p>
            <w:pPr>
              <w:pStyle w:val="TableContents"/>
              <w:bidi w:val="0"/>
              <w:spacing w:before="0" w:after="283"/>
              <w:ind w:left="0" w:right="0" w:hanging="0"/>
              <w:jc w:val="left"/>
              <w:rPr/>
            </w:pPr>
            <w:r>
              <w:rPr/>
            </w:r>
          </w:p>
        </w:tc>
        <w:tc>
          <w:tcPr>
            <w:tcW w:w="23" w:type="dxa"/>
            <w:tcBorders/>
            <w:vAlign w:val="center"/>
          </w:tcPr>
          <w:p>
            <w:pPr>
              <w:pStyle w:val="TableContents"/>
              <w:bidi w:val="0"/>
              <w:spacing w:before="0" w:after="283"/>
              <w:ind w:left="0" w:right="0" w:hanging="0"/>
              <w:jc w:val="left"/>
              <w:rPr/>
            </w:pPr>
            <w:r>
              <w:rPr/>
            </w:r>
          </w:p>
        </w:tc>
        <w:tc>
          <w:tcPr>
            <w:tcW w:w="173" w:type="dxa"/>
            <w:tcBorders/>
            <w:vAlign w:val="center"/>
          </w:tcPr>
          <w:p>
            <w:pPr>
              <w:pStyle w:val="TableContents"/>
              <w:bidi w:val="0"/>
              <w:spacing w:before="0" w:after="283"/>
              <w:ind w:left="0" w:right="0" w:hanging="0"/>
              <w:jc w:val="left"/>
              <w:rPr/>
            </w:pPr>
            <w:r>
              <w:rPr/>
            </w:r>
          </w:p>
        </w:tc>
        <w:tc>
          <w:tcPr>
            <w:tcW w:w="612" w:type="dxa"/>
            <w:tcBorders/>
            <w:vAlign w:val="center"/>
          </w:tcPr>
          <w:p>
            <w:pPr>
              <w:pStyle w:val="TableContents"/>
              <w:bidi w:val="0"/>
              <w:spacing w:before="0" w:after="0"/>
              <w:ind w:left="0" w:right="0" w:hanging="0"/>
              <w:jc w:val="right"/>
              <w:rPr/>
            </w:pPr>
            <w:r>
              <w:rPr/>
              <w:t>6.3</w:t>
            </w:r>
          </w:p>
        </w:tc>
        <w:tc>
          <w:tcPr>
            <w:tcW w:w="31" w:type="dxa"/>
            <w:tcBorders/>
            <w:vAlign w:val="center"/>
          </w:tcPr>
          <w:p>
            <w:pPr>
              <w:pStyle w:val="TableContents"/>
              <w:bidi w:val="0"/>
              <w:spacing w:before="0" w:after="283"/>
              <w:ind w:left="0" w:right="0" w:hanging="0"/>
              <w:jc w:val="left"/>
              <w:rPr/>
            </w:pPr>
            <w:r>
              <w:rPr/>
            </w:r>
          </w:p>
        </w:tc>
        <w:tc>
          <w:tcPr>
            <w:tcW w:w="31" w:type="dxa"/>
            <w:tcBorders/>
            <w:vAlign w:val="center"/>
          </w:tcPr>
          <w:p>
            <w:pPr>
              <w:pStyle w:val="TableContents"/>
              <w:bidi w:val="0"/>
              <w:spacing w:before="0" w:after="283"/>
              <w:ind w:left="0" w:right="0" w:hanging="0"/>
              <w:jc w:val="left"/>
              <w:rPr/>
            </w:pPr>
            <w:r>
              <w:rPr/>
            </w:r>
          </w:p>
        </w:tc>
        <w:tc>
          <w:tcPr>
            <w:tcW w:w="31" w:type="dxa"/>
            <w:tcBorders/>
            <w:vAlign w:val="center"/>
          </w:tcPr>
          <w:p>
            <w:pPr>
              <w:pStyle w:val="TableContents"/>
              <w:bidi w:val="0"/>
              <w:spacing w:before="0" w:after="283"/>
              <w:ind w:left="0" w:right="0" w:hanging="0"/>
              <w:jc w:val="left"/>
              <w:rPr/>
            </w:pPr>
            <w:r>
              <w:rPr/>
            </w:r>
          </w:p>
        </w:tc>
        <w:tc>
          <w:tcPr>
            <w:tcW w:w="612" w:type="dxa"/>
            <w:tcBorders/>
            <w:vAlign w:val="center"/>
          </w:tcPr>
          <w:p>
            <w:pPr>
              <w:pStyle w:val="TableContents"/>
              <w:bidi w:val="0"/>
              <w:spacing w:before="0" w:after="0"/>
              <w:ind w:left="0" w:right="0" w:hanging="0"/>
              <w:jc w:val="right"/>
              <w:rPr/>
            </w:pPr>
            <w:r>
              <w:rPr/>
              <w:t>4.9</w:t>
            </w:r>
          </w:p>
        </w:tc>
        <w:tc>
          <w:tcPr>
            <w:tcW w:w="31" w:type="dxa"/>
            <w:tcBorders/>
            <w:vAlign w:val="center"/>
          </w:tcPr>
          <w:p>
            <w:pPr>
              <w:pStyle w:val="TableContents"/>
              <w:bidi w:val="0"/>
              <w:spacing w:before="0" w:after="283"/>
              <w:ind w:left="0" w:right="0" w:hanging="0"/>
              <w:jc w:val="left"/>
              <w:rPr/>
            </w:pPr>
            <w:r>
              <w:rPr/>
            </w:r>
          </w:p>
        </w:tc>
        <w:tc>
          <w:tcPr>
            <w:tcW w:w="23" w:type="dxa"/>
            <w:tcBorders/>
            <w:vAlign w:val="center"/>
          </w:tcPr>
          <w:p>
            <w:pPr>
              <w:pStyle w:val="TableContents"/>
              <w:bidi w:val="0"/>
              <w:spacing w:before="0" w:after="283"/>
              <w:ind w:left="0" w:right="0" w:hanging="0"/>
              <w:jc w:val="left"/>
              <w:rPr/>
            </w:pPr>
            <w:r>
              <w:rPr/>
            </w:r>
          </w:p>
        </w:tc>
        <w:tc>
          <w:tcPr>
            <w:tcW w:w="295" w:type="dxa"/>
            <w:tcBorders/>
            <w:vAlign w:val="center"/>
          </w:tcPr>
          <w:p>
            <w:pPr>
              <w:pStyle w:val="TableContents"/>
              <w:bidi w:val="0"/>
              <w:spacing w:before="0" w:after="283"/>
              <w:ind w:left="0" w:right="0" w:hanging="0"/>
              <w:jc w:val="left"/>
              <w:rPr/>
            </w:pPr>
            <w:r>
              <w:rPr/>
            </w:r>
          </w:p>
        </w:tc>
        <w:tc>
          <w:tcPr>
            <w:tcW w:w="905" w:type="dxa"/>
            <w:tcBorders/>
            <w:vAlign w:val="center"/>
          </w:tcPr>
          <w:p>
            <w:pPr>
              <w:pStyle w:val="TableContents"/>
              <w:bidi w:val="0"/>
              <w:spacing w:before="0" w:after="0"/>
              <w:ind w:left="0" w:right="0" w:hanging="0"/>
              <w:jc w:val="right"/>
              <w:rPr/>
            </w:pPr>
            <w:r>
              <w:rPr/>
              <w:t>1.4</w:t>
            </w:r>
          </w:p>
        </w:tc>
        <w:tc>
          <w:tcPr>
            <w:tcW w:w="111" w:type="dxa"/>
            <w:tcBorders/>
            <w:vAlign w:val="center"/>
          </w:tcPr>
          <w:p>
            <w:pPr>
              <w:pStyle w:val="TableContents"/>
              <w:bidi w:val="0"/>
              <w:spacing w:before="0" w:after="283"/>
              <w:ind w:left="0" w:right="0" w:hanging="0"/>
              <w:jc w:val="left"/>
              <w:rPr>
                <w:sz w:val="4"/>
                <w:szCs w:val="4"/>
              </w:rPr>
            </w:pPr>
            <w:r>
              <w:rPr>
                <w:sz w:val="4"/>
                <w:szCs w:val="4"/>
              </w:rPr>
            </w:r>
          </w:p>
        </w:tc>
        <w:tc>
          <w:tcPr>
            <w:tcW w:w="26" w:type="dxa"/>
            <w:tcBorders/>
            <w:vAlign w:val="center"/>
          </w:tcPr>
          <w:p>
            <w:pPr>
              <w:pStyle w:val="TableContents"/>
              <w:bidi w:val="0"/>
              <w:spacing w:before="0" w:after="283"/>
              <w:ind w:left="0" w:right="0" w:hanging="0"/>
              <w:jc w:val="left"/>
              <w:rPr/>
            </w:pPr>
            <w:r>
              <w:rPr/>
            </w:r>
          </w:p>
        </w:tc>
        <w:tc>
          <w:tcPr>
            <w:tcW w:w="692" w:type="dxa"/>
            <w:tcBorders/>
            <w:vAlign w:val="center"/>
          </w:tcPr>
          <w:p>
            <w:pPr>
              <w:pStyle w:val="TableContents"/>
              <w:bidi w:val="0"/>
              <w:spacing w:before="0" w:after="0"/>
              <w:ind w:left="0" w:right="0" w:hanging="0"/>
              <w:jc w:val="right"/>
              <w:rPr/>
            </w:pPr>
            <w:r>
              <w:rPr/>
              <w:t>29</w:t>
            </w:r>
          </w:p>
        </w:tc>
        <w:tc>
          <w:tcPr>
            <w:tcW w:w="479" w:type="dxa"/>
            <w:tcBorders/>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51" w:type="dxa"/>
            <w:tcBorders/>
            <w:vAlign w:val="center"/>
          </w:tcPr>
          <w:p>
            <w:pPr>
              <w:pStyle w:val="TableContents"/>
              <w:bidi w:val="0"/>
              <w:spacing w:before="0" w:after="283"/>
              <w:jc w:val="left"/>
              <w:rPr/>
            </w:pPr>
            <w:r>
              <w:rPr/>
            </w:r>
          </w:p>
        </w:tc>
      </w:tr>
      <w:tr>
        <w:trPr/>
        <w:tc>
          <w:tcPr>
            <w:tcW w:w="1918" w:type="dxa"/>
            <w:tcBorders/>
            <w:shd w:fill="CCEEFF" w:val="clear"/>
            <w:vAlign w:val="center"/>
          </w:tcPr>
          <w:p>
            <w:pPr>
              <w:pStyle w:val="TableContents"/>
              <w:bidi w:val="0"/>
              <w:spacing w:before="0" w:after="0"/>
              <w:ind w:left="0" w:right="0" w:hanging="180"/>
              <w:jc w:val="left"/>
              <w:rPr>
                <w:rFonts w:ascii="times new roman;times" w:hAnsi="times new roman;times"/>
                <w:sz w:val="20"/>
              </w:rPr>
            </w:pPr>
            <w:r>
              <w:rPr>
                <w:rFonts w:ascii="times new roman;times" w:hAnsi="times new roman;times"/>
                <w:sz w:val="20"/>
              </w:rPr>
              <w:t>Depreciation and amortization</w:t>
            </w:r>
          </w:p>
        </w:tc>
        <w:tc>
          <w:tcPr>
            <w:tcW w:w="60" w:type="dxa"/>
            <w:tcBorders/>
            <w:shd w:fill="CCEEFF" w:val="clear"/>
            <w:vAlign w:val="center"/>
          </w:tcPr>
          <w:p>
            <w:pPr>
              <w:pStyle w:val="TableContents"/>
              <w:bidi w:val="0"/>
              <w:spacing w:before="0" w:after="0"/>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562" w:type="dxa"/>
            <w:tcBorders/>
            <w:shd w:fill="CCEEFF" w:val="clear"/>
            <w:vAlign w:val="center"/>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0.1</w:t>
            </w:r>
          </w:p>
        </w:tc>
        <w:tc>
          <w:tcPr>
            <w:tcW w:w="33" w:type="dxa"/>
            <w:tcBorders/>
            <w:shd w:fill="CCEEFF" w:val="clear"/>
            <w:vAlign w:val="center"/>
          </w:tcPr>
          <w:p>
            <w:pPr>
              <w:pStyle w:val="TableContents"/>
              <w:bidi w:val="0"/>
              <w:spacing w:before="0" w:after="0"/>
              <w:jc w:val="right"/>
              <w:rPr>
                <w:sz w:val="20"/>
              </w:rPr>
            </w:pPr>
            <w:r>
              <w:rPr>
                <w:sz w:val="20"/>
              </w:rPr>
            </w:r>
          </w:p>
        </w:tc>
        <w:tc>
          <w:tcPr>
            <w:tcW w:w="88" w:type="dxa"/>
            <w:tcBorders/>
            <w:shd w:fill="CCEEFF" w:val="clear"/>
            <w:vAlign w:val="center"/>
          </w:tcPr>
          <w:p>
            <w:pPr>
              <w:pStyle w:val="TableContents"/>
              <w:bidi w:val="0"/>
              <w:spacing w:before="0" w:after="0"/>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562" w:type="dxa"/>
            <w:tcBorders/>
            <w:shd w:fill="CCEEFF" w:val="clear"/>
            <w:vAlign w:val="center"/>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0.1</w:t>
            </w:r>
          </w:p>
        </w:tc>
        <w:tc>
          <w:tcPr>
            <w:tcW w:w="23" w:type="dxa"/>
            <w:tcBorders/>
            <w:shd w:fill="CCEEFF" w:val="clear"/>
            <w:vAlign w:val="center"/>
          </w:tcPr>
          <w:p>
            <w:pPr>
              <w:pStyle w:val="TableContents"/>
              <w:bidi w:val="0"/>
              <w:spacing w:before="0" w:after="0"/>
              <w:jc w:val="right"/>
              <w:rPr>
                <w:sz w:val="20"/>
              </w:rPr>
            </w:pPr>
            <w:r>
              <w:rPr>
                <w:sz w:val="20"/>
              </w:rPr>
            </w:r>
          </w:p>
        </w:tc>
        <w:tc>
          <w:tcPr>
            <w:tcW w:w="60" w:type="dxa"/>
            <w:tcBorders/>
            <w:shd w:fill="CCEEFF" w:val="clear"/>
            <w:vAlign w:val="center"/>
          </w:tcPr>
          <w:p>
            <w:pPr>
              <w:pStyle w:val="TableContents"/>
              <w:bidi w:val="0"/>
              <w:spacing w:before="0" w:after="0"/>
              <w:jc w:val="left"/>
              <w:rPr/>
            </w:pPr>
            <w:r>
              <w:rPr/>
              <w:t> </w:t>
            </w:r>
          </w:p>
        </w:tc>
        <w:tc>
          <w:tcPr>
            <w:tcW w:w="314"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widowControl/>
              <w:bidi w:val="0"/>
              <w:spacing w:before="0" w:after="0"/>
              <w:ind w:left="0" w:right="0" w:hanging="0"/>
              <w:jc w:val="right"/>
              <w:rPr>
                <w:caps w:val="false"/>
                <w:smallCaps w:val="false"/>
                <w:color w:val="000000"/>
                <w:spacing w:val="0"/>
              </w:rPr>
            </w:pPr>
            <w:r>
              <w:rPr>
                <w:caps w:val="false"/>
                <w:smallCaps w:val="false"/>
                <w:color w:val="000000"/>
                <w:spacing w:val="0"/>
              </w:rPr>
              <w:t>—</w:t>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96" w:type="dxa"/>
            <w:tcBorders/>
            <w:shd w:fill="CCEEFF" w:val="clear"/>
            <w:vAlign w:val="center"/>
          </w:tcPr>
          <w:p>
            <w:pPr>
              <w:pStyle w:val="TableContents"/>
              <w:bidi w:val="0"/>
              <w:spacing w:before="0" w:after="0"/>
              <w:jc w:val="left"/>
              <w:rPr/>
            </w:pPr>
            <w:r>
              <w:rPr/>
              <w:t> </w:t>
            </w:r>
          </w:p>
        </w:tc>
        <w:tc>
          <w:tcPr>
            <w:tcW w:w="802" w:type="dxa"/>
            <w:tcBorders/>
            <w:shd w:fill="CCEEFF" w:val="clear"/>
            <w:vAlign w:val="center"/>
          </w:tcPr>
          <w:p>
            <w:pPr>
              <w:pStyle w:val="TableContents"/>
              <w:bidi w:val="0"/>
              <w:spacing w:before="0" w:after="0"/>
              <w:jc w:val="right"/>
              <w:rPr/>
            </w:pPr>
            <w:r>
              <w:rPr/>
              <w:t>—</w:t>
            </w:r>
          </w:p>
        </w:tc>
        <w:tc>
          <w:tcPr>
            <w:tcW w:w="263"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23" w:type="dxa"/>
            <w:tcBorders/>
            <w:shd w:fill="CCEEFF" w:val="clear"/>
            <w:vAlign w:val="center"/>
          </w:tcPr>
          <w:p>
            <w:pPr>
              <w:pStyle w:val="TableContents"/>
              <w:bidi w:val="0"/>
              <w:spacing w:before="0" w:after="283"/>
              <w:ind w:left="0" w:right="0" w:hanging="0"/>
              <w:jc w:val="left"/>
              <w:rPr/>
            </w:pPr>
            <w:r>
              <w:rPr/>
            </w:r>
          </w:p>
        </w:tc>
        <w:tc>
          <w:tcPr>
            <w:tcW w:w="23" w:type="dxa"/>
            <w:tcBorders/>
            <w:shd w:fill="CCEEFF" w:val="clear"/>
            <w:vAlign w:val="center"/>
          </w:tcPr>
          <w:p>
            <w:pPr>
              <w:pStyle w:val="TableContents"/>
              <w:bidi w:val="0"/>
              <w:spacing w:before="0" w:after="283"/>
              <w:ind w:left="0" w:right="0" w:hanging="0"/>
              <w:jc w:val="left"/>
              <w:rPr/>
            </w:pPr>
            <w:r>
              <w:rPr/>
            </w:r>
          </w:p>
        </w:tc>
        <w:tc>
          <w:tcPr>
            <w:tcW w:w="173" w:type="dxa"/>
            <w:tcBorders/>
            <w:shd w:fill="CCEEFF" w:val="clear"/>
            <w:vAlign w:val="center"/>
          </w:tcPr>
          <w:p>
            <w:pPr>
              <w:pStyle w:val="TableContents"/>
              <w:bidi w:val="0"/>
              <w:spacing w:before="0" w:after="283"/>
              <w:ind w:left="0" w:right="0" w:hanging="0"/>
              <w:jc w:val="left"/>
              <w:rPr/>
            </w:pPr>
            <w:r>
              <w:rPr/>
            </w:r>
          </w:p>
        </w:tc>
        <w:tc>
          <w:tcPr>
            <w:tcW w:w="612" w:type="dxa"/>
            <w:tcBorders/>
            <w:shd w:fill="CCEEFF" w:val="clear"/>
            <w:vAlign w:val="center"/>
          </w:tcPr>
          <w:p>
            <w:pPr>
              <w:pStyle w:val="TableContents"/>
              <w:bidi w:val="0"/>
              <w:spacing w:before="0" w:after="0"/>
              <w:ind w:left="0" w:right="0" w:hanging="0"/>
              <w:jc w:val="right"/>
              <w:rPr/>
            </w:pPr>
            <w:r>
              <w:rPr/>
              <w:t>0.2</w:t>
            </w:r>
          </w:p>
        </w:tc>
        <w:tc>
          <w:tcPr>
            <w:tcW w:w="31" w:type="dxa"/>
            <w:tcBorders/>
            <w:shd w:fill="CCEEFF" w:val="clear"/>
            <w:vAlign w:val="center"/>
          </w:tcPr>
          <w:p>
            <w:pPr>
              <w:pStyle w:val="TableContents"/>
              <w:bidi w:val="0"/>
              <w:spacing w:before="0" w:after="283"/>
              <w:ind w:left="0" w:right="0" w:hanging="0"/>
              <w:jc w:val="left"/>
              <w:rPr/>
            </w:pPr>
            <w:r>
              <w:rPr/>
            </w:r>
          </w:p>
        </w:tc>
        <w:tc>
          <w:tcPr>
            <w:tcW w:w="31" w:type="dxa"/>
            <w:tcBorders/>
            <w:shd w:fill="CCEEFF" w:val="clear"/>
            <w:vAlign w:val="center"/>
          </w:tcPr>
          <w:p>
            <w:pPr>
              <w:pStyle w:val="TableContents"/>
              <w:bidi w:val="0"/>
              <w:spacing w:before="0" w:after="283"/>
              <w:ind w:left="0" w:right="0" w:hanging="0"/>
              <w:jc w:val="left"/>
              <w:rPr/>
            </w:pPr>
            <w:r>
              <w:rPr/>
            </w:r>
          </w:p>
        </w:tc>
        <w:tc>
          <w:tcPr>
            <w:tcW w:w="31" w:type="dxa"/>
            <w:tcBorders/>
            <w:shd w:fill="CCEEFF" w:val="clear"/>
            <w:vAlign w:val="center"/>
          </w:tcPr>
          <w:p>
            <w:pPr>
              <w:pStyle w:val="TableContents"/>
              <w:bidi w:val="0"/>
              <w:spacing w:before="0" w:after="283"/>
              <w:ind w:left="0" w:right="0" w:hanging="0"/>
              <w:jc w:val="left"/>
              <w:rPr/>
            </w:pPr>
            <w:r>
              <w:rPr/>
            </w:r>
          </w:p>
        </w:tc>
        <w:tc>
          <w:tcPr>
            <w:tcW w:w="612" w:type="dxa"/>
            <w:tcBorders/>
            <w:shd w:fill="CCEEFF" w:val="clear"/>
            <w:vAlign w:val="center"/>
          </w:tcPr>
          <w:p>
            <w:pPr>
              <w:pStyle w:val="TableContents"/>
              <w:bidi w:val="0"/>
              <w:spacing w:before="0" w:after="0"/>
              <w:ind w:left="0" w:right="0" w:hanging="0"/>
              <w:jc w:val="right"/>
              <w:rPr/>
            </w:pPr>
            <w:r>
              <w:rPr/>
              <w:t>0.2</w:t>
            </w:r>
          </w:p>
        </w:tc>
        <w:tc>
          <w:tcPr>
            <w:tcW w:w="31" w:type="dxa"/>
            <w:tcBorders/>
            <w:shd w:fill="CCEEFF" w:val="clear"/>
            <w:vAlign w:val="center"/>
          </w:tcPr>
          <w:p>
            <w:pPr>
              <w:pStyle w:val="TableContents"/>
              <w:bidi w:val="0"/>
              <w:spacing w:before="0" w:after="283"/>
              <w:ind w:left="0" w:right="0" w:hanging="0"/>
              <w:jc w:val="left"/>
              <w:rPr/>
            </w:pPr>
            <w:r>
              <w:rPr/>
            </w:r>
          </w:p>
        </w:tc>
        <w:tc>
          <w:tcPr>
            <w:tcW w:w="23" w:type="dxa"/>
            <w:tcBorders/>
            <w:shd w:fill="CCEEFF" w:val="clear"/>
            <w:vAlign w:val="center"/>
          </w:tcPr>
          <w:p>
            <w:pPr>
              <w:pStyle w:val="TableContents"/>
              <w:bidi w:val="0"/>
              <w:spacing w:before="0" w:after="283"/>
              <w:ind w:left="0" w:right="0" w:hanging="0"/>
              <w:jc w:val="left"/>
              <w:rPr/>
            </w:pPr>
            <w:r>
              <w:rPr/>
            </w:r>
          </w:p>
        </w:tc>
        <w:tc>
          <w:tcPr>
            <w:tcW w:w="295" w:type="dxa"/>
            <w:tcBorders/>
            <w:shd w:fill="CCEEFF" w:val="clear"/>
            <w:vAlign w:val="center"/>
          </w:tcPr>
          <w:p>
            <w:pPr>
              <w:pStyle w:val="TableContents"/>
              <w:bidi w:val="0"/>
              <w:spacing w:before="0" w:after="283"/>
              <w:ind w:left="0" w:right="0" w:hanging="0"/>
              <w:jc w:val="left"/>
              <w:rPr/>
            </w:pPr>
            <w:r>
              <w:rPr/>
            </w:r>
          </w:p>
        </w:tc>
        <w:tc>
          <w:tcPr>
            <w:tcW w:w="905" w:type="dxa"/>
            <w:tcBorders/>
            <w:shd w:fill="CCEEFF" w:val="clear"/>
            <w:vAlign w:val="center"/>
          </w:tcPr>
          <w:p>
            <w:pPr>
              <w:pStyle w:val="TableContents"/>
              <w:bidi w:val="0"/>
              <w:spacing w:before="0" w:after="0"/>
              <w:ind w:left="0" w:right="0" w:hanging="0"/>
              <w:jc w:val="right"/>
              <w:rPr/>
            </w:pPr>
            <w:r>
              <w:rPr/>
              <w:t>—</w:t>
            </w:r>
          </w:p>
        </w:tc>
        <w:tc>
          <w:tcPr>
            <w:tcW w:w="111"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26" w:type="dxa"/>
            <w:tcBorders/>
            <w:shd w:fill="CCEEFF" w:val="clear"/>
            <w:vAlign w:val="center"/>
          </w:tcPr>
          <w:p>
            <w:pPr>
              <w:pStyle w:val="TableContents"/>
              <w:bidi w:val="0"/>
              <w:spacing w:before="0" w:after="283"/>
              <w:ind w:left="0" w:right="0" w:hanging="0"/>
              <w:jc w:val="left"/>
              <w:rPr/>
            </w:pPr>
            <w:r>
              <w:rPr/>
            </w:r>
          </w:p>
        </w:tc>
        <w:tc>
          <w:tcPr>
            <w:tcW w:w="692" w:type="dxa"/>
            <w:tcBorders/>
            <w:shd w:fill="CCEEFF" w:val="clear"/>
            <w:vAlign w:val="center"/>
          </w:tcPr>
          <w:p>
            <w:pPr>
              <w:pStyle w:val="TableContents"/>
              <w:bidi w:val="0"/>
              <w:spacing w:before="0" w:after="0"/>
              <w:ind w:left="0" w:right="0" w:hanging="0"/>
              <w:jc w:val="right"/>
              <w:rPr/>
            </w:pPr>
            <w:r>
              <w:rPr/>
              <w:t>—</w:t>
            </w:r>
          </w:p>
        </w:tc>
        <w:tc>
          <w:tcPr>
            <w:tcW w:w="479" w:type="dxa"/>
            <w:tcBorders/>
            <w:shd w:fill="CCEEFF" w:val="clear"/>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51" w:type="dxa"/>
            <w:tcBorders/>
            <w:shd w:fill="CCEEFF" w:val="clear"/>
            <w:vAlign w:val="center"/>
          </w:tcPr>
          <w:p>
            <w:pPr>
              <w:pStyle w:val="TableContents"/>
              <w:bidi w:val="0"/>
              <w:spacing w:before="0" w:after="283"/>
              <w:jc w:val="left"/>
              <w:rPr/>
            </w:pPr>
            <w:r>
              <w:rPr/>
            </w:r>
          </w:p>
        </w:tc>
      </w:tr>
      <w:tr>
        <w:trPr/>
        <w:tc>
          <w:tcPr>
            <w:tcW w:w="1918"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Total operating expenses</w:t>
            </w:r>
          </w:p>
        </w:tc>
        <w:tc>
          <w:tcPr>
            <w:tcW w:w="60" w:type="dxa"/>
            <w:tcBorders/>
            <w:vAlign w:val="center"/>
          </w:tcPr>
          <w:p>
            <w:pPr>
              <w:pStyle w:val="TableContents"/>
              <w:bidi w:val="0"/>
              <w:spacing w:before="0" w:after="0"/>
              <w:jc w:val="left"/>
              <w:rPr/>
            </w:pPr>
            <w:r>
              <w:rPr/>
              <w:t> </w:t>
            </w:r>
          </w:p>
        </w:tc>
        <w:tc>
          <w:tcPr>
            <w:tcW w:w="185" w:type="dxa"/>
            <w:tcBorders/>
            <w:vAlign w:val="center"/>
          </w:tcPr>
          <w:p>
            <w:pPr>
              <w:pStyle w:val="TableContents"/>
              <w:widowControl/>
              <w:bidi w:val="0"/>
              <w:spacing w:before="0" w:after="0"/>
              <w:ind w:left="0" w:right="0" w:hanging="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w:t>
            </w:r>
          </w:p>
        </w:tc>
        <w:tc>
          <w:tcPr>
            <w:tcW w:w="562" w:type="dxa"/>
            <w:tcBorders/>
            <w:vAlign w:val="center"/>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19.1</w:t>
            </w:r>
          </w:p>
        </w:tc>
        <w:tc>
          <w:tcPr>
            <w:tcW w:w="33" w:type="dxa"/>
            <w:tcBorders/>
            <w:vAlign w:val="center"/>
          </w:tcPr>
          <w:p>
            <w:pPr>
              <w:pStyle w:val="TableContents"/>
              <w:bidi w:val="0"/>
              <w:spacing w:before="0" w:after="0"/>
              <w:jc w:val="right"/>
              <w:rPr>
                <w:sz w:val="20"/>
              </w:rPr>
            </w:pPr>
            <w:r>
              <w:rPr>
                <w:sz w:val="20"/>
              </w:rPr>
            </w:r>
          </w:p>
        </w:tc>
        <w:tc>
          <w:tcPr>
            <w:tcW w:w="88" w:type="dxa"/>
            <w:tcBorders/>
            <w:vAlign w:val="center"/>
          </w:tcPr>
          <w:p>
            <w:pPr>
              <w:pStyle w:val="TableContents"/>
              <w:bidi w:val="0"/>
              <w:spacing w:before="0" w:after="0"/>
              <w:jc w:val="left"/>
              <w:rPr/>
            </w:pPr>
            <w:r>
              <w:rPr/>
              <w:t> </w:t>
            </w:r>
          </w:p>
        </w:tc>
        <w:tc>
          <w:tcPr>
            <w:tcW w:w="185" w:type="dxa"/>
            <w:tcBorders/>
            <w:vAlign w:val="center"/>
          </w:tcPr>
          <w:p>
            <w:pPr>
              <w:pStyle w:val="TableContents"/>
              <w:widowControl/>
              <w:bidi w:val="0"/>
              <w:spacing w:before="0" w:after="0"/>
              <w:ind w:left="0" w:right="0" w:hanging="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w:t>
            </w:r>
          </w:p>
        </w:tc>
        <w:tc>
          <w:tcPr>
            <w:tcW w:w="562" w:type="dxa"/>
            <w:tcBorders/>
            <w:vAlign w:val="center"/>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20.5</w:t>
            </w:r>
          </w:p>
        </w:tc>
        <w:tc>
          <w:tcPr>
            <w:tcW w:w="23" w:type="dxa"/>
            <w:tcBorders/>
            <w:vAlign w:val="center"/>
          </w:tcPr>
          <w:p>
            <w:pPr>
              <w:pStyle w:val="TableContents"/>
              <w:bidi w:val="0"/>
              <w:spacing w:before="0" w:after="0"/>
              <w:jc w:val="right"/>
              <w:rPr>
                <w:sz w:val="20"/>
              </w:rPr>
            </w:pPr>
            <w:r>
              <w:rPr>
                <w:sz w:val="20"/>
              </w:rPr>
            </w:r>
          </w:p>
        </w:tc>
        <w:tc>
          <w:tcPr>
            <w:tcW w:w="60" w:type="dxa"/>
            <w:tcBorders/>
            <w:vAlign w:val="center"/>
          </w:tcPr>
          <w:p>
            <w:pPr>
              <w:pStyle w:val="TableContents"/>
              <w:bidi w:val="0"/>
              <w:spacing w:before="0" w:after="0"/>
              <w:jc w:val="left"/>
              <w:rPr/>
            </w:pPr>
            <w:r>
              <w:rPr/>
              <w:t> </w:t>
            </w:r>
          </w:p>
        </w:tc>
        <w:tc>
          <w:tcPr>
            <w:tcW w:w="314" w:type="dxa"/>
            <w:tcBorders/>
            <w:vAlign w:val="center"/>
          </w:tcPr>
          <w:p>
            <w:pPr>
              <w:pStyle w:val="TableContents"/>
              <w:widowControl/>
              <w:bidi w:val="0"/>
              <w:spacing w:before="0" w:after="0"/>
              <w:ind w:left="0" w:right="0" w:hanging="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w:t>
            </w:r>
          </w:p>
        </w:tc>
        <w:tc>
          <w:tcPr>
            <w:tcW w:w="751" w:type="dxa"/>
            <w:tcBorders/>
            <w:vAlign w:val="center"/>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(1.4</w:t>
            </w:r>
          </w:p>
        </w:tc>
        <w:tc>
          <w:tcPr>
            <w:tcW w:w="154" w:type="dxa"/>
            <w:tcBorders/>
            <w:vAlign w:val="center"/>
          </w:tcPr>
          <w:p>
            <w:pPr>
              <w:pStyle w:val="TableContents"/>
              <w:bidi w:val="0"/>
              <w:spacing w:before="0" w:after="283"/>
              <w:jc w:val="left"/>
              <w:rPr/>
            </w:pPr>
            <w:r>
              <w:rPr/>
              <w:t>)</w:t>
            </w:r>
          </w:p>
        </w:tc>
        <w:tc>
          <w:tcPr>
            <w:tcW w:w="96" w:type="dxa"/>
            <w:tcBorders/>
            <w:vAlign w:val="center"/>
          </w:tcPr>
          <w:p>
            <w:pPr>
              <w:pStyle w:val="TableContents"/>
              <w:bidi w:val="0"/>
              <w:spacing w:before="0" w:after="0"/>
              <w:jc w:val="left"/>
              <w:rPr/>
            </w:pPr>
            <w:r>
              <w:rPr/>
              <w:t> </w:t>
            </w:r>
          </w:p>
        </w:tc>
        <w:tc>
          <w:tcPr>
            <w:tcW w:w="802"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(7)</w:t>
            </w:r>
          </w:p>
        </w:tc>
        <w:tc>
          <w:tcPr>
            <w:tcW w:w="263"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23" w:type="dxa"/>
            <w:tcBorders/>
            <w:vAlign w:val="center"/>
          </w:tcPr>
          <w:p>
            <w:pPr>
              <w:pStyle w:val="TableContents"/>
              <w:bidi w:val="0"/>
              <w:spacing w:before="0" w:after="283"/>
              <w:ind w:left="0" w:right="0" w:hanging="0"/>
              <w:jc w:val="left"/>
              <w:rPr/>
            </w:pPr>
            <w:r>
              <w:rPr/>
            </w:r>
          </w:p>
        </w:tc>
        <w:tc>
          <w:tcPr>
            <w:tcW w:w="23" w:type="dxa"/>
            <w:tcBorders/>
            <w:vAlign w:val="center"/>
          </w:tcPr>
          <w:p>
            <w:pPr>
              <w:pStyle w:val="TableContents"/>
              <w:bidi w:val="0"/>
              <w:spacing w:before="0" w:after="283"/>
              <w:ind w:left="0" w:right="0" w:hanging="0"/>
              <w:jc w:val="left"/>
              <w:rPr/>
            </w:pPr>
            <w:r>
              <w:rPr/>
            </w:r>
          </w:p>
        </w:tc>
        <w:tc>
          <w:tcPr>
            <w:tcW w:w="173" w:type="dxa"/>
            <w:tcBorders/>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612" w:type="dxa"/>
            <w:tcBorders/>
            <w:vAlign w:val="center"/>
          </w:tcPr>
          <w:p>
            <w:pPr>
              <w:pStyle w:val="TableContents"/>
              <w:bidi w:val="0"/>
              <w:spacing w:before="0" w:after="0"/>
              <w:ind w:left="0" w:right="0" w:hanging="0"/>
              <w:jc w:val="right"/>
              <w:rPr/>
            </w:pPr>
            <w:r>
              <w:rPr/>
              <w:t>40.4</w:t>
            </w:r>
          </w:p>
        </w:tc>
        <w:tc>
          <w:tcPr>
            <w:tcW w:w="31" w:type="dxa"/>
            <w:tcBorders/>
            <w:vAlign w:val="center"/>
          </w:tcPr>
          <w:p>
            <w:pPr>
              <w:pStyle w:val="TableContents"/>
              <w:bidi w:val="0"/>
              <w:spacing w:before="0" w:after="283"/>
              <w:ind w:left="0" w:right="0" w:hanging="0"/>
              <w:jc w:val="left"/>
              <w:rPr/>
            </w:pPr>
            <w:r>
              <w:rPr/>
            </w:r>
          </w:p>
        </w:tc>
        <w:tc>
          <w:tcPr>
            <w:tcW w:w="31" w:type="dxa"/>
            <w:tcBorders/>
            <w:vAlign w:val="center"/>
          </w:tcPr>
          <w:p>
            <w:pPr>
              <w:pStyle w:val="TableContents"/>
              <w:bidi w:val="0"/>
              <w:spacing w:before="0" w:after="283"/>
              <w:ind w:left="0" w:right="0" w:hanging="0"/>
              <w:jc w:val="left"/>
              <w:rPr/>
            </w:pPr>
            <w:r>
              <w:rPr/>
            </w:r>
          </w:p>
        </w:tc>
        <w:tc>
          <w:tcPr>
            <w:tcW w:w="31" w:type="dxa"/>
            <w:tcBorders/>
            <w:vAlign w:val="center"/>
          </w:tcPr>
          <w:p>
            <w:pPr>
              <w:pStyle w:val="TableContents"/>
              <w:bidi w:val="0"/>
              <w:spacing w:before="0" w:after="283"/>
              <w:ind w:left="0" w:right="0" w:hanging="0"/>
              <w:jc w:val="left"/>
              <w:rPr/>
            </w:pPr>
            <w:r>
              <w:rPr/>
            </w:r>
          </w:p>
        </w:tc>
        <w:tc>
          <w:tcPr>
            <w:tcW w:w="612" w:type="dxa"/>
            <w:tcBorders/>
            <w:vAlign w:val="center"/>
          </w:tcPr>
          <w:p>
            <w:pPr>
              <w:pStyle w:val="TableContents"/>
              <w:bidi w:val="0"/>
              <w:spacing w:before="0" w:after="0"/>
              <w:ind w:left="0" w:right="0" w:hanging="0"/>
              <w:jc w:val="right"/>
              <w:rPr/>
            </w:pPr>
            <w:r>
              <w:rPr/>
              <w:t>41.9</w:t>
            </w:r>
          </w:p>
        </w:tc>
        <w:tc>
          <w:tcPr>
            <w:tcW w:w="31" w:type="dxa"/>
            <w:tcBorders/>
            <w:vAlign w:val="center"/>
          </w:tcPr>
          <w:p>
            <w:pPr>
              <w:pStyle w:val="TableContents"/>
              <w:bidi w:val="0"/>
              <w:spacing w:before="0" w:after="283"/>
              <w:ind w:left="0" w:right="0" w:hanging="0"/>
              <w:jc w:val="left"/>
              <w:rPr/>
            </w:pPr>
            <w:r>
              <w:rPr/>
            </w:r>
          </w:p>
        </w:tc>
        <w:tc>
          <w:tcPr>
            <w:tcW w:w="23" w:type="dxa"/>
            <w:tcBorders/>
            <w:vAlign w:val="center"/>
          </w:tcPr>
          <w:p>
            <w:pPr>
              <w:pStyle w:val="TableContents"/>
              <w:bidi w:val="0"/>
              <w:spacing w:before="0" w:after="283"/>
              <w:ind w:left="0" w:right="0" w:hanging="0"/>
              <w:jc w:val="left"/>
              <w:rPr/>
            </w:pPr>
            <w:r>
              <w:rPr/>
            </w:r>
          </w:p>
        </w:tc>
        <w:tc>
          <w:tcPr>
            <w:tcW w:w="295" w:type="dxa"/>
            <w:tcBorders/>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905" w:type="dxa"/>
            <w:tcBorders/>
            <w:vAlign w:val="center"/>
          </w:tcPr>
          <w:p>
            <w:pPr>
              <w:pStyle w:val="TableContents"/>
              <w:bidi w:val="0"/>
              <w:spacing w:before="0" w:after="0"/>
              <w:ind w:left="0" w:right="0" w:hanging="0"/>
              <w:jc w:val="right"/>
              <w:rPr/>
            </w:pPr>
            <w:r>
              <w:rPr/>
              <w:t>(1.5</w:t>
            </w:r>
          </w:p>
        </w:tc>
        <w:tc>
          <w:tcPr>
            <w:tcW w:w="111" w:type="dxa"/>
            <w:tcBorders/>
            <w:vAlign w:val="center"/>
          </w:tcPr>
          <w:p>
            <w:pPr>
              <w:pStyle w:val="TableContents"/>
              <w:bidi w:val="0"/>
              <w:spacing w:before="0" w:after="0"/>
              <w:ind w:left="0" w:right="0" w:hanging="0"/>
              <w:jc w:val="left"/>
              <w:rPr/>
            </w:pPr>
            <w:r>
              <w:rPr/>
              <w:t>)</w:t>
            </w:r>
          </w:p>
        </w:tc>
        <w:tc>
          <w:tcPr>
            <w:tcW w:w="26" w:type="dxa"/>
            <w:tcBorders/>
            <w:vAlign w:val="center"/>
          </w:tcPr>
          <w:p>
            <w:pPr>
              <w:pStyle w:val="TableContents"/>
              <w:bidi w:val="0"/>
              <w:spacing w:before="0" w:after="283"/>
              <w:ind w:left="0" w:right="0" w:hanging="0"/>
              <w:jc w:val="left"/>
              <w:rPr/>
            </w:pPr>
            <w:r>
              <w:rPr/>
            </w:r>
          </w:p>
        </w:tc>
        <w:tc>
          <w:tcPr>
            <w:tcW w:w="692" w:type="dxa"/>
            <w:tcBorders/>
            <w:vAlign w:val="center"/>
          </w:tcPr>
          <w:p>
            <w:pPr>
              <w:pStyle w:val="TableContents"/>
              <w:bidi w:val="0"/>
              <w:spacing w:before="0" w:after="0"/>
              <w:ind w:left="0" w:right="0" w:hanging="0"/>
              <w:jc w:val="right"/>
              <w:rPr/>
            </w:pPr>
            <w:r>
              <w:rPr/>
              <w:t>(4)</w:t>
            </w:r>
          </w:p>
        </w:tc>
        <w:tc>
          <w:tcPr>
            <w:tcW w:w="479" w:type="dxa"/>
            <w:tcBorders/>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51" w:type="dxa"/>
            <w:tcBorders/>
            <w:vAlign w:val="center"/>
          </w:tcPr>
          <w:p>
            <w:pPr>
              <w:pStyle w:val="TableContents"/>
              <w:bidi w:val="0"/>
              <w:spacing w:before="0" w:after="283"/>
              <w:jc w:val="left"/>
              <w:rPr/>
            </w:pPr>
            <w:r>
              <w:rPr/>
            </w:r>
          </w:p>
        </w:tc>
      </w:tr>
    </w:tbl>
    <w:p>
      <w:pPr>
        <w:pStyle w:val="TextBody"/>
        <w:widowControl/>
        <w:bidi w:val="0"/>
        <w:spacing w:lineRule="auto" w:line="288"/>
        <w:jc w:val="left"/>
        <w:rPr>
          <w:rFonts w:ascii="Times New Roman" w:hAnsi="Times New Roman" w:eastAsia="Times New Roman" w:cs="Times New Roman"/>
          <w:b w:val="false"/>
          <w:b w:val="false"/>
          <w:bCs w:val="false"/>
          <w:i w:val="false"/>
          <w:i w:val="false"/>
          <w:iCs w:val="false"/>
          <w:caps w:val="false"/>
          <w:smallCaps w:val="false"/>
          <w:color w:val="000000"/>
          <w:spacing w:val="0"/>
          <w:sz w:val="20"/>
          <w:szCs w:val="20"/>
        </w:rPr>
      </w:pPr>
      <w:r>
        <w:rPr>
          <w:rFonts w:eastAsia="Times New Roman" w:cs="Times New Roman" w:ascii="Times New Roman" w:hAnsi="Times New Roman"/>
          <w:b w:val="false"/>
          <w:bCs w:val="false"/>
          <w:i w:val="false"/>
          <w:iCs w:val="false"/>
          <w:caps w:val="false"/>
          <w:smallCaps w:val="false"/>
          <w:color w:val="000000"/>
          <w:spacing w:val="0"/>
          <w:sz w:val="20"/>
          <w:szCs w:val="20"/>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widowControl/>
        <w:bidi w:val="0"/>
        <w:spacing w:lineRule="auto" w:line="288"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16" w:type="dxa"/>
        <w:jc w:val="left"/>
        <w:tblInd w:w="0" w:type="dxa"/>
        <w:tblLayout w:type="fixed"/>
        <w:tblCellMar>
          <w:top w:w="0" w:type="dxa"/>
          <w:left w:w="0" w:type="dxa"/>
          <w:bottom w:w="0" w:type="dxa"/>
          <w:right w:w="0" w:type="dxa"/>
        </w:tblCellMar>
      </w:tblPr>
      <w:tblGrid>
        <w:gridCol w:w="316"/>
      </w:tblGrid>
      <w:tr>
        <w:trPr/>
        <w:tc>
          <w:tcPr>
            <w:tcW w:w="31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34</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before="0" w:after="0"/>
        <w:jc w:val="left"/>
        <w:rPr>
          <w:sz w:val="20"/>
        </w:rPr>
      </w:pPr>
      <w:r>
        <w:rPr>
          <w:sz w:val="20"/>
        </w:rPr>
      </w:r>
    </w:p>
    <w:p>
      <w:pPr>
        <w:pStyle w:val="TextBody"/>
        <w:widowControl/>
        <w:bidi w:val="0"/>
        <w:ind w:left="0" w:right="0" w:hanging="0"/>
        <w:jc w:val="left"/>
        <w:rPr>
          <w:rFonts w:ascii="Times New Roman" w:hAnsi="Times New Roman"/>
          <w:b w:val="false"/>
          <w:i w:val="false"/>
          <w:caps w:val="false"/>
          <w:smallCaps w:val="false"/>
          <w:color w:val="000000"/>
          <w:spacing w:val="0"/>
          <w:sz w:val="20"/>
        </w:rPr>
      </w:pPr>
      <w:r>
        <w:rPr>
          <w:rFonts w:ascii="times new roman;times" w:hAnsi="times new roman;times"/>
          <w:b w:val="false"/>
          <w:i/>
          <w:caps w:val="false"/>
          <w:smallCaps w:val="false"/>
          <w:color w:val="000000"/>
          <w:spacing w:val="0"/>
          <w:sz w:val="20"/>
        </w:rPr>
        <w:t>Corporate operating expenses</w:t>
        <w:br/>
      </w:r>
      <w:r>
        <w:rPr>
          <w:rFonts w:ascii="Times New Roman" w:hAnsi="Times New Roman"/>
          <w:b w:val="false"/>
          <w:i w:val="false"/>
          <w:caps w:val="false"/>
          <w:smallCaps w:val="false"/>
          <w:color w:val="000000"/>
          <w:spacing w:val="0"/>
          <w:sz w:val="20"/>
        </w:rPr>
        <w:br/>
      </w:r>
      <w:r>
        <w:rPr>
          <w:rFonts w:ascii="times new roman;times" w:hAnsi="times new roman;times"/>
          <w:b w:val="false"/>
          <w:i w:val="false"/>
          <w:caps w:val="false"/>
          <w:smallCaps w:val="false"/>
          <w:color w:val="000000"/>
          <w:spacing w:val="0"/>
          <w:sz w:val="20"/>
        </w:rPr>
        <w:t xml:space="preserve">Total Corporate operating expenses were $19.1 million and $40.4 million for the </w:t>
      </w:r>
      <w:r>
        <w:rPr>
          <w:rFonts w:ascii="times new roman;times" w:hAnsi="times new roman;times"/>
          <w:b w:val="false"/>
          <w:i w:val="false"/>
          <w:caps w:val="false"/>
          <w:smallCaps w:val="false"/>
          <w:color w:val="000000"/>
          <w:spacing w:val="0"/>
          <w:sz w:val="20"/>
        </w:rPr>
        <w:t>three and six months ended June 30, 2024</w:t>
      </w:r>
      <w:r>
        <w:rPr>
          <w:rFonts w:ascii="times new roman;times" w:hAnsi="times new roman;times"/>
          <w:b w:val="false"/>
          <w:i w:val="false"/>
          <w:caps w:val="false"/>
          <w:smallCaps w:val="false"/>
          <w:color w:val="000000"/>
          <w:spacing w:val="0"/>
          <w:sz w:val="20"/>
        </w:rPr>
        <w:t>, a decrease of $1.4 million or 7% and $1.5 million or 4% compared to the same periods in 2023. </w:t>
      </w:r>
    </w:p>
    <w:p>
      <w:pPr>
        <w:pStyle w:val="TextBody"/>
        <w:bidi w:val="0"/>
        <w:spacing w:lineRule="auto" w:line="288" w:before="0" w:after="0"/>
        <w:ind w:left="0" w:right="0" w:hanging="0"/>
        <w:jc w:val="both"/>
        <w:rPr/>
      </w:pPr>
      <w:r>
        <w:rPr/>
        <w:t> </w:t>
      </w:r>
    </w:p>
    <w:p>
      <w:pPr>
        <w:pStyle w:val="TextBody"/>
        <w:widowControl/>
        <w:bidi w:val="0"/>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OTHER EXPENSE, NET</w:t>
      </w:r>
    </w:p>
    <w:p>
      <w:pPr>
        <w:pStyle w:val="TextBody"/>
        <w:bidi w:val="0"/>
        <w:spacing w:lineRule="auto" w:line="288" w:before="0" w:after="0"/>
        <w:ind w:left="0" w:right="0" w:hanging="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0" w:type="dxa"/>
          <w:left w:w="0" w:type="dxa"/>
          <w:bottom w:w="0" w:type="dxa"/>
          <w:right w:w="0" w:type="dxa"/>
        </w:tblCellMar>
      </w:tblPr>
      <w:tblGrid>
        <w:gridCol w:w="1199"/>
        <w:gridCol w:w="60"/>
        <w:gridCol w:w="142"/>
        <w:gridCol w:w="502"/>
        <w:gridCol w:w="108"/>
        <w:gridCol w:w="68"/>
        <w:gridCol w:w="142"/>
        <w:gridCol w:w="382"/>
        <w:gridCol w:w="95"/>
        <w:gridCol w:w="60"/>
        <w:gridCol w:w="270"/>
        <w:gridCol w:w="727"/>
        <w:gridCol w:w="95"/>
        <w:gridCol w:w="60"/>
        <w:gridCol w:w="1530"/>
        <w:gridCol w:w="185"/>
        <w:gridCol w:w="23"/>
        <w:gridCol w:w="147"/>
        <w:gridCol w:w="543"/>
        <w:gridCol w:w="100"/>
        <w:gridCol w:w="24"/>
        <w:gridCol w:w="147"/>
        <w:gridCol w:w="543"/>
        <w:gridCol w:w="100"/>
        <w:gridCol w:w="23"/>
        <w:gridCol w:w="212"/>
        <w:gridCol w:w="785"/>
        <w:gridCol w:w="95"/>
        <w:gridCol w:w="23"/>
        <w:gridCol w:w="23"/>
        <w:gridCol w:w="1530"/>
        <w:gridCol w:w="215"/>
        <w:gridCol w:w="47"/>
      </w:tblGrid>
      <w:tr>
        <w:trPr/>
        <w:tc>
          <w:tcPr>
            <w:tcW w:w="1199"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344" w:type="dxa"/>
            <w:gridSpan w:val="6"/>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Three Months Ended June 30,</w:t>
            </w:r>
          </w:p>
        </w:tc>
        <w:tc>
          <w:tcPr>
            <w:tcW w:w="95" w:type="dxa"/>
            <w:tcBorders/>
            <w:vAlign w:val="center"/>
          </w:tcPr>
          <w:p>
            <w:pPr>
              <w:pStyle w:val="TableContents"/>
              <w:bidi w:val="0"/>
              <w:spacing w:before="0" w:after="0"/>
              <w:jc w:val="center"/>
              <w:rPr>
                <w:sz w:val="16"/>
              </w:rPr>
            </w:pPr>
            <w:r>
              <w:rPr>
                <w:sz w:val="16"/>
              </w:rPr>
            </w:r>
          </w:p>
        </w:tc>
        <w:tc>
          <w:tcPr>
            <w:tcW w:w="60" w:type="dxa"/>
            <w:tcBorders/>
            <w:vAlign w:val="center"/>
          </w:tcPr>
          <w:p>
            <w:pPr>
              <w:pStyle w:val="TableContents"/>
              <w:bidi w:val="0"/>
              <w:spacing w:before="0" w:after="0"/>
              <w:jc w:val="left"/>
              <w:rPr/>
            </w:pPr>
            <w:r>
              <w:rPr/>
              <w:t> </w:t>
            </w:r>
          </w:p>
        </w:tc>
        <w:tc>
          <w:tcPr>
            <w:tcW w:w="2682" w:type="dxa"/>
            <w:gridSpan w:val="5"/>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Year-over-Year Change</w:t>
            </w:r>
          </w:p>
        </w:tc>
        <w:tc>
          <w:tcPr>
            <w:tcW w:w="185" w:type="dxa"/>
            <w:tcBorders/>
            <w:vAlign w:val="center"/>
          </w:tcPr>
          <w:p>
            <w:pPr>
              <w:pStyle w:val="TableContents"/>
              <w:bidi w:val="0"/>
              <w:spacing w:before="0" w:after="0"/>
              <w:jc w:val="center"/>
              <w:rPr>
                <w:sz w:val="16"/>
              </w:rPr>
            </w:pPr>
            <w:r>
              <w:rPr>
                <w:sz w:val="16"/>
              </w:rPr>
            </w:r>
          </w:p>
        </w:tc>
        <w:tc>
          <w:tcPr>
            <w:tcW w:w="23" w:type="dxa"/>
            <w:tcBorders/>
            <w:vAlign w:val="center"/>
          </w:tcPr>
          <w:p>
            <w:pPr>
              <w:pStyle w:val="TableContents"/>
              <w:bidi w:val="0"/>
              <w:spacing w:before="0" w:after="0"/>
              <w:jc w:val="center"/>
              <w:rPr>
                <w:sz w:val="16"/>
              </w:rPr>
            </w:pPr>
            <w:r>
              <w:rPr>
                <w:sz w:val="16"/>
              </w:rPr>
            </w:r>
          </w:p>
        </w:tc>
        <w:tc>
          <w:tcPr>
            <w:tcW w:w="1604" w:type="dxa"/>
            <w:gridSpan w:val="7"/>
            <w:tcBorders/>
            <w:vAlign w:val="center"/>
          </w:tcPr>
          <w:p>
            <w:pPr>
              <w:pStyle w:val="TableContents"/>
              <w:bidi w:val="0"/>
              <w:spacing w:before="0" w:after="283"/>
              <w:jc w:val="center"/>
              <w:rPr>
                <w:b/>
                <w:sz w:val="16"/>
              </w:rPr>
            </w:pPr>
            <w:r>
              <w:rPr>
                <w:b/>
                <w:sz w:val="16"/>
              </w:rPr>
              <w:t xml:space="preserve">Six Months Ended June 30, </w:t>
            </w:r>
          </w:p>
        </w:tc>
        <w:tc>
          <w:tcPr>
            <w:tcW w:w="23" w:type="dxa"/>
            <w:tcBorders/>
            <w:vAlign w:val="center"/>
          </w:tcPr>
          <w:p>
            <w:pPr>
              <w:pStyle w:val="TableContents"/>
              <w:bidi w:val="0"/>
              <w:spacing w:before="0" w:after="0"/>
              <w:jc w:val="center"/>
              <w:rPr>
                <w:sz w:val="16"/>
              </w:rPr>
            </w:pPr>
            <w:r>
              <w:rPr>
                <w:sz w:val="16"/>
              </w:rPr>
            </w:r>
          </w:p>
        </w:tc>
        <w:tc>
          <w:tcPr>
            <w:tcW w:w="2883" w:type="dxa"/>
            <w:gridSpan w:val="7"/>
            <w:tcBorders/>
            <w:vAlign w:val="center"/>
          </w:tcPr>
          <w:p>
            <w:pPr>
              <w:pStyle w:val="TableContents"/>
              <w:widowControl/>
              <w:bidi w:val="0"/>
              <w:spacing w:before="0" w:after="283"/>
              <w:ind w:left="0" w:right="0" w:hanging="0"/>
              <w:jc w:val="center"/>
              <w:rPr>
                <w:rFonts w:ascii="times new roman;times" w:hAnsi="times new roman;times"/>
                <w:b/>
                <w:color w:val="000000"/>
                <w:spacing w:val="0"/>
                <w:sz w:val="15"/>
              </w:rPr>
            </w:pPr>
            <w:r>
              <w:rPr>
                <w:rFonts w:ascii="times new roman;times" w:hAnsi="times new roman;times"/>
                <w:b/>
                <w:color w:val="000000"/>
                <w:spacing w:val="0"/>
                <w:sz w:val="15"/>
              </w:rPr>
              <w:t>Year-over-Year Change</w:t>
            </w:r>
          </w:p>
        </w:tc>
        <w:tc>
          <w:tcPr>
            <w:tcW w:w="47" w:type="dxa"/>
            <w:tcBorders/>
            <w:vAlign w:val="center"/>
          </w:tcPr>
          <w:p>
            <w:pPr>
              <w:pStyle w:val="TableContents"/>
              <w:bidi w:val="0"/>
              <w:spacing w:before="0" w:after="0"/>
              <w:jc w:val="center"/>
              <w:rPr>
                <w:sz w:val="16"/>
              </w:rPr>
            </w:pPr>
            <w:r>
              <w:rPr>
                <w:sz w:val="16"/>
              </w:rPr>
            </w:r>
          </w:p>
        </w:tc>
      </w:tr>
      <w:tr>
        <w:trPr/>
        <w:tc>
          <w:tcPr>
            <w:tcW w:w="1199" w:type="dxa"/>
            <w:tcBorders/>
            <w:vAlign w:val="center"/>
          </w:tcPr>
          <w:p>
            <w:pPr>
              <w:pStyle w:val="TableContents"/>
              <w:widowControl/>
              <w:bidi w:val="0"/>
              <w:spacing w:before="0" w:after="0"/>
              <w:ind w:left="0" w:right="0" w:hanging="0"/>
              <w:jc w:val="left"/>
              <w:rPr>
                <w:rFonts w:ascii="times new roman;times" w:hAnsi="times new roman;times"/>
                <w:sz w:val="16"/>
              </w:rPr>
            </w:pPr>
            <w:r>
              <w:rPr>
                <w:rFonts w:ascii="times new roman;times" w:hAnsi="times new roman;times"/>
                <w:sz w:val="16"/>
              </w:rPr>
              <w:t xml:space="preserve">(dollar amounts in </w:t>
            </w:r>
            <w:r>
              <w:rPr>
                <w:rFonts w:ascii="times new roman;times" w:hAnsi="times new roman;times"/>
                <w:b w:val="false"/>
                <w:color w:val="000000"/>
                <w:spacing w:val="0"/>
                <w:sz w:val="16"/>
              </w:rPr>
              <w:t>millions</w:t>
            </w:r>
            <w:r>
              <w:rPr>
                <w:rFonts w:ascii="times new roman;times" w:hAnsi="times new roman;times"/>
                <w:sz w:val="16"/>
              </w:rPr>
              <w:t>)</w:t>
            </w:r>
          </w:p>
        </w:tc>
        <w:tc>
          <w:tcPr>
            <w:tcW w:w="60" w:type="dxa"/>
            <w:tcBorders/>
            <w:vAlign w:val="center"/>
          </w:tcPr>
          <w:p>
            <w:pPr>
              <w:pStyle w:val="TableContents"/>
              <w:bidi w:val="0"/>
              <w:spacing w:before="0" w:after="283"/>
              <w:jc w:val="left"/>
              <w:rPr>
                <w:sz w:val="4"/>
                <w:szCs w:val="4"/>
              </w:rPr>
            </w:pPr>
            <w:r>
              <w:rPr>
                <w:sz w:val="4"/>
                <w:szCs w:val="4"/>
              </w:rPr>
            </w:r>
          </w:p>
        </w:tc>
        <w:tc>
          <w:tcPr>
            <w:tcW w:w="644" w:type="dxa"/>
            <w:gridSpan w:val="2"/>
            <w:tcBorders/>
            <w:vAlign w:val="center"/>
          </w:tcPr>
          <w:p>
            <w:pPr>
              <w:pStyle w:val="TableContents"/>
              <w:widowControl/>
              <w:bidi w:val="0"/>
              <w:spacing w:before="0" w:after="283"/>
              <w:ind w:left="0" w:right="0" w:hanging="0"/>
              <w:jc w:val="center"/>
              <w:rPr>
                <w:rFonts w:ascii="times new roman;times" w:hAnsi="times new roman;times"/>
                <w:b/>
                <w:i w:val="false"/>
                <w:caps w:val="false"/>
                <w:smallCaps w:val="false"/>
                <w:color w:val="000000"/>
                <w:spacing w:val="0"/>
                <w:sz w:val="16"/>
              </w:rPr>
            </w:pPr>
            <w:r>
              <w:rPr>
                <w:rFonts w:ascii="times new roman;times" w:hAnsi="times new roman;times"/>
                <w:b/>
                <w:i w:val="false"/>
                <w:caps w:val="false"/>
                <w:smallCaps w:val="false"/>
                <w:color w:val="000000"/>
                <w:spacing w:val="0"/>
                <w:sz w:val="16"/>
              </w:rPr>
              <w:t>2024</w:t>
            </w:r>
          </w:p>
        </w:tc>
        <w:tc>
          <w:tcPr>
            <w:tcW w:w="108"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0"/>
              <w:jc w:val="center"/>
              <w:rPr/>
            </w:pPr>
            <w:r>
              <w:rPr/>
              <w:t> </w:t>
            </w:r>
          </w:p>
        </w:tc>
        <w:tc>
          <w:tcPr>
            <w:tcW w:w="524" w:type="dxa"/>
            <w:gridSpan w:val="2"/>
            <w:tcBorders/>
            <w:vAlign w:val="center"/>
          </w:tcPr>
          <w:p>
            <w:pPr>
              <w:pStyle w:val="TableContents"/>
              <w:widowControl/>
              <w:bidi w:val="0"/>
              <w:spacing w:before="0" w:after="283"/>
              <w:ind w:left="0" w:right="0" w:hanging="0"/>
              <w:jc w:val="center"/>
              <w:rPr>
                <w:rFonts w:ascii="times new roman;times" w:hAnsi="times new roman;times"/>
                <w:b/>
                <w:i w:val="false"/>
                <w:caps w:val="false"/>
                <w:smallCaps w:val="false"/>
                <w:color w:val="000000"/>
                <w:spacing w:val="0"/>
                <w:sz w:val="16"/>
              </w:rPr>
            </w:pPr>
            <w:r>
              <w:rPr>
                <w:rFonts w:ascii="times new roman;times" w:hAnsi="times new roman;times"/>
                <w:b/>
                <w:i w:val="false"/>
                <w:caps w:val="false"/>
                <w:smallCaps w:val="false"/>
                <w:color w:val="000000"/>
                <w:spacing w:val="0"/>
                <w:sz w:val="16"/>
              </w:rPr>
              <w:t>2023</w:t>
            </w:r>
          </w:p>
        </w:tc>
        <w:tc>
          <w:tcPr>
            <w:tcW w:w="95"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0"/>
              <w:jc w:val="left"/>
              <w:rPr/>
            </w:pPr>
            <w:r>
              <w:rPr/>
              <w:t> </w:t>
            </w:r>
          </w:p>
        </w:tc>
        <w:tc>
          <w:tcPr>
            <w:tcW w:w="997" w:type="dxa"/>
            <w:gridSpan w:val="2"/>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Increase (Decrease) Amount</w:t>
            </w:r>
          </w:p>
        </w:tc>
        <w:tc>
          <w:tcPr>
            <w:tcW w:w="95" w:type="dxa"/>
            <w:tcBorders/>
            <w:vAlign w:val="center"/>
          </w:tcPr>
          <w:p>
            <w:pPr>
              <w:pStyle w:val="TableContents"/>
              <w:bidi w:val="0"/>
              <w:spacing w:before="0" w:after="0"/>
              <w:jc w:val="center"/>
              <w:rPr>
                <w:sz w:val="16"/>
              </w:rPr>
            </w:pPr>
            <w:r>
              <w:rPr>
                <w:sz w:val="16"/>
              </w:rPr>
            </w:r>
          </w:p>
        </w:tc>
        <w:tc>
          <w:tcPr>
            <w:tcW w:w="60" w:type="dxa"/>
            <w:tcBorders/>
            <w:vAlign w:val="center"/>
          </w:tcPr>
          <w:p>
            <w:pPr>
              <w:pStyle w:val="TableContents"/>
              <w:bidi w:val="0"/>
              <w:spacing w:before="0" w:after="0"/>
              <w:jc w:val="left"/>
              <w:rPr/>
            </w:pPr>
            <w:r>
              <w:rPr/>
              <w:t> </w:t>
            </w:r>
          </w:p>
        </w:tc>
        <w:tc>
          <w:tcPr>
            <w:tcW w:w="1530" w:type="dxa"/>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Increase (Decrease) Percent</w:t>
            </w:r>
          </w:p>
        </w:tc>
        <w:tc>
          <w:tcPr>
            <w:tcW w:w="185" w:type="dxa"/>
            <w:tcBorders/>
            <w:vAlign w:val="center"/>
          </w:tcPr>
          <w:p>
            <w:pPr>
              <w:pStyle w:val="TableContents"/>
              <w:bidi w:val="0"/>
              <w:spacing w:before="0" w:after="0"/>
              <w:jc w:val="center"/>
              <w:rPr>
                <w:sz w:val="16"/>
              </w:rPr>
            </w:pPr>
            <w:r>
              <w:rPr>
                <w:sz w:val="16"/>
              </w:rPr>
            </w:r>
          </w:p>
        </w:tc>
        <w:tc>
          <w:tcPr>
            <w:tcW w:w="23" w:type="dxa"/>
            <w:tcBorders/>
            <w:vAlign w:val="center"/>
          </w:tcPr>
          <w:p>
            <w:pPr>
              <w:pStyle w:val="TableContents"/>
              <w:bidi w:val="0"/>
              <w:spacing w:before="0" w:after="0"/>
              <w:jc w:val="center"/>
              <w:rPr>
                <w:sz w:val="16"/>
              </w:rPr>
            </w:pPr>
            <w:r>
              <w:rPr>
                <w:sz w:val="16"/>
              </w:rPr>
            </w:r>
          </w:p>
        </w:tc>
        <w:tc>
          <w:tcPr>
            <w:tcW w:w="690" w:type="dxa"/>
            <w:gridSpan w:val="2"/>
            <w:tcBorders/>
            <w:vAlign w:val="bottom"/>
          </w:tcPr>
          <w:p>
            <w:pPr>
              <w:pStyle w:val="TableContents"/>
              <w:bidi w:val="0"/>
              <w:spacing w:before="0" w:after="0"/>
              <w:jc w:val="center"/>
              <w:rPr>
                <w:b/>
                <w:sz w:val="16"/>
              </w:rPr>
            </w:pPr>
            <w:r>
              <w:rPr>
                <w:b/>
                <w:sz w:val="16"/>
              </w:rPr>
              <w:t>2024</w:t>
            </w:r>
          </w:p>
        </w:tc>
        <w:tc>
          <w:tcPr>
            <w:tcW w:w="100" w:type="dxa"/>
            <w:tcBorders/>
            <w:vAlign w:val="center"/>
          </w:tcPr>
          <w:p>
            <w:pPr>
              <w:pStyle w:val="TableContents"/>
              <w:bidi w:val="0"/>
              <w:spacing w:before="0" w:after="0"/>
              <w:jc w:val="center"/>
              <w:rPr>
                <w:sz w:val="16"/>
              </w:rPr>
            </w:pPr>
            <w:r>
              <w:rPr>
                <w:sz w:val="16"/>
              </w:rPr>
            </w:r>
          </w:p>
        </w:tc>
        <w:tc>
          <w:tcPr>
            <w:tcW w:w="24" w:type="dxa"/>
            <w:tcBorders/>
            <w:vAlign w:val="center"/>
          </w:tcPr>
          <w:p>
            <w:pPr>
              <w:pStyle w:val="TableContents"/>
              <w:bidi w:val="0"/>
              <w:spacing w:before="0" w:after="0"/>
              <w:jc w:val="center"/>
              <w:rPr>
                <w:sz w:val="16"/>
              </w:rPr>
            </w:pPr>
            <w:r>
              <w:rPr>
                <w:sz w:val="16"/>
              </w:rPr>
            </w:r>
          </w:p>
        </w:tc>
        <w:tc>
          <w:tcPr>
            <w:tcW w:w="690" w:type="dxa"/>
            <w:gridSpan w:val="2"/>
            <w:tcBorders/>
            <w:vAlign w:val="center"/>
          </w:tcPr>
          <w:p>
            <w:pPr>
              <w:pStyle w:val="TableContents"/>
              <w:bidi w:val="0"/>
              <w:spacing w:before="0" w:after="0"/>
              <w:jc w:val="center"/>
              <w:rPr>
                <w:b/>
                <w:sz w:val="16"/>
              </w:rPr>
            </w:pPr>
            <w:r>
              <w:rPr>
                <w:b/>
                <w:sz w:val="16"/>
              </w:rPr>
              <w:t>2023</w:t>
            </w:r>
          </w:p>
        </w:tc>
        <w:tc>
          <w:tcPr>
            <w:tcW w:w="100" w:type="dxa"/>
            <w:tcBorders/>
            <w:vAlign w:val="center"/>
          </w:tcPr>
          <w:p>
            <w:pPr>
              <w:pStyle w:val="TableContents"/>
              <w:bidi w:val="0"/>
              <w:spacing w:before="0" w:after="0"/>
              <w:jc w:val="center"/>
              <w:rPr>
                <w:sz w:val="16"/>
              </w:rPr>
            </w:pPr>
            <w:r>
              <w:rPr>
                <w:sz w:val="16"/>
              </w:rPr>
            </w:r>
          </w:p>
        </w:tc>
        <w:tc>
          <w:tcPr>
            <w:tcW w:w="23" w:type="dxa"/>
            <w:tcBorders/>
            <w:vAlign w:val="center"/>
          </w:tcPr>
          <w:p>
            <w:pPr>
              <w:pStyle w:val="TableContents"/>
              <w:bidi w:val="0"/>
              <w:spacing w:before="0" w:after="0"/>
              <w:jc w:val="center"/>
              <w:rPr>
                <w:sz w:val="16"/>
              </w:rPr>
            </w:pPr>
            <w:r>
              <w:rPr>
                <w:sz w:val="16"/>
              </w:rPr>
            </w:r>
          </w:p>
        </w:tc>
        <w:tc>
          <w:tcPr>
            <w:tcW w:w="997" w:type="dxa"/>
            <w:gridSpan w:val="2"/>
            <w:tcBorders/>
            <w:vAlign w:val="center"/>
          </w:tcPr>
          <w:p>
            <w:pPr>
              <w:pStyle w:val="TableContents"/>
              <w:widowControl/>
              <w:bidi w:val="0"/>
              <w:spacing w:before="0" w:after="0"/>
              <w:ind w:left="0" w:right="0" w:hanging="0"/>
              <w:jc w:val="center"/>
              <w:rPr>
                <w:rFonts w:ascii="times new roman;times" w:hAnsi="times new roman;times"/>
                <w:b/>
                <w:i w:val="false"/>
                <w:caps w:val="false"/>
                <w:smallCaps w:val="false"/>
                <w:color w:val="000000"/>
                <w:spacing w:val="0"/>
                <w:sz w:val="16"/>
              </w:rPr>
            </w:pPr>
            <w:r>
              <w:rPr>
                <w:rFonts w:ascii="times new roman;times" w:hAnsi="times new roman;times"/>
                <w:b/>
                <w:i w:val="false"/>
                <w:caps w:val="false"/>
                <w:smallCaps w:val="false"/>
                <w:color w:val="000000"/>
                <w:spacing w:val="0"/>
                <w:sz w:val="16"/>
              </w:rPr>
              <w:t>Increase (Decrease) Amount</w:t>
            </w:r>
          </w:p>
        </w:tc>
        <w:tc>
          <w:tcPr>
            <w:tcW w:w="9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Increase (Decrease) Percent</w:t>
            </w:r>
          </w:p>
        </w:tc>
        <w:tc>
          <w:tcPr>
            <w:tcW w:w="215" w:type="dxa"/>
            <w:tcBorders/>
            <w:vAlign w:val="center"/>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0"/>
              <w:jc w:val="center"/>
              <w:rPr>
                <w:sz w:val="16"/>
              </w:rPr>
            </w:pPr>
            <w:r>
              <w:rPr>
                <w:sz w:val="16"/>
              </w:rPr>
            </w:r>
          </w:p>
        </w:tc>
      </w:tr>
      <w:tr>
        <w:trPr/>
        <w:tc>
          <w:tcPr>
            <w:tcW w:w="1199" w:type="dxa"/>
            <w:tcBorders/>
            <w:shd w:fill="CCEEFF" w:val="clear"/>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Interest income</w:t>
            </w:r>
          </w:p>
        </w:tc>
        <w:tc>
          <w:tcPr>
            <w:tcW w:w="60"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widowControl/>
              <w:bidi w:val="0"/>
              <w:spacing w:before="0" w:after="0"/>
              <w:ind w:left="0" w:right="0" w:hanging="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w:t>
            </w:r>
          </w:p>
        </w:tc>
        <w:tc>
          <w:tcPr>
            <w:tcW w:w="502" w:type="dxa"/>
            <w:tcBorders/>
            <w:shd w:fill="CCEEFF" w:val="clear"/>
            <w:vAlign w:val="center"/>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5.9</w:t>
            </w:r>
          </w:p>
        </w:tc>
        <w:tc>
          <w:tcPr>
            <w:tcW w:w="108" w:type="dxa"/>
            <w:tcBorders/>
            <w:shd w:fill="CCEEFF" w:val="clear"/>
            <w:vAlign w:val="center"/>
          </w:tcPr>
          <w:p>
            <w:pPr>
              <w:pStyle w:val="TableContents"/>
              <w:bidi w:val="0"/>
              <w:spacing w:before="0" w:after="0"/>
              <w:jc w:val="right"/>
              <w:rPr>
                <w:sz w:val="20"/>
              </w:rPr>
            </w:pPr>
            <w:r>
              <w:rPr>
                <w:sz w:val="20"/>
              </w:rPr>
            </w:r>
          </w:p>
        </w:tc>
        <w:tc>
          <w:tcPr>
            <w:tcW w:w="68"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widowControl/>
              <w:bidi w:val="0"/>
              <w:spacing w:before="0" w:after="0"/>
              <w:ind w:left="0" w:right="0" w:hanging="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w:t>
            </w:r>
          </w:p>
        </w:tc>
        <w:tc>
          <w:tcPr>
            <w:tcW w:w="382" w:type="dxa"/>
            <w:tcBorders/>
            <w:shd w:fill="CCEEFF" w:val="clear"/>
            <w:vAlign w:val="center"/>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3.5</w:t>
            </w:r>
          </w:p>
        </w:tc>
        <w:tc>
          <w:tcPr>
            <w:tcW w:w="95" w:type="dxa"/>
            <w:tcBorders/>
            <w:shd w:fill="CCEEFF" w:val="clear"/>
            <w:vAlign w:val="center"/>
          </w:tcPr>
          <w:p>
            <w:pPr>
              <w:pStyle w:val="TableContents"/>
              <w:bidi w:val="0"/>
              <w:spacing w:before="0" w:after="0"/>
              <w:jc w:val="right"/>
              <w:rPr>
                <w:sz w:val="20"/>
              </w:rPr>
            </w:pPr>
            <w:r>
              <w:rPr>
                <w:sz w:val="20"/>
              </w:rPr>
            </w:r>
          </w:p>
        </w:tc>
        <w:tc>
          <w:tcPr>
            <w:tcW w:w="60" w:type="dxa"/>
            <w:tcBorders/>
            <w:shd w:fill="CCEEFF" w:val="clear"/>
            <w:vAlign w:val="center"/>
          </w:tcPr>
          <w:p>
            <w:pPr>
              <w:pStyle w:val="TableContents"/>
              <w:bidi w:val="0"/>
              <w:spacing w:before="0" w:after="0"/>
              <w:jc w:val="left"/>
              <w:rPr/>
            </w:pPr>
            <w:r>
              <w:rPr/>
              <w:t> </w:t>
            </w:r>
          </w:p>
        </w:tc>
        <w:tc>
          <w:tcPr>
            <w:tcW w:w="270" w:type="dxa"/>
            <w:tcBorders/>
            <w:shd w:fill="CCEEFF" w:val="clear"/>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727" w:type="dxa"/>
            <w:tcBorders/>
            <w:shd w:fill="CCEEFF" w:val="clear"/>
            <w:vAlign w:val="center"/>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2.4</w:t>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1530"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69</w:t>
            </w:r>
          </w:p>
        </w:tc>
        <w:tc>
          <w:tcPr>
            <w:tcW w:w="185"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23" w:type="dxa"/>
            <w:tcBorders/>
            <w:shd w:fill="CCEEFF" w:val="clear"/>
            <w:vAlign w:val="center"/>
          </w:tcPr>
          <w:p>
            <w:pPr>
              <w:pStyle w:val="TableContents"/>
              <w:bidi w:val="0"/>
              <w:spacing w:before="0" w:after="283"/>
              <w:jc w:val="left"/>
              <w:rPr/>
            </w:pPr>
            <w:r>
              <w:rPr/>
            </w:r>
          </w:p>
        </w:tc>
        <w:tc>
          <w:tcPr>
            <w:tcW w:w="147" w:type="dxa"/>
            <w:tcBorders/>
            <w:shd w:fill="CCEEFF" w:val="clear"/>
            <w:vAlign w:val="center"/>
          </w:tcPr>
          <w:p>
            <w:pPr>
              <w:pStyle w:val="TableContents"/>
              <w:bidi w:val="0"/>
              <w:spacing w:before="0" w:after="283"/>
              <w:jc w:val="left"/>
              <w:rPr/>
            </w:pPr>
            <w:r>
              <w:rPr/>
              <w:t>$</w:t>
            </w:r>
          </w:p>
        </w:tc>
        <w:tc>
          <w:tcPr>
            <w:tcW w:w="543" w:type="dxa"/>
            <w:tcBorders/>
            <w:shd w:fill="CCEEFF" w:val="clear"/>
            <w:vAlign w:val="center"/>
          </w:tcPr>
          <w:p>
            <w:pPr>
              <w:pStyle w:val="TableContents"/>
              <w:bidi w:val="0"/>
              <w:spacing w:before="0" w:after="283"/>
              <w:jc w:val="right"/>
              <w:rPr/>
            </w:pPr>
            <w:r>
              <w:rPr/>
              <w:t>11.6</w:t>
            </w:r>
          </w:p>
        </w:tc>
        <w:tc>
          <w:tcPr>
            <w:tcW w:w="100" w:type="dxa"/>
            <w:tcBorders/>
            <w:shd w:fill="CCEEFF" w:val="clear"/>
            <w:vAlign w:val="center"/>
          </w:tcPr>
          <w:p>
            <w:pPr>
              <w:pStyle w:val="TableContents"/>
              <w:bidi w:val="0"/>
              <w:spacing w:before="0" w:after="283"/>
              <w:jc w:val="left"/>
              <w:rPr/>
            </w:pPr>
            <w:r>
              <w:rPr/>
            </w:r>
          </w:p>
        </w:tc>
        <w:tc>
          <w:tcPr>
            <w:tcW w:w="24" w:type="dxa"/>
            <w:tcBorders/>
            <w:shd w:fill="CCEEFF" w:val="clear"/>
            <w:vAlign w:val="center"/>
          </w:tcPr>
          <w:p>
            <w:pPr>
              <w:pStyle w:val="TableContents"/>
              <w:bidi w:val="0"/>
              <w:spacing w:before="0" w:after="283"/>
              <w:jc w:val="left"/>
              <w:rPr/>
            </w:pPr>
            <w:r>
              <w:rPr/>
            </w:r>
          </w:p>
        </w:tc>
        <w:tc>
          <w:tcPr>
            <w:tcW w:w="147" w:type="dxa"/>
            <w:tcBorders/>
            <w:shd w:fill="CCEEFF" w:val="clear"/>
            <w:vAlign w:val="center"/>
          </w:tcPr>
          <w:p>
            <w:pPr>
              <w:pStyle w:val="TableContents"/>
              <w:bidi w:val="0"/>
              <w:spacing w:before="0" w:after="283"/>
              <w:jc w:val="left"/>
              <w:rPr/>
            </w:pPr>
            <w:r>
              <w:rPr/>
              <w:t>$</w:t>
            </w:r>
          </w:p>
        </w:tc>
        <w:tc>
          <w:tcPr>
            <w:tcW w:w="543" w:type="dxa"/>
            <w:tcBorders/>
            <w:shd w:fill="CCEEFF" w:val="clear"/>
            <w:vAlign w:val="center"/>
          </w:tcPr>
          <w:p>
            <w:pPr>
              <w:pStyle w:val="TableContents"/>
              <w:bidi w:val="0"/>
              <w:spacing w:before="0" w:after="283"/>
              <w:jc w:val="right"/>
              <w:rPr/>
            </w:pPr>
            <w:r>
              <w:rPr/>
              <w:t>6.1</w:t>
            </w:r>
          </w:p>
        </w:tc>
        <w:tc>
          <w:tcPr>
            <w:tcW w:w="100"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212"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5.5</w:t>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1530" w:type="dxa"/>
            <w:tcBorders/>
            <w:shd w:fill="CCEEFF" w:val="clear"/>
            <w:vAlign w:val="center"/>
          </w:tcPr>
          <w:p>
            <w:pPr>
              <w:pStyle w:val="TableContents"/>
              <w:bidi w:val="0"/>
              <w:spacing w:before="0" w:after="283"/>
              <w:jc w:val="right"/>
              <w:rPr/>
            </w:pPr>
            <w:r>
              <w:rPr/>
              <w:t>90</w:t>
            </w:r>
          </w:p>
        </w:tc>
        <w:tc>
          <w:tcPr>
            <w:tcW w:w="215" w:type="dxa"/>
            <w:tcBorders/>
            <w:shd w:fill="CCEEFF" w:val="clear"/>
            <w:vAlign w:val="center"/>
          </w:tcPr>
          <w:p>
            <w:pPr>
              <w:pStyle w:val="TableContents"/>
              <w:bidi w:val="0"/>
              <w:spacing w:before="0" w:after="283"/>
              <w:jc w:val="left"/>
              <w:rPr/>
            </w:pPr>
            <w:r>
              <w:rPr/>
              <w:t>%</w:t>
            </w:r>
          </w:p>
        </w:tc>
        <w:tc>
          <w:tcPr>
            <w:tcW w:w="47" w:type="dxa"/>
            <w:tcBorders/>
            <w:shd w:fill="CCEEFF" w:val="clear"/>
            <w:vAlign w:val="center"/>
          </w:tcPr>
          <w:p>
            <w:pPr>
              <w:pStyle w:val="TableContents"/>
              <w:bidi w:val="0"/>
              <w:spacing w:before="0" w:after="283"/>
              <w:jc w:val="left"/>
              <w:rPr/>
            </w:pPr>
            <w:r>
              <w:rPr/>
            </w:r>
          </w:p>
        </w:tc>
      </w:tr>
      <w:tr>
        <w:trPr/>
        <w:tc>
          <w:tcPr>
            <w:tcW w:w="1199" w:type="dxa"/>
            <w:tcBorders/>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Interest expense</w:t>
            </w:r>
          </w:p>
        </w:tc>
        <w:tc>
          <w:tcPr>
            <w:tcW w:w="60" w:type="dxa"/>
            <w:tcBorders/>
            <w:vAlign w:val="center"/>
          </w:tcPr>
          <w:p>
            <w:pPr>
              <w:pStyle w:val="TableContents"/>
              <w:bidi w:val="0"/>
              <w:spacing w:before="0" w:after="0"/>
              <w:jc w:val="left"/>
              <w:rPr/>
            </w:pPr>
            <w:r>
              <w:rPr/>
              <w:t> </w:t>
            </w:r>
          </w:p>
        </w:tc>
        <w:tc>
          <w:tcPr>
            <w:tcW w:w="644"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(20.1</w:t>
            </w:r>
          </w:p>
        </w:tc>
        <w:tc>
          <w:tcPr>
            <w:tcW w:w="108" w:type="dxa"/>
            <w:tcBorders/>
            <w:vAlign w:val="center"/>
          </w:tcPr>
          <w:p>
            <w:pPr>
              <w:pStyle w:val="TableContents"/>
              <w:bidi w:val="0"/>
              <w:spacing w:before="0" w:after="283"/>
              <w:jc w:val="left"/>
              <w:rPr/>
            </w:pPr>
            <w:r>
              <w:rPr/>
              <w:t>)</w:t>
            </w:r>
          </w:p>
        </w:tc>
        <w:tc>
          <w:tcPr>
            <w:tcW w:w="68" w:type="dxa"/>
            <w:tcBorders/>
            <w:vAlign w:val="center"/>
          </w:tcPr>
          <w:p>
            <w:pPr>
              <w:pStyle w:val="TableContents"/>
              <w:bidi w:val="0"/>
              <w:spacing w:before="0" w:after="283"/>
              <w:jc w:val="left"/>
              <w:rPr>
                <w:sz w:val="4"/>
                <w:szCs w:val="4"/>
              </w:rPr>
            </w:pPr>
            <w:r>
              <w:rPr>
                <w:sz w:val="4"/>
                <w:szCs w:val="4"/>
              </w:rPr>
            </w:r>
          </w:p>
        </w:tc>
        <w:tc>
          <w:tcPr>
            <w:tcW w:w="524"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(14.0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r>
          </w:p>
        </w:tc>
        <w:tc>
          <w:tcPr>
            <w:tcW w:w="997"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(6.1</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44</w:t>
            </w:r>
          </w:p>
        </w:tc>
        <w:tc>
          <w:tcPr>
            <w:tcW w:w="185"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23" w:type="dxa"/>
            <w:tcBorders/>
            <w:vAlign w:val="center"/>
          </w:tcPr>
          <w:p>
            <w:pPr>
              <w:pStyle w:val="TableContents"/>
              <w:bidi w:val="0"/>
              <w:spacing w:before="0" w:after="283"/>
              <w:jc w:val="left"/>
              <w:rPr/>
            </w:pPr>
            <w:r>
              <w:rPr/>
            </w:r>
          </w:p>
        </w:tc>
        <w:tc>
          <w:tcPr>
            <w:tcW w:w="147" w:type="dxa"/>
            <w:tcBorders/>
            <w:vAlign w:val="center"/>
          </w:tcPr>
          <w:p>
            <w:pPr>
              <w:pStyle w:val="TableContents"/>
              <w:bidi w:val="0"/>
              <w:spacing w:before="0" w:after="283"/>
              <w:jc w:val="left"/>
              <w:rPr/>
            </w:pPr>
            <w:r>
              <w:rPr/>
            </w:r>
          </w:p>
        </w:tc>
        <w:tc>
          <w:tcPr>
            <w:tcW w:w="543" w:type="dxa"/>
            <w:tcBorders/>
            <w:vAlign w:val="center"/>
          </w:tcPr>
          <w:p>
            <w:pPr>
              <w:pStyle w:val="TableContents"/>
              <w:bidi w:val="0"/>
              <w:spacing w:before="0" w:after="283"/>
              <w:jc w:val="right"/>
              <w:rPr/>
            </w:pPr>
            <w:r>
              <w:rPr/>
              <w:t>(35.0</w:t>
            </w:r>
          </w:p>
        </w:tc>
        <w:tc>
          <w:tcPr>
            <w:tcW w:w="100" w:type="dxa"/>
            <w:tcBorders/>
            <w:vAlign w:val="center"/>
          </w:tcPr>
          <w:p>
            <w:pPr>
              <w:pStyle w:val="TableContents"/>
              <w:bidi w:val="0"/>
              <w:spacing w:before="0" w:after="283"/>
              <w:jc w:val="left"/>
              <w:rPr/>
            </w:pPr>
            <w:r>
              <w:rPr/>
              <w:t>)</w:t>
            </w:r>
          </w:p>
        </w:tc>
        <w:tc>
          <w:tcPr>
            <w:tcW w:w="24" w:type="dxa"/>
            <w:tcBorders/>
            <w:vAlign w:val="center"/>
          </w:tcPr>
          <w:p>
            <w:pPr>
              <w:pStyle w:val="TableContents"/>
              <w:bidi w:val="0"/>
              <w:spacing w:before="0" w:after="283"/>
              <w:jc w:val="left"/>
              <w:rPr/>
            </w:pPr>
            <w:r>
              <w:rPr/>
            </w:r>
          </w:p>
        </w:tc>
        <w:tc>
          <w:tcPr>
            <w:tcW w:w="147" w:type="dxa"/>
            <w:tcBorders/>
            <w:vAlign w:val="center"/>
          </w:tcPr>
          <w:p>
            <w:pPr>
              <w:pStyle w:val="TableContents"/>
              <w:bidi w:val="0"/>
              <w:spacing w:before="0" w:after="283"/>
              <w:jc w:val="left"/>
              <w:rPr/>
            </w:pPr>
            <w:r>
              <w:rPr/>
            </w:r>
          </w:p>
        </w:tc>
        <w:tc>
          <w:tcPr>
            <w:tcW w:w="543" w:type="dxa"/>
            <w:tcBorders/>
            <w:vAlign w:val="center"/>
          </w:tcPr>
          <w:p>
            <w:pPr>
              <w:pStyle w:val="TableContents"/>
              <w:bidi w:val="0"/>
              <w:spacing w:before="0" w:after="283"/>
              <w:jc w:val="right"/>
              <w:rPr/>
            </w:pPr>
            <w:r>
              <w:rPr/>
              <w:t>(24.1</w:t>
            </w:r>
          </w:p>
        </w:tc>
        <w:tc>
          <w:tcPr>
            <w:tcW w:w="100"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r>
          </w:p>
        </w:tc>
        <w:tc>
          <w:tcPr>
            <w:tcW w:w="212" w:type="dxa"/>
            <w:tcBorders/>
            <w:vAlign w:val="center"/>
          </w:tcPr>
          <w:p>
            <w:pPr>
              <w:pStyle w:val="TableContents"/>
              <w:bidi w:val="0"/>
              <w:spacing w:before="0" w:after="283"/>
              <w:jc w:val="left"/>
              <w:rPr/>
            </w:pPr>
            <w:r>
              <w:rPr/>
            </w:r>
          </w:p>
        </w:tc>
        <w:tc>
          <w:tcPr>
            <w:tcW w:w="785" w:type="dxa"/>
            <w:tcBorders/>
            <w:vAlign w:val="center"/>
          </w:tcPr>
          <w:p>
            <w:pPr>
              <w:pStyle w:val="TableContents"/>
              <w:bidi w:val="0"/>
              <w:spacing w:before="0" w:after="283"/>
              <w:jc w:val="right"/>
              <w:rPr/>
            </w:pPr>
            <w:r>
              <w:rPr/>
              <w:t>(10.9</w:t>
            </w:r>
          </w:p>
        </w:tc>
        <w:tc>
          <w:tcPr>
            <w:tcW w:w="95"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1530" w:type="dxa"/>
            <w:tcBorders/>
            <w:vAlign w:val="center"/>
          </w:tcPr>
          <w:p>
            <w:pPr>
              <w:pStyle w:val="TableContents"/>
              <w:bidi w:val="0"/>
              <w:spacing w:before="0" w:after="283"/>
              <w:jc w:val="right"/>
              <w:rPr/>
            </w:pPr>
            <w:r>
              <w:rPr/>
              <w:t>45</w:t>
            </w:r>
          </w:p>
        </w:tc>
        <w:tc>
          <w:tcPr>
            <w:tcW w:w="215" w:type="dxa"/>
            <w:tcBorders/>
            <w:vAlign w:val="center"/>
          </w:tcPr>
          <w:p>
            <w:pPr>
              <w:pStyle w:val="TableContents"/>
              <w:bidi w:val="0"/>
              <w:spacing w:before="0" w:after="283"/>
              <w:jc w:val="left"/>
              <w:rPr/>
            </w:pPr>
            <w:r>
              <w:rPr/>
              <w:t>%</w:t>
            </w:r>
          </w:p>
        </w:tc>
        <w:tc>
          <w:tcPr>
            <w:tcW w:w="47" w:type="dxa"/>
            <w:tcBorders/>
            <w:vAlign w:val="center"/>
          </w:tcPr>
          <w:p>
            <w:pPr>
              <w:pStyle w:val="TableContents"/>
              <w:bidi w:val="0"/>
              <w:spacing w:before="0" w:after="283"/>
              <w:jc w:val="left"/>
              <w:rPr/>
            </w:pPr>
            <w:r>
              <w:rPr/>
            </w:r>
          </w:p>
        </w:tc>
      </w:tr>
      <w:tr>
        <w:trPr/>
        <w:tc>
          <w:tcPr>
            <w:tcW w:w="1199" w:type="dxa"/>
            <w:tcBorders/>
            <w:shd w:fill="CCEEFF" w:val="clear"/>
            <w:vAlign w:val="center"/>
          </w:tcPr>
          <w:p>
            <w:pPr>
              <w:pStyle w:val="TableContents"/>
              <w:widowControl/>
              <w:bidi w:val="0"/>
              <w:spacing w:before="0" w:after="0"/>
              <w:ind w:left="0" w:right="0" w:hanging="18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Foreign currency exchange income (loss), net</w:t>
            </w:r>
          </w:p>
        </w:tc>
        <w:tc>
          <w:tcPr>
            <w:tcW w:w="60" w:type="dxa"/>
            <w:tcBorders/>
            <w:shd w:fill="CCEEFF" w:val="clear"/>
            <w:vAlign w:val="center"/>
          </w:tcPr>
          <w:p>
            <w:pPr>
              <w:pStyle w:val="TableContents"/>
              <w:bidi w:val="0"/>
              <w:spacing w:before="0" w:after="0"/>
              <w:jc w:val="left"/>
              <w:rPr/>
            </w:pPr>
            <w:r>
              <w:rPr/>
              <w:t> </w:t>
            </w:r>
          </w:p>
        </w:tc>
        <w:tc>
          <w:tcPr>
            <w:tcW w:w="644"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1.5</w:t>
            </w:r>
          </w:p>
        </w:tc>
        <w:tc>
          <w:tcPr>
            <w:tcW w:w="108" w:type="dxa"/>
            <w:tcBorders/>
            <w:shd w:fill="CCEEFF" w:val="clear"/>
            <w:vAlign w:val="center"/>
          </w:tcPr>
          <w:p>
            <w:pPr>
              <w:pStyle w:val="TableContents"/>
              <w:bidi w:val="0"/>
              <w:spacing w:before="0" w:after="283"/>
              <w:jc w:val="left"/>
              <w:rPr>
                <w:sz w:val="4"/>
                <w:szCs w:val="4"/>
              </w:rPr>
            </w:pPr>
            <w:r>
              <w:rPr>
                <w:sz w:val="4"/>
                <w:szCs w:val="4"/>
              </w:rPr>
            </w:r>
          </w:p>
        </w:tc>
        <w:tc>
          <w:tcPr>
            <w:tcW w:w="68" w:type="dxa"/>
            <w:tcBorders/>
            <w:shd w:fill="CCEEFF" w:val="cle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6.3</w:t>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(4.8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530"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(76)</w:t>
            </w:r>
          </w:p>
        </w:tc>
        <w:tc>
          <w:tcPr>
            <w:tcW w:w="185"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23" w:type="dxa"/>
            <w:tcBorders/>
            <w:shd w:fill="CCEEFF" w:val="clear"/>
            <w:vAlign w:val="center"/>
          </w:tcPr>
          <w:p>
            <w:pPr>
              <w:pStyle w:val="TableContents"/>
              <w:bidi w:val="0"/>
              <w:spacing w:before="0" w:after="283"/>
              <w:jc w:val="left"/>
              <w:rPr/>
            </w:pPr>
            <w:r>
              <w:rPr/>
            </w:r>
          </w:p>
        </w:tc>
        <w:tc>
          <w:tcPr>
            <w:tcW w:w="147" w:type="dxa"/>
            <w:tcBorders/>
            <w:shd w:fill="CCEEFF" w:val="clear"/>
            <w:vAlign w:val="center"/>
          </w:tcPr>
          <w:p>
            <w:pPr>
              <w:pStyle w:val="TableContents"/>
              <w:bidi w:val="0"/>
              <w:spacing w:before="0" w:after="283"/>
              <w:jc w:val="left"/>
              <w:rPr/>
            </w:pPr>
            <w:r>
              <w:rPr/>
            </w:r>
          </w:p>
        </w:tc>
        <w:tc>
          <w:tcPr>
            <w:tcW w:w="543" w:type="dxa"/>
            <w:tcBorders/>
            <w:shd w:fill="CCEEFF" w:val="clear"/>
            <w:vAlign w:val="center"/>
          </w:tcPr>
          <w:p>
            <w:pPr>
              <w:pStyle w:val="TableContents"/>
              <w:bidi w:val="0"/>
              <w:spacing w:before="0" w:after="283"/>
              <w:jc w:val="right"/>
              <w:rPr/>
            </w:pPr>
            <w:r>
              <w:rPr/>
              <w:t>(11.0</w:t>
            </w:r>
          </w:p>
        </w:tc>
        <w:tc>
          <w:tcPr>
            <w:tcW w:w="100" w:type="dxa"/>
            <w:tcBorders/>
            <w:shd w:fill="CCEEFF" w:val="clear"/>
            <w:vAlign w:val="center"/>
          </w:tcPr>
          <w:p>
            <w:pPr>
              <w:pStyle w:val="TableContents"/>
              <w:bidi w:val="0"/>
              <w:spacing w:before="0" w:after="283"/>
              <w:jc w:val="left"/>
              <w:rPr/>
            </w:pPr>
            <w:r>
              <w:rPr/>
              <w:t>)</w:t>
            </w:r>
          </w:p>
        </w:tc>
        <w:tc>
          <w:tcPr>
            <w:tcW w:w="24" w:type="dxa"/>
            <w:tcBorders/>
            <w:shd w:fill="CCEEFF" w:val="clear"/>
            <w:vAlign w:val="center"/>
          </w:tcPr>
          <w:p>
            <w:pPr>
              <w:pStyle w:val="TableContents"/>
              <w:bidi w:val="0"/>
              <w:spacing w:before="0" w:after="283"/>
              <w:jc w:val="left"/>
              <w:rPr/>
            </w:pPr>
            <w:r>
              <w:rPr/>
            </w:r>
          </w:p>
        </w:tc>
        <w:tc>
          <w:tcPr>
            <w:tcW w:w="147" w:type="dxa"/>
            <w:tcBorders/>
            <w:shd w:fill="CCEEFF" w:val="clear"/>
            <w:vAlign w:val="center"/>
          </w:tcPr>
          <w:p>
            <w:pPr>
              <w:pStyle w:val="TableContents"/>
              <w:bidi w:val="0"/>
              <w:spacing w:before="0" w:after="283"/>
              <w:jc w:val="left"/>
              <w:rPr/>
            </w:pPr>
            <w:r>
              <w:rPr/>
            </w:r>
          </w:p>
        </w:tc>
        <w:tc>
          <w:tcPr>
            <w:tcW w:w="543" w:type="dxa"/>
            <w:tcBorders/>
            <w:shd w:fill="CCEEFF" w:val="clear"/>
            <w:vAlign w:val="center"/>
          </w:tcPr>
          <w:p>
            <w:pPr>
              <w:pStyle w:val="TableContents"/>
              <w:bidi w:val="0"/>
              <w:spacing w:before="0" w:after="283"/>
              <w:jc w:val="right"/>
              <w:rPr/>
            </w:pPr>
            <w:r>
              <w:rPr/>
              <w:t>5.2</w:t>
            </w:r>
          </w:p>
        </w:tc>
        <w:tc>
          <w:tcPr>
            <w:tcW w:w="100"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212" w:type="dxa"/>
            <w:tcBorders/>
            <w:shd w:fill="CCEEFF" w:val="clear"/>
            <w:vAlign w:val="center"/>
          </w:tcPr>
          <w:p>
            <w:pPr>
              <w:pStyle w:val="TableContents"/>
              <w:bidi w:val="0"/>
              <w:spacing w:before="0" w:after="283"/>
              <w:jc w:val="left"/>
              <w:rPr/>
            </w:pPr>
            <w:r>
              <w:rPr/>
            </w:r>
          </w:p>
        </w:tc>
        <w:tc>
          <w:tcPr>
            <w:tcW w:w="785" w:type="dxa"/>
            <w:tcBorders/>
            <w:shd w:fill="CCEEFF" w:val="clear"/>
            <w:vAlign w:val="center"/>
          </w:tcPr>
          <w:p>
            <w:pPr>
              <w:pStyle w:val="TableContents"/>
              <w:bidi w:val="0"/>
              <w:spacing w:before="0" w:after="283"/>
              <w:jc w:val="right"/>
              <w:rPr/>
            </w:pPr>
            <w:r>
              <w:rPr/>
              <w:t>(16.2</w:t>
            </w:r>
          </w:p>
        </w:tc>
        <w:tc>
          <w:tcPr>
            <w:tcW w:w="95"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1530" w:type="dxa"/>
            <w:tcBorders/>
            <w:shd w:fill="CCEEFF" w:val="clear"/>
            <w:vAlign w:val="center"/>
          </w:tcPr>
          <w:p>
            <w:pPr>
              <w:pStyle w:val="TableContents"/>
              <w:bidi w:val="0"/>
              <w:spacing w:before="0" w:after="283"/>
              <w:jc w:val="right"/>
              <w:rPr/>
            </w:pPr>
            <w:r>
              <w:rPr/>
              <w:t>(312)</w:t>
            </w:r>
          </w:p>
        </w:tc>
        <w:tc>
          <w:tcPr>
            <w:tcW w:w="215" w:type="dxa"/>
            <w:tcBorders/>
            <w:shd w:fill="CCEEFF" w:val="clear"/>
            <w:vAlign w:val="center"/>
          </w:tcPr>
          <w:p>
            <w:pPr>
              <w:pStyle w:val="TableContents"/>
              <w:bidi w:val="0"/>
              <w:spacing w:before="0" w:after="283"/>
              <w:jc w:val="left"/>
              <w:rPr/>
            </w:pPr>
            <w:r>
              <w:rPr/>
              <w:t>%</w:t>
            </w:r>
          </w:p>
        </w:tc>
        <w:tc>
          <w:tcPr>
            <w:tcW w:w="47" w:type="dxa"/>
            <w:tcBorders/>
            <w:shd w:fill="CCEEFF" w:val="clear"/>
            <w:vAlign w:val="center"/>
          </w:tcPr>
          <w:p>
            <w:pPr>
              <w:pStyle w:val="TableContents"/>
              <w:bidi w:val="0"/>
              <w:spacing w:before="0" w:after="283"/>
              <w:jc w:val="left"/>
              <w:rPr/>
            </w:pPr>
            <w:r>
              <w:rPr/>
            </w:r>
          </w:p>
        </w:tc>
      </w:tr>
      <w:tr>
        <w:trPr/>
        <w:tc>
          <w:tcPr>
            <w:tcW w:w="1199" w:type="dxa"/>
            <w:tcBorders/>
            <w:vAlign w:val="center"/>
          </w:tcPr>
          <w:p>
            <w:pPr>
              <w:pStyle w:val="TableContents"/>
              <w:widowControl/>
              <w:bidi w:val="0"/>
              <w:spacing w:before="0" w:after="0"/>
              <w:ind w:left="0" w:right="0" w:hanging="18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Other gains (losses)</w:t>
            </w:r>
          </w:p>
        </w:tc>
        <w:tc>
          <w:tcPr>
            <w:tcW w:w="60" w:type="dxa"/>
            <w:tcBorders/>
            <w:vAlign w:val="center"/>
          </w:tcPr>
          <w:p>
            <w:pPr>
              <w:pStyle w:val="TableContents"/>
              <w:bidi w:val="0"/>
              <w:spacing w:before="0" w:after="0"/>
              <w:jc w:val="left"/>
              <w:rPr/>
            </w:pPr>
            <w:r>
              <w:rPr/>
              <w:t> </w:t>
            </w:r>
          </w:p>
        </w:tc>
        <w:tc>
          <w:tcPr>
            <w:tcW w:w="644"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0.8</w:t>
            </w:r>
          </w:p>
        </w:tc>
        <w:tc>
          <w:tcPr>
            <w:tcW w:w="108"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0"/>
              <w:jc w:val="left"/>
              <w:rPr/>
            </w:pPr>
            <w:r>
              <w:rPr/>
              <w:t> </w:t>
            </w:r>
          </w:p>
        </w:tc>
        <w:tc>
          <w:tcPr>
            <w:tcW w:w="524"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(0.1)</w:t>
            </w:r>
          </w:p>
        </w:tc>
        <w:tc>
          <w:tcPr>
            <w:tcW w:w="95" w:type="dxa"/>
            <w:tcBorders/>
            <w:vAlign w:val="center"/>
          </w:tcPr>
          <w:p>
            <w:pPr>
              <w:pStyle w:val="TableContents"/>
              <w:bidi w:val="0"/>
              <w:spacing w:before="0" w:after="0"/>
              <w:jc w:val="right"/>
              <w:rPr>
                <w:sz w:val="20"/>
              </w:rPr>
            </w:pPr>
            <w:r>
              <w:rPr>
                <w:sz w:val="20"/>
              </w:rPr>
            </w:r>
          </w:p>
        </w:tc>
        <w:tc>
          <w:tcPr>
            <w:tcW w:w="60" w:type="dxa"/>
            <w:tcBorders/>
            <w:vAlign w:val="center"/>
          </w:tcPr>
          <w:p>
            <w:pPr>
              <w:pStyle w:val="TableContents"/>
              <w:bidi w:val="0"/>
              <w:spacing w:before="0" w:after="0"/>
              <w:jc w:val="left"/>
              <w:rPr/>
            </w:pPr>
            <w:r>
              <w:rPr/>
              <w:t> </w:t>
            </w:r>
          </w:p>
        </w:tc>
        <w:tc>
          <w:tcPr>
            <w:tcW w:w="997"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0.9</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N/A</w:t>
            </w:r>
          </w:p>
        </w:tc>
        <w:tc>
          <w:tcPr>
            <w:tcW w:w="18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pPr>
            <w:r>
              <w:rPr/>
            </w:r>
          </w:p>
        </w:tc>
        <w:tc>
          <w:tcPr>
            <w:tcW w:w="147" w:type="dxa"/>
            <w:tcBorders/>
            <w:vAlign w:val="center"/>
          </w:tcPr>
          <w:p>
            <w:pPr>
              <w:pStyle w:val="TableContents"/>
              <w:bidi w:val="0"/>
              <w:spacing w:before="0" w:after="283"/>
              <w:jc w:val="left"/>
              <w:rPr/>
            </w:pPr>
            <w:r>
              <w:rPr/>
            </w:r>
          </w:p>
        </w:tc>
        <w:tc>
          <w:tcPr>
            <w:tcW w:w="543" w:type="dxa"/>
            <w:tcBorders/>
            <w:vAlign w:val="center"/>
          </w:tcPr>
          <w:p>
            <w:pPr>
              <w:pStyle w:val="TableContents"/>
              <w:bidi w:val="0"/>
              <w:spacing w:before="0" w:after="283"/>
              <w:jc w:val="right"/>
              <w:rPr/>
            </w:pPr>
            <w:r>
              <w:rPr/>
              <w:t>0.7</w:t>
            </w:r>
          </w:p>
        </w:tc>
        <w:tc>
          <w:tcPr>
            <w:tcW w:w="100" w:type="dxa"/>
            <w:tcBorders/>
            <w:vAlign w:val="center"/>
          </w:tcPr>
          <w:p>
            <w:pPr>
              <w:pStyle w:val="TableContents"/>
              <w:bidi w:val="0"/>
              <w:spacing w:before="0" w:after="283"/>
              <w:jc w:val="left"/>
              <w:rPr/>
            </w:pPr>
            <w:r>
              <w:rPr/>
            </w:r>
          </w:p>
        </w:tc>
        <w:tc>
          <w:tcPr>
            <w:tcW w:w="24" w:type="dxa"/>
            <w:tcBorders/>
            <w:vAlign w:val="center"/>
          </w:tcPr>
          <w:p>
            <w:pPr>
              <w:pStyle w:val="TableContents"/>
              <w:bidi w:val="0"/>
              <w:spacing w:before="0" w:after="283"/>
              <w:jc w:val="left"/>
              <w:rPr/>
            </w:pPr>
            <w:r>
              <w:rPr/>
            </w:r>
          </w:p>
        </w:tc>
        <w:tc>
          <w:tcPr>
            <w:tcW w:w="147" w:type="dxa"/>
            <w:tcBorders/>
            <w:vAlign w:val="center"/>
          </w:tcPr>
          <w:p>
            <w:pPr>
              <w:pStyle w:val="TableContents"/>
              <w:bidi w:val="0"/>
              <w:spacing w:before="0" w:after="283"/>
              <w:jc w:val="left"/>
              <w:rPr/>
            </w:pPr>
            <w:r>
              <w:rPr/>
            </w:r>
          </w:p>
        </w:tc>
        <w:tc>
          <w:tcPr>
            <w:tcW w:w="543" w:type="dxa"/>
            <w:tcBorders/>
            <w:vAlign w:val="center"/>
          </w:tcPr>
          <w:p>
            <w:pPr>
              <w:pStyle w:val="TableContents"/>
              <w:bidi w:val="0"/>
              <w:spacing w:before="0" w:after="283"/>
              <w:jc w:val="right"/>
              <w:rPr/>
            </w:pPr>
            <w:r>
              <w:rPr/>
              <w:t>(0.1</w:t>
            </w:r>
          </w:p>
        </w:tc>
        <w:tc>
          <w:tcPr>
            <w:tcW w:w="100"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r>
          </w:p>
        </w:tc>
        <w:tc>
          <w:tcPr>
            <w:tcW w:w="212" w:type="dxa"/>
            <w:tcBorders/>
            <w:vAlign w:val="center"/>
          </w:tcPr>
          <w:p>
            <w:pPr>
              <w:pStyle w:val="TableContents"/>
              <w:bidi w:val="0"/>
              <w:spacing w:before="0" w:after="283"/>
              <w:jc w:val="left"/>
              <w:rPr/>
            </w:pPr>
            <w:r>
              <w:rPr/>
            </w:r>
          </w:p>
        </w:tc>
        <w:tc>
          <w:tcPr>
            <w:tcW w:w="785" w:type="dxa"/>
            <w:tcBorders/>
            <w:vAlign w:val="center"/>
          </w:tcPr>
          <w:p>
            <w:pPr>
              <w:pStyle w:val="TableContents"/>
              <w:bidi w:val="0"/>
              <w:spacing w:before="0" w:after="283"/>
              <w:jc w:val="right"/>
              <w:rPr/>
            </w:pPr>
            <w:r>
              <w:rPr/>
              <w:t>0.8</w:t>
            </w:r>
          </w:p>
        </w:tc>
        <w:tc>
          <w:tcPr>
            <w:tcW w:w="95"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1530" w:type="dxa"/>
            <w:tcBorders/>
            <w:vAlign w:val="center"/>
          </w:tcPr>
          <w:p>
            <w:pPr>
              <w:pStyle w:val="TableContents"/>
              <w:bidi w:val="0"/>
              <w:spacing w:before="0" w:after="283"/>
              <w:jc w:val="right"/>
              <w:rPr/>
            </w:pPr>
            <w:r>
              <w:rPr/>
              <w:t>(800)</w:t>
            </w:r>
          </w:p>
        </w:tc>
        <w:tc>
          <w:tcPr>
            <w:tcW w:w="215" w:type="dxa"/>
            <w:tcBorders/>
            <w:vAlign w:val="center"/>
          </w:tcPr>
          <w:p>
            <w:pPr>
              <w:pStyle w:val="TableContents"/>
              <w:bidi w:val="0"/>
              <w:spacing w:before="0" w:after="283"/>
              <w:jc w:val="left"/>
              <w:rPr/>
            </w:pPr>
            <w:r>
              <w:rPr/>
              <w:t>%</w:t>
            </w:r>
          </w:p>
        </w:tc>
        <w:tc>
          <w:tcPr>
            <w:tcW w:w="47" w:type="dxa"/>
            <w:tcBorders/>
            <w:vAlign w:val="center"/>
          </w:tcPr>
          <w:p>
            <w:pPr>
              <w:pStyle w:val="TableContents"/>
              <w:bidi w:val="0"/>
              <w:spacing w:before="0" w:after="283"/>
              <w:jc w:val="left"/>
              <w:rPr/>
            </w:pPr>
            <w:r>
              <w:rPr/>
            </w:r>
          </w:p>
        </w:tc>
      </w:tr>
      <w:tr>
        <w:trPr/>
        <w:tc>
          <w:tcPr>
            <w:tcW w:w="1199" w:type="dxa"/>
            <w:tcBorders/>
            <w:shd w:fill="CCEEFF" w:val="clear"/>
            <w:vAlign w:val="center"/>
          </w:tcPr>
          <w:p>
            <w:pPr>
              <w:pStyle w:val="TableContents"/>
              <w:widowControl/>
              <w:bidi w:val="0"/>
              <w:spacing w:before="0" w:after="0"/>
              <w:ind w:left="0" w:right="0" w:hanging="18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Other expense, net</w:t>
            </w:r>
          </w:p>
        </w:tc>
        <w:tc>
          <w:tcPr>
            <w:tcW w:w="60"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502"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(11.9</w:t>
            </w:r>
          </w:p>
        </w:tc>
        <w:tc>
          <w:tcPr>
            <w:tcW w:w="108"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sz w:val="4"/>
                <w:szCs w:val="4"/>
              </w:rPr>
            </w:pPr>
            <w:r>
              <w:rPr>
                <w:sz w:val="4"/>
                <w:szCs w:val="4"/>
              </w:rPr>
            </w:r>
          </w:p>
        </w:tc>
        <w:tc>
          <w:tcPr>
            <w:tcW w:w="142"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382"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r>
          </w:p>
        </w:tc>
        <w:tc>
          <w:tcPr>
            <w:tcW w:w="270"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727"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530"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177</w:t>
            </w:r>
          </w:p>
        </w:tc>
        <w:tc>
          <w:tcPr>
            <w:tcW w:w="185"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23" w:type="dxa"/>
            <w:tcBorders/>
            <w:shd w:fill="CCEEFF" w:val="clear"/>
            <w:vAlign w:val="center"/>
          </w:tcPr>
          <w:p>
            <w:pPr>
              <w:pStyle w:val="TableContents"/>
              <w:bidi w:val="0"/>
              <w:spacing w:before="0" w:after="283"/>
              <w:jc w:val="left"/>
              <w:rPr/>
            </w:pPr>
            <w:r>
              <w:rPr/>
            </w:r>
          </w:p>
        </w:tc>
        <w:tc>
          <w:tcPr>
            <w:tcW w:w="147" w:type="dxa"/>
            <w:tcBorders/>
            <w:shd w:fill="CCEEFF" w:val="clear"/>
            <w:vAlign w:val="center"/>
          </w:tcPr>
          <w:p>
            <w:pPr>
              <w:pStyle w:val="TableContents"/>
              <w:bidi w:val="0"/>
              <w:spacing w:before="0" w:after="283"/>
              <w:jc w:val="left"/>
              <w:rPr/>
            </w:pPr>
            <w:r>
              <w:rPr/>
              <w:t>$</w:t>
            </w:r>
          </w:p>
        </w:tc>
        <w:tc>
          <w:tcPr>
            <w:tcW w:w="543" w:type="dxa"/>
            <w:tcBorders/>
            <w:shd w:fill="CCEEFF" w:val="clear"/>
            <w:vAlign w:val="center"/>
          </w:tcPr>
          <w:p>
            <w:pPr>
              <w:pStyle w:val="TableContents"/>
              <w:bidi w:val="0"/>
              <w:spacing w:before="0" w:after="283"/>
              <w:jc w:val="right"/>
              <w:rPr/>
            </w:pPr>
            <w:r>
              <w:rPr/>
              <w:t>(33.7</w:t>
            </w:r>
          </w:p>
        </w:tc>
        <w:tc>
          <w:tcPr>
            <w:tcW w:w="100" w:type="dxa"/>
            <w:tcBorders/>
            <w:shd w:fill="CCEEFF" w:val="clear"/>
            <w:vAlign w:val="center"/>
          </w:tcPr>
          <w:p>
            <w:pPr>
              <w:pStyle w:val="TableContents"/>
              <w:bidi w:val="0"/>
              <w:spacing w:before="0" w:after="283"/>
              <w:jc w:val="left"/>
              <w:rPr/>
            </w:pPr>
            <w:r>
              <w:rPr/>
              <w:t>)</w:t>
            </w:r>
          </w:p>
        </w:tc>
        <w:tc>
          <w:tcPr>
            <w:tcW w:w="24" w:type="dxa"/>
            <w:tcBorders/>
            <w:shd w:fill="CCEEFF" w:val="clear"/>
            <w:vAlign w:val="center"/>
          </w:tcPr>
          <w:p>
            <w:pPr>
              <w:pStyle w:val="TableContents"/>
              <w:bidi w:val="0"/>
              <w:spacing w:before="0" w:after="283"/>
              <w:jc w:val="left"/>
              <w:rPr/>
            </w:pPr>
            <w:r>
              <w:rPr/>
            </w:r>
          </w:p>
        </w:tc>
        <w:tc>
          <w:tcPr>
            <w:tcW w:w="147" w:type="dxa"/>
            <w:tcBorders/>
            <w:shd w:fill="CCEEFF" w:val="clear"/>
            <w:vAlign w:val="center"/>
          </w:tcPr>
          <w:p>
            <w:pPr>
              <w:pStyle w:val="TableContents"/>
              <w:bidi w:val="0"/>
              <w:spacing w:before="0" w:after="283"/>
              <w:jc w:val="left"/>
              <w:rPr/>
            </w:pPr>
            <w:r>
              <w:rPr/>
              <w:t>$</w:t>
            </w:r>
          </w:p>
        </w:tc>
        <w:tc>
          <w:tcPr>
            <w:tcW w:w="543" w:type="dxa"/>
            <w:tcBorders/>
            <w:shd w:fill="CCEEFF" w:val="clear"/>
            <w:vAlign w:val="center"/>
          </w:tcPr>
          <w:p>
            <w:pPr>
              <w:pStyle w:val="TableContents"/>
              <w:bidi w:val="0"/>
              <w:spacing w:before="0" w:after="283"/>
              <w:jc w:val="right"/>
              <w:rPr/>
            </w:pPr>
            <w:r>
              <w:rPr/>
              <w:t>(12.9</w:t>
            </w:r>
          </w:p>
        </w:tc>
        <w:tc>
          <w:tcPr>
            <w:tcW w:w="100"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r>
          </w:p>
        </w:tc>
        <w:tc>
          <w:tcPr>
            <w:tcW w:w="212"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(20.8</w:t>
            </w:r>
          </w:p>
        </w:tc>
        <w:tc>
          <w:tcPr>
            <w:tcW w:w="95"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1530" w:type="dxa"/>
            <w:tcBorders/>
            <w:shd w:fill="CCEEFF" w:val="clear"/>
            <w:vAlign w:val="center"/>
          </w:tcPr>
          <w:p>
            <w:pPr>
              <w:pStyle w:val="TableContents"/>
              <w:bidi w:val="0"/>
              <w:spacing w:before="0" w:after="283"/>
              <w:jc w:val="right"/>
              <w:rPr/>
            </w:pPr>
            <w:r>
              <w:rPr/>
              <w:t>161</w:t>
            </w:r>
          </w:p>
        </w:tc>
        <w:tc>
          <w:tcPr>
            <w:tcW w:w="215" w:type="dxa"/>
            <w:tcBorders/>
            <w:shd w:fill="CCEEFF" w:val="clear"/>
            <w:vAlign w:val="center"/>
          </w:tcPr>
          <w:p>
            <w:pPr>
              <w:pStyle w:val="TableContents"/>
              <w:bidi w:val="0"/>
              <w:spacing w:before="0" w:after="283"/>
              <w:jc w:val="left"/>
              <w:rPr/>
            </w:pPr>
            <w:r>
              <w:rPr/>
              <w:t>%</w:t>
            </w:r>
          </w:p>
        </w:tc>
        <w:tc>
          <w:tcPr>
            <w:tcW w:w="47" w:type="dxa"/>
            <w:tcBorders/>
            <w:shd w:fill="CCEEFF" w:val="clear"/>
            <w:vAlign w:val="center"/>
          </w:tcPr>
          <w:p>
            <w:pPr>
              <w:pStyle w:val="TableContents"/>
              <w:bidi w:val="0"/>
              <w:spacing w:before="0" w:after="283"/>
              <w:jc w:val="left"/>
              <w:rPr/>
            </w:pPr>
            <w:r>
              <w:rPr/>
            </w:r>
          </w:p>
        </w:tc>
      </w:tr>
    </w:tbl>
    <w:p>
      <w:pPr>
        <w:pStyle w:val="TextBody"/>
        <w:widowControl/>
        <w:bidi w:val="0"/>
        <w:jc w:val="left"/>
        <w:rPr>
          <w:rFonts w:ascii="Times New Roman" w:hAnsi="Times New Roman" w:eastAsia="Times New Roman" w:cs="Times New Roman"/>
          <w:b w:val="false"/>
          <w:b w:val="false"/>
          <w:bCs w:val="false"/>
          <w:i w:val="false"/>
          <w:i w:val="false"/>
          <w:iCs w:val="false"/>
          <w:caps w:val="false"/>
          <w:smallCaps w:val="false"/>
          <w:color w:val="000000"/>
          <w:spacing w:val="0"/>
          <w:sz w:val="20"/>
          <w:szCs w:val="20"/>
        </w:rPr>
      </w:pPr>
      <w:r>
        <w:rPr>
          <w:rFonts w:eastAsia="Times New Roman" w:cs="Times New Roman" w:ascii="Times New Roman" w:hAnsi="Times New Roman"/>
          <w:b w:val="false"/>
          <w:bCs w:val="false"/>
          <w:i w:val="false"/>
          <w:iCs w:val="false"/>
          <w:caps w:val="false"/>
          <w:smallCaps w:val="false"/>
          <w:color w:val="000000"/>
          <w:spacing w:val="0"/>
          <w:sz w:val="20"/>
          <w:szCs w:val="20"/>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widowControl/>
        <w:bidi w:val="0"/>
        <w:spacing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times" w:hAnsi="times new roman;times"/>
          <w:b w:val="false"/>
          <w:i/>
          <w:caps w:val="false"/>
          <w:smallCaps w:val="false"/>
          <w:color w:val="000000"/>
          <w:spacing w:val="0"/>
          <w:sz w:val="20"/>
        </w:rPr>
        <w:t>Interest income</w:t>
        <w:br/>
        <w:br/>
      </w:r>
      <w:r>
        <w:rPr>
          <w:rFonts w:ascii="times new roman;times" w:hAnsi="times new roman;times"/>
          <w:b w:val="false"/>
          <w:i w:val="false"/>
          <w:caps w:val="false"/>
          <w:smallCaps w:val="false"/>
          <w:color w:val="000000"/>
          <w:spacing w:val="0"/>
          <w:sz w:val="20"/>
        </w:rPr>
        <w:t>Interest income was $5.9 million for the three months ended June 30, 2024, an increase of $2.4</w:t>
      </w:r>
      <w:r>
        <w:rPr>
          <w:rFonts w:ascii="Times New Roman" w:hAnsi="Times New Roman"/>
          <w:b w:val="false"/>
          <w:i w:val="false"/>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million or 69% compared to the same period in 2023. Interest income was $11.6 million for the six months ended June 30, 2024, an increase of $5.5 million or 90% compared to the same period in 2023.This increase was driven by an increase in interest rates on our interest bearing bank accounts. </w:t>
      </w:r>
    </w:p>
    <w:p>
      <w:pPr>
        <w:pStyle w:val="TextBody"/>
        <w:widowControl/>
        <w:bidi w:val="0"/>
        <w:spacing w:before="0" w:after="0"/>
        <w:ind w:left="0" w:right="0" w:hanging="0"/>
        <w:jc w:val="both"/>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r>
    </w:p>
    <w:p>
      <w:pPr>
        <w:pStyle w:val="TextBody"/>
        <w:widowControl/>
        <w:bidi w:val="0"/>
        <w:spacing w:before="0" w:after="0"/>
        <w:ind w:left="0" w:right="0" w:hanging="0"/>
        <w:jc w:val="both"/>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Interest expense</w:t>
      </w:r>
    </w:p>
    <w:p>
      <w:pPr>
        <w:pStyle w:val="TextBody"/>
        <w:widowControl/>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Interest expense was $20.1 million for the three months ended June 30, 2024, an increase of $</w:t>
      </w:r>
      <w:r>
        <w:rPr>
          <w:rFonts w:ascii="times new roman;times" w:hAnsi="times new roman;times"/>
          <w:b w:val="false"/>
          <w:i w:val="false"/>
          <w:caps w:val="false"/>
          <w:smallCaps w:val="false"/>
          <w:color w:val="000000"/>
          <w:spacing w:val="0"/>
          <w:sz w:val="20"/>
        </w:rPr>
        <w:t>6.1</w:t>
      </w:r>
      <w:r>
        <w:rPr>
          <w:rFonts w:ascii="Times New Roman" w:hAnsi="Times New Roman"/>
          <w:b w:val="false"/>
          <w:i w:val="false"/>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million or 44% compared to the same period in 2023. Interest expense was $35.0 million for the six months ended June 30, 2024, an increase of $10.9 million or 45% compared to the same period in 2023. This increase was driven by an increase in interest rates and outstanding balances on our Credit Facility and uncommitted credit facilities.</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br/>
      </w:r>
      <w:r>
        <w:rPr>
          <w:rFonts w:ascii="times new roman;times" w:hAnsi="times new roman;times"/>
          <w:b w:val="false"/>
          <w:i/>
          <w:caps w:val="false"/>
          <w:smallCaps w:val="false"/>
          <w:color w:val="000000"/>
          <w:spacing w:val="0"/>
          <w:sz w:val="20"/>
        </w:rPr>
        <w:t>Foreign currency exchange loss, net</w:t>
        <w:br/>
      </w:r>
      <w:r>
        <w:rPr>
          <w:rFonts w:ascii="Times New Roman" w:hAnsi="Times New Roman"/>
          <w:b w:val="false"/>
          <w:i w:val="false"/>
          <w:caps w:val="false"/>
          <w:smallCaps w:val="false"/>
          <w:color w:val="000000"/>
          <w:spacing w:val="0"/>
          <w:sz w:val="20"/>
        </w:rPr>
        <w:br/>
      </w:r>
      <w:r>
        <w:rPr>
          <w:rFonts w:ascii="times new roman;times" w:hAnsi="times new roman;times"/>
          <w:b w:val="false"/>
          <w:i w:val="false"/>
          <w:caps w:val="false"/>
          <w:smallCaps w:val="false"/>
          <w:color w:val="000000"/>
          <w:spacing w:val="0"/>
          <w:sz w:val="20"/>
        </w:rPr>
        <w:t>Foreign currency exchange activity includes gains and losses on certain foreign currency exchange derivative contracts and the impact of remeasurement of assets and liabilities denominated in foreign currencies. Assets and liabilities denominated in currencies other than the local currency of each of our subsidiaries give rise to foreign currency exchange gains and losses. Foreign currency exchange gains and losses that result from remeasurement of these assets and liabilities are recorded in net income. </w:t>
      </w:r>
    </w:p>
    <w:p>
      <w:pPr>
        <w:pStyle w:val="TextBody"/>
        <w:widowControl/>
        <w:bidi w:val="0"/>
        <w:spacing w:before="0" w:after="0"/>
        <w:ind w:left="0" w:right="0" w:hanging="0"/>
        <w:jc w:val="both"/>
        <w:rPr>
          <w:caps w:val="false"/>
          <w:smallCaps w:val="false"/>
          <w:color w:val="000000"/>
          <w:spacing w:val="0"/>
        </w:rPr>
      </w:pPr>
      <w:r>
        <w:rPr>
          <w:caps w:val="false"/>
          <w:smallCaps w:val="false"/>
          <w:color w:val="000000"/>
          <w:spacing w:val="0"/>
        </w:rPr>
        <w:t> </w:t>
      </w:r>
      <w:r>
        <w:rPr>
          <w:rFonts w:ascii="times new roman;times" w:hAnsi="times new roman;times"/>
          <w:b w:val="false"/>
          <w:i w:val="false"/>
          <w:caps w:val="false"/>
          <w:smallCaps w:val="false"/>
          <w:color w:val="000000"/>
          <w:spacing w:val="0"/>
          <w:sz w:val="20"/>
        </w:rPr>
        <w:br/>
        <w:t>We recorded net foreign currency exchange income of $1.5 million and loss of ($11.0) million for the </w:t>
      </w:r>
      <w:r>
        <w:rPr>
          <w:rFonts w:ascii="times new roman;times" w:hAnsi="times new roman;times"/>
          <w:b w:val="false"/>
          <w:i w:val="false"/>
          <w:caps w:val="false"/>
          <w:smallCaps w:val="false"/>
          <w:color w:val="000000"/>
          <w:spacing w:val="0"/>
          <w:sz w:val="20"/>
        </w:rPr>
        <w:t>three and six</w:t>
      </w:r>
      <w:r>
        <w:rPr>
          <w:rFonts w:ascii="times new roman;times" w:hAnsi="times new roman;times"/>
          <w:b w:val="false"/>
          <w:i w:val="false"/>
          <w:caps w:val="false"/>
          <w:smallCaps w:val="false"/>
          <w:color w:val="000000"/>
          <w:spacing w:val="0"/>
          <w:sz w:val="20"/>
        </w:rPr>
        <w:t> months ended June 30, 2024, compared to net foreign currency exchange income of $6.3 million and $5.2 million for the same periods in 2023. These realized and unrealized foreign currency exchange losses reflect the fluctuation in the value of the U.S. dollar against the currencies of the countries in which we operated during the respective period.</w:t>
      </w:r>
    </w:p>
    <w:p>
      <w:pPr>
        <w:pStyle w:val="TextBody"/>
        <w:widowControl/>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bidi w:val="0"/>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INCOME TAX EXPENSE</w:t>
      </w:r>
    </w:p>
    <w:p>
      <w:pPr>
        <w:pStyle w:val="TextBody"/>
        <w:widowControl/>
        <w:bidi w:val="0"/>
        <w:spacing w:lineRule="atLeast" w:line="240"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Company's effective income tax rate was 32.0% and 33.5% for the three and six months ended June 30, 2024, compared to 27.3% and 31.9% for the same periods ended June 30, 2023. The Company's effective income tax rate for the three and six months ended June 30, 2024 was higher than the applicable statutory income tax rate of 21% as a result of certain foreign earnings being subject to higher local statutory tax rates and the Company’s U.S. deferred tax activity.</w:t>
      </w:r>
    </w:p>
    <w:p>
      <w:pPr>
        <w:pStyle w:val="TextBody"/>
        <w:widowControl/>
        <w:bidi w:val="0"/>
        <w:spacing w:lineRule="atLeast" w:line="240" w:before="0" w:after="0"/>
        <w:ind w:left="0" w:right="0" w:hanging="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16" w:type="dxa"/>
        <w:jc w:val="left"/>
        <w:tblInd w:w="0" w:type="dxa"/>
        <w:tblLayout w:type="fixed"/>
        <w:tblCellMar>
          <w:top w:w="0" w:type="dxa"/>
          <w:left w:w="0" w:type="dxa"/>
          <w:bottom w:w="0" w:type="dxa"/>
          <w:right w:w="0" w:type="dxa"/>
        </w:tblCellMar>
      </w:tblPr>
      <w:tblGrid>
        <w:gridCol w:w="316"/>
      </w:tblGrid>
      <w:tr>
        <w:trPr/>
        <w:tc>
          <w:tcPr>
            <w:tcW w:w="31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35</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before="0" w:after="0"/>
        <w:jc w:val="left"/>
        <w:rPr>
          <w:sz w:val="20"/>
        </w:rPr>
      </w:pPr>
      <w:r>
        <w:rPr>
          <w:sz w:val="20"/>
        </w:rPr>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bidi w:val="0"/>
        <w:spacing w:before="0" w:after="0"/>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NET INCOME (LOSS) ATTRIBUTABLE TO NONCONTROLLING INTERESTS</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Noncontrolling interests represent the elimination of net income or loss attributable to the minority shareholders’ portion of the following consolidated subsidiaries that are not wholly owned:</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85" w:type="dxa"/>
        <w:jc w:val="left"/>
        <w:tblInd w:w="0" w:type="dxa"/>
        <w:tblLayout w:type="fixed"/>
        <w:tblCellMar>
          <w:top w:w="0" w:type="dxa"/>
          <w:left w:w="0" w:type="dxa"/>
          <w:bottom w:w="0" w:type="dxa"/>
          <w:right w:w="0" w:type="dxa"/>
        </w:tblCellMar>
      </w:tblPr>
      <w:tblGrid>
        <w:gridCol w:w="1415"/>
        <w:gridCol w:w="60"/>
        <w:gridCol w:w="1130"/>
        <w:gridCol w:w="60"/>
        <w:gridCol w:w="1520"/>
      </w:tblGrid>
      <w:tr>
        <w:trPr/>
        <w:tc>
          <w:tcPr>
            <w:tcW w:w="1415" w:type="dxa"/>
            <w:tcBorders/>
            <w:vAlign w:val="center"/>
          </w:tcPr>
          <w:p>
            <w:pPr>
              <w:pStyle w:val="TableContents"/>
              <w:bidi w:val="0"/>
              <w:spacing w:before="0" w:after="0"/>
              <w:jc w:val="left"/>
              <w:rPr>
                <w:rFonts w:ascii="times new roman;times" w:hAnsi="times new roman;times"/>
                <w:b/>
                <w:sz w:val="16"/>
              </w:rPr>
            </w:pPr>
            <w:r>
              <w:rPr>
                <w:rFonts w:ascii="times new roman;times" w:hAnsi="times new roman;times"/>
                <w:b/>
                <w:sz w:val="16"/>
              </w:rPr>
              <w:t>Subsidiary</w:t>
            </w:r>
          </w:p>
        </w:tc>
        <w:tc>
          <w:tcPr>
            <w:tcW w:w="6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Percent Owned</w:t>
            </w:r>
          </w:p>
        </w:tc>
        <w:tc>
          <w:tcPr>
            <w:tcW w:w="6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Segment - Country</w:t>
            </w:r>
          </w:p>
        </w:tc>
      </w:tr>
      <w:tr>
        <w:trPr/>
        <w:tc>
          <w:tcPr>
            <w:tcW w:w="1415"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Movilcarga</w:t>
            </w:r>
          </w:p>
        </w:tc>
        <w:tc>
          <w:tcPr>
            <w:tcW w:w="6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center"/>
              <w:rPr>
                <w:rFonts w:ascii="times new roman;times" w:hAnsi="times new roman;times"/>
                <w:sz w:val="20"/>
              </w:rPr>
            </w:pPr>
            <w:r>
              <w:rPr>
                <w:rFonts w:ascii="times new roman;times" w:hAnsi="times new roman;times"/>
                <w:sz w:val="20"/>
              </w:rPr>
              <w:t>95%</w:t>
            </w:r>
          </w:p>
        </w:tc>
        <w:tc>
          <w:tcPr>
            <w:tcW w:w="6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0"/>
              <w:jc w:val="center"/>
              <w:rPr>
                <w:rFonts w:ascii="times new roman;times" w:hAnsi="times new roman;times"/>
                <w:sz w:val="20"/>
              </w:rPr>
            </w:pPr>
            <w:r>
              <w:rPr>
                <w:rFonts w:ascii="times new roman;times" w:hAnsi="times new roman;times"/>
                <w:sz w:val="20"/>
              </w:rPr>
              <w:t>epay - Spain</w:t>
            </w:r>
          </w:p>
        </w:tc>
      </w:tr>
      <w:tr>
        <w:trPr/>
        <w:tc>
          <w:tcPr>
            <w:tcW w:w="1415"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Euronet China</w:t>
            </w:r>
          </w:p>
        </w:tc>
        <w:tc>
          <w:tcPr>
            <w:tcW w:w="6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center"/>
              <w:rPr>
                <w:rFonts w:ascii="times new roman;times" w:hAnsi="times new roman;times"/>
                <w:sz w:val="20"/>
              </w:rPr>
            </w:pPr>
            <w:r>
              <w:rPr>
                <w:rFonts w:ascii="times new roman;times" w:hAnsi="times new roman;times"/>
                <w:sz w:val="20"/>
              </w:rPr>
              <w:t>85%</w:t>
            </w:r>
          </w:p>
        </w:tc>
        <w:tc>
          <w:tcPr>
            <w:tcW w:w="6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center"/>
              <w:rPr/>
            </w:pPr>
            <w:r>
              <w:rPr/>
              <w:t> </w:t>
            </w:r>
            <w:r>
              <w:rPr>
                <w:rFonts w:ascii="times new roman;times" w:hAnsi="times new roman;times"/>
                <w:sz w:val="20"/>
              </w:rPr>
              <w:t>EFT - China</w:t>
            </w:r>
          </w:p>
        </w:tc>
      </w:tr>
      <w:tr>
        <w:trPr/>
        <w:tc>
          <w:tcPr>
            <w:tcW w:w="1415"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Euronet Pakistan</w:t>
            </w:r>
          </w:p>
        </w:tc>
        <w:tc>
          <w:tcPr>
            <w:tcW w:w="6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center"/>
              <w:rPr>
                <w:rFonts w:ascii="times new roman;times" w:hAnsi="times new roman;times"/>
                <w:sz w:val="20"/>
              </w:rPr>
            </w:pPr>
            <w:r>
              <w:rPr>
                <w:rFonts w:ascii="times new roman;times" w:hAnsi="times new roman;times"/>
                <w:sz w:val="20"/>
              </w:rPr>
              <w:t>70%</w:t>
            </w:r>
          </w:p>
        </w:tc>
        <w:tc>
          <w:tcPr>
            <w:tcW w:w="6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0"/>
              <w:jc w:val="center"/>
              <w:rPr/>
            </w:pPr>
            <w:r>
              <w:rPr/>
              <w:t>     </w:t>
            </w:r>
            <w:r>
              <w:rPr>
                <w:rFonts w:ascii="times new roman;times" w:hAnsi="times new roman;times"/>
                <w:sz w:val="20"/>
              </w:rPr>
              <w:t>EFT - Pakistan</w:t>
            </w:r>
          </w:p>
        </w:tc>
      </w:tr>
    </w:tbl>
    <w:p>
      <w:pPr>
        <w:pStyle w:val="TextBody"/>
        <w:widowControl/>
        <w:bidi w:val="0"/>
        <w:jc w:val="left"/>
        <w:rPr>
          <w:rFonts w:ascii="Times New Roman" w:hAnsi="Times New Roman" w:eastAsia="Times New Roman" w:cs="Times New Roman"/>
          <w:b w:val="false"/>
          <w:b w:val="false"/>
          <w:bCs w:val="false"/>
          <w:i w:val="false"/>
          <w:i w:val="false"/>
          <w:iCs w:val="false"/>
          <w:caps w:val="false"/>
          <w:smallCaps w:val="false"/>
          <w:color w:val="000000"/>
          <w:spacing w:val="0"/>
          <w:sz w:val="20"/>
          <w:szCs w:val="20"/>
        </w:rPr>
      </w:pPr>
      <w:r>
        <w:rPr>
          <w:rFonts w:eastAsia="Times New Roman" w:cs="Times New Roman" w:ascii="Times New Roman" w:hAnsi="Times New Roman"/>
          <w:b w:val="false"/>
          <w:bCs w:val="false"/>
          <w:i w:val="false"/>
          <w:iCs w:val="false"/>
          <w:caps w:val="false"/>
          <w:smallCaps w:val="false"/>
          <w:color w:val="000000"/>
          <w:spacing w:val="0"/>
          <w:sz w:val="20"/>
          <w:szCs w:val="20"/>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widowControl/>
        <w:bidi w:val="0"/>
        <w:spacing w:before="0" w:after="0"/>
        <w:ind w:left="0" w:right="0" w:hanging="0"/>
        <w:jc w:val="left"/>
        <w:rPr>
          <w:rFonts w:ascii="Times New Roman" w:hAnsi="Times New Roman" w:eastAsia="Times New Roman" w:cs="Times New Roman"/>
          <w:b w:val="false"/>
          <w:b w:val="false"/>
          <w:bCs w:val="false"/>
          <w:i w:val="false"/>
          <w:i w:val="false"/>
          <w:iCs w:val="false"/>
          <w:caps w:val="false"/>
          <w:smallCaps w:val="false"/>
          <w:color w:val="000000"/>
          <w:spacing w:val="0"/>
          <w:sz w:val="20"/>
          <w:szCs w:val="20"/>
        </w:rPr>
      </w:pPr>
      <w:r>
        <w:rPr>
          <w:rFonts w:eastAsia="Times New Roman" w:cs="Times New Roman" w:ascii="Times New Roman" w:hAnsi="Times New Roman"/>
          <w:b w:val="false"/>
          <w:bCs w:val="false"/>
          <w:i w:val="false"/>
          <w:iCs w:val="false"/>
          <w:caps w:val="false"/>
          <w:smallCaps w:val="false"/>
          <w:color w:val="000000"/>
          <w:spacing w:val="0"/>
          <w:sz w:val="20"/>
          <w:szCs w:val="20"/>
        </w:rPr>
      </w:r>
    </w:p>
    <w:p>
      <w:pPr>
        <w:pStyle w:val="TextBody"/>
        <w:widowControl/>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times" w:hAnsi="times new roman;times"/>
          <w:b/>
          <w:i w:val="false"/>
          <w:caps w:val="false"/>
          <w:smallCaps w:val="false"/>
          <w:color w:val="000000"/>
          <w:spacing w:val="0"/>
          <w:sz w:val="20"/>
        </w:rPr>
        <w:t>NET INCOME ATTRIBUTABLE TO EURONET</w:t>
        <w:br/>
      </w:r>
      <w:r>
        <w:rPr>
          <w:rFonts w:ascii="Times New Roman" w:hAnsi="Times New Roman"/>
          <w:b w:val="false"/>
          <w:i w:val="false"/>
          <w:caps w:val="false"/>
          <w:smallCaps w:val="false"/>
          <w:color w:val="000000"/>
          <w:spacing w:val="0"/>
          <w:sz w:val="20"/>
        </w:rPr>
        <w:br/>
      </w:r>
      <w:r>
        <w:rPr>
          <w:rFonts w:ascii="times new roman;times" w:hAnsi="times new roman;times"/>
          <w:b w:val="false"/>
          <w:i w:val="false"/>
          <w:caps w:val="false"/>
          <w:smallCaps w:val="false"/>
          <w:color w:val="000000"/>
          <w:spacing w:val="0"/>
          <w:sz w:val="20"/>
        </w:rPr>
        <w:t>Net income attributable to Euronet was $83.1 million for the three months ended June 30, 2024, a decrease of $3.0 million or 3% compared to the same period in 2023. Net income attributable to Euronet was $109.3 million for the six months ended June 30, 2024, an increase of $3.1 million or 3% compared to the same period in 2023</w:t>
      </w:r>
      <w:r>
        <w:rPr>
          <w:rFonts w:ascii="times new roman;times" w:hAnsi="times new roman;times"/>
          <w:b w:val="false"/>
          <w:i w:val="false"/>
          <w:caps w:val="false"/>
          <w:smallCaps w:val="false"/>
          <w:color w:val="000000"/>
          <w:spacing w:val="0"/>
          <w:sz w:val="20"/>
        </w:rPr>
        <w:t>. </w:t>
      </w:r>
    </w:p>
    <w:p>
      <w:pPr>
        <w:pStyle w:val="TextBody"/>
        <w:widowControl/>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bidi w:val="0"/>
        <w:spacing w:before="0" w:after="0"/>
        <w:ind w:left="0" w:right="0" w:hanging="0"/>
        <w:jc w:val="both"/>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LIQUIDITY AND CAPITAL RESOURCES</w:t>
      </w:r>
    </w:p>
    <w:p>
      <w:pPr>
        <w:pStyle w:val="TextBody"/>
        <w:widowControl/>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br/>
      </w:r>
      <w:r>
        <w:rPr>
          <w:rFonts w:ascii="times new roman;times" w:hAnsi="times new roman;times"/>
          <w:b w:val="false"/>
          <w:i/>
          <w:caps w:val="false"/>
          <w:smallCaps w:val="false"/>
          <w:color w:val="000000"/>
          <w:spacing w:val="0"/>
          <w:sz w:val="20"/>
        </w:rPr>
        <w:t>Working capital</w:t>
        <w:br/>
      </w:r>
      <w:r>
        <w:rPr>
          <w:rFonts w:ascii="Times New Roman" w:hAnsi="Times New Roman"/>
          <w:b w:val="false"/>
          <w:i w:val="false"/>
          <w:caps w:val="false"/>
          <w:smallCaps w:val="false"/>
          <w:color w:val="000000"/>
          <w:spacing w:val="0"/>
          <w:sz w:val="20"/>
        </w:rPr>
        <w:br/>
      </w:r>
      <w:r>
        <w:rPr>
          <w:rFonts w:ascii="times new roman;times" w:hAnsi="times new roman;times"/>
          <w:b w:val="false"/>
          <w:i w:val="false"/>
          <w:caps w:val="false"/>
          <w:smallCaps w:val="false"/>
          <w:color w:val="000000"/>
          <w:spacing w:val="0"/>
          <w:sz w:val="20"/>
        </w:rPr>
        <w:t>As of June 30, 2024, we had working capital of $694.9 million, which is calculated as the difference between total current assets and total current liabilities, compared to working capital of $1,462.1 million as of December 31, 2023. The decrease in working capital was primarily due to the net effect of the classification of the convertible debt to current liabilities, additional financing for the ATMs, positive operational results, acquisitions, repurchases of shares and working capital changes. Our ratio of current assets to current liabilities was 1.19 and 1.54 at June 30, 2024 and December 31, 2023, respectively.</w:t>
        <w:br/>
      </w:r>
      <w:r>
        <w:rPr>
          <w:rFonts w:ascii="Times New Roman" w:hAnsi="Times New Roman"/>
          <w:b w:val="false"/>
          <w:i w:val="false"/>
          <w:caps w:val="false"/>
          <w:smallCaps w:val="false"/>
          <w:color w:val="000000"/>
          <w:spacing w:val="0"/>
          <w:sz w:val="20"/>
        </w:rPr>
        <w:br/>
      </w:r>
      <w:r>
        <w:rPr>
          <w:rFonts w:ascii="times new roman;times" w:hAnsi="times new roman;times"/>
          <w:b w:val="false"/>
          <w:i w:val="false"/>
          <w:caps w:val="false"/>
          <w:smallCaps w:val="false"/>
          <w:color w:val="000000"/>
          <w:spacing w:val="0"/>
          <w:sz w:val="20"/>
        </w:rPr>
        <w:t>We require substantial working capital to finance operations. The Money Transfer Segment funds the payout of the majority of our consumer-to-consumer money transfer services before receiving the benefit of amounts collected from customers by agents. Working capital needs increase in order to cover weekends and banking holidays. As a result, we may report more or less working capital for the Money Transfer Segment based solely upon the day on which the reporting period ends. The epay Segment produces positive working capital, some of which is restricted in connection with the administration of its customer collection and vendor remittance activities. In our EFT Processing Segment, we obtain a significant portion of the cash required to operate our ATMs through various cash supply arrangements, the amount of which is not recorded on Euronet's Consolidated Balance Sheets. However, in certain countries, we fund the cash required to operate our ATM network from borrowings under our revolving credit facilities, uncommitted credit agreements and cash flows from operations. As of June 30, 2024, we had $795.6 million of our own cash in use or designated for use in our ATM network, which is recorded in ATM cash on Euronet's Consolidated Balance Sheet. ATM cash increased $270.4 million from $525.2 million as of December 31, 2023 to $795.6 million as of June 30, 2024 as a result of the increase in number of active ATMs as of June 30, 2024 compared to December 31, 2023. The Company has $1,271.8 million of unrestricted cash as of June 30, 2024 compared to $1,254.2 million as of December 31, 2023. Including the $795.6 million of cash in ATMs at June 30, 2024, we have access to $2,555.2 million in available cash, and</w:t>
      </w:r>
      <w:r>
        <w:rPr>
          <w:rFonts w:ascii="Times New Roman" w:hAnsi="Times New Roman"/>
          <w:b w:val="false"/>
          <w:i w:val="false"/>
          <w:caps w:val="false"/>
          <w:smallCaps w:val="false"/>
          <w:color w:val="000000"/>
          <w:spacing w:val="0"/>
          <w:sz w:val="20"/>
        </w:rPr>
        <w:t xml:space="preserve"> $802.0 million </w:t>
      </w:r>
      <w:r>
        <w:rPr>
          <w:rFonts w:ascii="times new roman;times" w:hAnsi="times new roman;times"/>
          <w:b w:val="false"/>
          <w:i w:val="false"/>
          <w:caps w:val="false"/>
          <w:smallCaps w:val="false"/>
          <w:color w:val="000000"/>
          <w:spacing w:val="0"/>
          <w:sz w:val="20"/>
        </w:rPr>
        <w:t>available under the Credit Facility.</w:t>
      </w:r>
    </w:p>
    <w:p>
      <w:pPr>
        <w:pStyle w:val="TextBody"/>
        <w:widowControl/>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16" w:type="dxa"/>
        <w:jc w:val="left"/>
        <w:tblInd w:w="0" w:type="dxa"/>
        <w:tblLayout w:type="fixed"/>
        <w:tblCellMar>
          <w:top w:w="0" w:type="dxa"/>
          <w:left w:w="0" w:type="dxa"/>
          <w:bottom w:w="0" w:type="dxa"/>
          <w:right w:w="0" w:type="dxa"/>
        </w:tblCellMar>
      </w:tblPr>
      <w:tblGrid>
        <w:gridCol w:w="316"/>
      </w:tblGrid>
      <w:tr>
        <w:trPr/>
        <w:tc>
          <w:tcPr>
            <w:tcW w:w="31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36</w:t>
            </w:r>
          </w:p>
        </w:tc>
      </w:tr>
    </w:tbl>
    <w:p>
      <w:pPr>
        <w:pStyle w:val="TextBody"/>
        <w:bidi w:val="0"/>
        <w:spacing w:lineRule="auto" w:line="288"/>
        <w:jc w:val="both"/>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both"/>
        <w:rPr/>
      </w:pPr>
      <w:r>
        <w:rPr/>
      </w:r>
    </w:p>
    <w:p>
      <w:pPr>
        <w:pStyle w:val="TextBody"/>
        <w:bidi w:val="0"/>
        <w:spacing w:lineRule="auto" w:line="288" w:before="0" w:after="0"/>
        <w:jc w:val="left"/>
        <w:rPr>
          <w:sz w:val="20"/>
        </w:rPr>
      </w:pPr>
      <w:r>
        <w:rPr>
          <w:sz w:val="20"/>
        </w:rPr>
      </w:r>
    </w:p>
    <w:p>
      <w:pPr>
        <w:pStyle w:val="TextBody"/>
        <w:widowControl/>
        <w:bidi w:val="0"/>
        <w:spacing w:lineRule="atLeast" w:line="240"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bidi w:val="0"/>
        <w:spacing w:lineRule="atLeast" w:line="240" w:before="0" w:after="0"/>
        <w:jc w:val="both"/>
        <w:rPr>
          <w:rFonts w:ascii="Times New Roman" w:hAnsi="Times New Roman"/>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following table identifies cash and cash equivalents provided by/(used in) our operating, investing and financing activities for the six</w:t>
      </w:r>
      <w:r>
        <w:rPr>
          <w:rFonts w:ascii="Times New Roman" w:hAnsi="Times New Roman"/>
          <w:b w:val="false"/>
          <w:i w:val="false"/>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months ended June 30, 2024 and </w:t>
      </w:r>
      <w:r>
        <w:rPr>
          <w:rFonts w:ascii="times new roman;times" w:hAnsi="times new roman;times"/>
          <w:b w:val="false"/>
          <w:i w:val="false"/>
          <w:caps w:val="false"/>
          <w:smallCaps w:val="false"/>
          <w:color w:val="000000"/>
          <w:spacing w:val="0"/>
          <w:sz w:val="20"/>
        </w:rPr>
        <w:t>2023</w:t>
      </w:r>
      <w:r>
        <w:rPr>
          <w:rFonts w:ascii="Times New Roman" w:hAnsi="Times New Roman"/>
          <w:b w:val="false"/>
          <w:i w:val="false"/>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(in millions):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9920" w:type="dxa"/>
        <w:jc w:val="left"/>
        <w:tblInd w:w="0" w:type="dxa"/>
        <w:tblLayout w:type="fixed"/>
        <w:tblCellMar>
          <w:top w:w="0" w:type="dxa"/>
          <w:left w:w="0" w:type="dxa"/>
          <w:bottom w:w="0" w:type="dxa"/>
          <w:right w:w="0" w:type="dxa"/>
        </w:tblCellMar>
      </w:tblPr>
      <w:tblGrid>
        <w:gridCol w:w="7925"/>
        <w:gridCol w:w="176"/>
        <w:gridCol w:w="686"/>
        <w:gridCol w:w="32"/>
        <w:gridCol w:w="84"/>
        <w:gridCol w:w="176"/>
        <w:gridCol w:w="686"/>
        <w:gridCol w:w="155"/>
      </w:tblGrid>
      <w:tr>
        <w:trPr/>
        <w:tc>
          <w:tcPr>
            <w:tcW w:w="7925" w:type="dxa"/>
            <w:tcBorders/>
            <w:vAlign w:val="center"/>
          </w:tcPr>
          <w:p>
            <w:pPr>
              <w:pStyle w:val="TableContents"/>
              <w:bidi w:val="0"/>
              <w:spacing w:before="0" w:after="283"/>
              <w:ind w:left="0" w:right="0" w:hanging="0"/>
              <w:jc w:val="left"/>
              <w:rPr>
                <w:sz w:val="4"/>
                <w:szCs w:val="4"/>
              </w:rPr>
            </w:pPr>
            <w:r>
              <w:rPr>
                <w:sz w:val="4"/>
                <w:szCs w:val="4"/>
              </w:rPr>
            </w:r>
          </w:p>
        </w:tc>
        <w:tc>
          <w:tcPr>
            <w:tcW w:w="176" w:type="dxa"/>
            <w:tcBorders/>
            <w:vAlign w:val="center"/>
          </w:tcPr>
          <w:p>
            <w:pPr>
              <w:pStyle w:val="TableContents"/>
              <w:bidi w:val="0"/>
              <w:spacing w:before="0" w:after="283"/>
              <w:ind w:left="0" w:right="0" w:hanging="0"/>
              <w:jc w:val="left"/>
              <w:rPr>
                <w:sz w:val="4"/>
                <w:szCs w:val="4"/>
              </w:rPr>
            </w:pPr>
            <w:r>
              <w:rPr>
                <w:sz w:val="4"/>
                <w:szCs w:val="4"/>
              </w:rPr>
            </w:r>
          </w:p>
        </w:tc>
        <w:tc>
          <w:tcPr>
            <w:tcW w:w="686" w:type="dxa"/>
            <w:tcBorders/>
            <w:vAlign w:val="center"/>
          </w:tcPr>
          <w:p>
            <w:pPr>
              <w:pStyle w:val="TableContents"/>
              <w:bidi w:val="0"/>
              <w:spacing w:before="0" w:after="283"/>
              <w:ind w:left="0" w:right="0" w:hanging="0"/>
              <w:jc w:val="left"/>
              <w:rPr>
                <w:sz w:val="4"/>
                <w:szCs w:val="4"/>
              </w:rPr>
            </w:pPr>
            <w:r>
              <w:rPr>
                <w:sz w:val="4"/>
                <w:szCs w:val="4"/>
              </w:rPr>
            </w:r>
          </w:p>
        </w:tc>
        <w:tc>
          <w:tcPr>
            <w:tcW w:w="32" w:type="dxa"/>
            <w:tcBorders/>
            <w:vAlign w:val="center"/>
          </w:tcPr>
          <w:p>
            <w:pPr>
              <w:pStyle w:val="TableContents"/>
              <w:bidi w:val="0"/>
              <w:spacing w:before="0" w:after="283"/>
              <w:ind w:left="0" w:right="0" w:hanging="0"/>
              <w:jc w:val="left"/>
              <w:rPr>
                <w:sz w:val="4"/>
                <w:szCs w:val="4"/>
              </w:rPr>
            </w:pPr>
            <w:r>
              <w:rPr>
                <w:sz w:val="4"/>
                <w:szCs w:val="4"/>
              </w:rPr>
            </w:r>
          </w:p>
        </w:tc>
        <w:tc>
          <w:tcPr>
            <w:tcW w:w="84" w:type="dxa"/>
            <w:tcBorders/>
            <w:vAlign w:val="center"/>
          </w:tcPr>
          <w:p>
            <w:pPr>
              <w:pStyle w:val="TableContents"/>
              <w:bidi w:val="0"/>
              <w:spacing w:before="0" w:after="283"/>
              <w:ind w:left="0" w:right="0" w:hanging="0"/>
              <w:jc w:val="left"/>
              <w:rPr>
                <w:sz w:val="4"/>
                <w:szCs w:val="4"/>
              </w:rPr>
            </w:pPr>
            <w:r>
              <w:rPr>
                <w:sz w:val="4"/>
                <w:szCs w:val="4"/>
              </w:rPr>
            </w:r>
          </w:p>
        </w:tc>
        <w:tc>
          <w:tcPr>
            <w:tcW w:w="176" w:type="dxa"/>
            <w:tcBorders/>
            <w:vAlign w:val="center"/>
          </w:tcPr>
          <w:p>
            <w:pPr>
              <w:pStyle w:val="TableContents"/>
              <w:bidi w:val="0"/>
              <w:spacing w:before="0" w:after="283"/>
              <w:ind w:left="0" w:right="0" w:hanging="0"/>
              <w:jc w:val="left"/>
              <w:rPr>
                <w:sz w:val="4"/>
                <w:szCs w:val="4"/>
              </w:rPr>
            </w:pPr>
            <w:r>
              <w:rPr>
                <w:sz w:val="4"/>
                <w:szCs w:val="4"/>
              </w:rPr>
            </w:r>
          </w:p>
        </w:tc>
        <w:tc>
          <w:tcPr>
            <w:tcW w:w="686" w:type="dxa"/>
            <w:tcBorders/>
            <w:vAlign w:val="center"/>
          </w:tcPr>
          <w:p>
            <w:pPr>
              <w:pStyle w:val="TableContents"/>
              <w:bidi w:val="0"/>
              <w:spacing w:before="0" w:after="283"/>
              <w:ind w:left="0" w:right="0" w:hanging="0"/>
              <w:jc w:val="left"/>
              <w:rPr>
                <w:sz w:val="4"/>
                <w:szCs w:val="4"/>
              </w:rPr>
            </w:pPr>
            <w:r>
              <w:rPr>
                <w:sz w:val="4"/>
                <w:szCs w:val="4"/>
              </w:rPr>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7925" w:type="dxa"/>
            <w:tcBorders/>
            <w:vAlign w:val="center"/>
          </w:tcPr>
          <w:p>
            <w:pPr>
              <w:pStyle w:val="TableContents"/>
              <w:bidi w:val="0"/>
              <w:spacing w:before="0" w:after="0"/>
              <w:ind w:left="0" w:right="0" w:hanging="0"/>
              <w:jc w:val="left"/>
              <w:rPr/>
            </w:pPr>
            <w:r>
              <w:rPr/>
              <w:t> </w:t>
            </w:r>
          </w:p>
        </w:tc>
        <w:tc>
          <w:tcPr>
            <w:tcW w:w="1995" w:type="dxa"/>
            <w:gridSpan w:val="7"/>
            <w:tcBorders/>
            <w:vAlign w:val="center"/>
          </w:tcPr>
          <w:p>
            <w:pPr>
              <w:pStyle w:val="TableContents"/>
              <w:bidi w:val="0"/>
              <w:spacing w:before="0" w:after="0"/>
              <w:ind w:left="0" w:right="0" w:hanging="0"/>
              <w:jc w:val="center"/>
              <w:rPr>
                <w:rFonts w:ascii="times new roman;times" w:hAnsi="times new roman;times"/>
                <w:b/>
                <w:sz w:val="16"/>
              </w:rPr>
            </w:pPr>
            <w:r>
              <w:rPr>
                <w:rFonts w:ascii="times new roman;times" w:hAnsi="times new roman;times"/>
                <w:b/>
                <w:sz w:val="16"/>
              </w:rPr>
              <w:t>Six Months Ended June 30,</w:t>
            </w:r>
          </w:p>
        </w:tc>
      </w:tr>
      <w:tr>
        <w:trPr/>
        <w:tc>
          <w:tcPr>
            <w:tcW w:w="7925" w:type="dxa"/>
            <w:tcBorders/>
            <w:vAlign w:val="center"/>
          </w:tcPr>
          <w:p>
            <w:pPr>
              <w:pStyle w:val="TableContents"/>
              <w:bidi w:val="0"/>
              <w:spacing w:before="0" w:after="0"/>
              <w:ind w:left="0" w:right="0" w:hanging="0"/>
              <w:jc w:val="left"/>
              <w:rPr>
                <w:rFonts w:ascii="times new roman;times" w:hAnsi="times new roman;times"/>
                <w:b/>
                <w:sz w:val="16"/>
              </w:rPr>
            </w:pPr>
            <w:r>
              <w:rPr>
                <w:rFonts w:ascii="times new roman;times" w:hAnsi="times new roman;times"/>
                <w:b/>
                <w:sz w:val="16"/>
              </w:rPr>
              <w:t>Liquidity</w:t>
            </w:r>
          </w:p>
        </w:tc>
        <w:tc>
          <w:tcPr>
            <w:tcW w:w="894" w:type="dxa"/>
            <w:gridSpan w:val="3"/>
            <w:tcBorders/>
            <w:vAlign w:val="center"/>
          </w:tcPr>
          <w:p>
            <w:pPr>
              <w:pStyle w:val="TableContents"/>
              <w:bidi w:val="0"/>
              <w:spacing w:before="0" w:after="0"/>
              <w:ind w:left="0" w:right="0" w:hanging="0"/>
              <w:jc w:val="center"/>
              <w:rPr>
                <w:rFonts w:ascii="times new roman;times" w:hAnsi="times new roman;times"/>
                <w:b/>
                <w:sz w:val="16"/>
              </w:rPr>
            </w:pPr>
            <w:r>
              <w:rPr>
                <w:rFonts w:ascii="times new roman;times" w:hAnsi="times new roman;times"/>
                <w:b/>
                <w:sz w:val="16"/>
              </w:rPr>
              <w:t>2024</w:t>
            </w:r>
          </w:p>
        </w:tc>
        <w:tc>
          <w:tcPr>
            <w:tcW w:w="84" w:type="dxa"/>
            <w:tcBorders/>
            <w:vAlign w:val="center"/>
          </w:tcPr>
          <w:p>
            <w:pPr>
              <w:pStyle w:val="TableContents"/>
              <w:bidi w:val="0"/>
              <w:spacing w:before="0" w:after="0"/>
              <w:ind w:left="0" w:right="0" w:hanging="0"/>
              <w:jc w:val="left"/>
              <w:rPr/>
            </w:pPr>
            <w:r>
              <w:rPr/>
              <w:t> </w:t>
            </w:r>
          </w:p>
        </w:tc>
        <w:tc>
          <w:tcPr>
            <w:tcW w:w="1017" w:type="dxa"/>
            <w:gridSpan w:val="3"/>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2023</w:t>
            </w:r>
          </w:p>
        </w:tc>
      </w:tr>
      <w:tr>
        <w:trPr/>
        <w:tc>
          <w:tcPr>
            <w:tcW w:w="7925"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Cash and cash equivalents and restricted cash provided by (used in):</w:t>
            </w:r>
          </w:p>
        </w:tc>
        <w:tc>
          <w:tcPr>
            <w:tcW w:w="894" w:type="dxa"/>
            <w:gridSpan w:val="3"/>
            <w:tcBorders/>
            <w:shd w:fill="CCEEFF" w:val="clear"/>
            <w:vAlign w:val="center"/>
          </w:tcPr>
          <w:p>
            <w:pPr>
              <w:pStyle w:val="TableContents"/>
              <w:bidi w:val="0"/>
              <w:spacing w:before="0" w:after="0"/>
              <w:jc w:val="left"/>
              <w:rPr/>
            </w:pPr>
            <w:r>
              <w:rPr/>
              <w:t> </w:t>
            </w:r>
          </w:p>
        </w:tc>
        <w:tc>
          <w:tcPr>
            <w:tcW w:w="84" w:type="dxa"/>
            <w:tcBorders/>
            <w:shd w:fill="CCEEFF" w:val="clear"/>
            <w:vAlign w:val="center"/>
          </w:tcPr>
          <w:p>
            <w:pPr>
              <w:pStyle w:val="TableContents"/>
              <w:bidi w:val="0"/>
              <w:spacing w:before="0" w:after="0"/>
              <w:jc w:val="left"/>
              <w:rPr/>
            </w:pPr>
            <w:r>
              <w:rPr/>
              <w:t> </w:t>
            </w:r>
          </w:p>
        </w:tc>
        <w:tc>
          <w:tcPr>
            <w:tcW w:w="1017" w:type="dxa"/>
            <w:gridSpan w:val="3"/>
            <w:tcBorders/>
            <w:shd w:fill="CCEEFF" w:val="clear"/>
            <w:vAlign w:val="center"/>
          </w:tcPr>
          <w:p>
            <w:pPr>
              <w:pStyle w:val="TableContents"/>
              <w:bidi w:val="0"/>
              <w:spacing w:before="0" w:after="0"/>
              <w:jc w:val="left"/>
              <w:rPr/>
            </w:pPr>
            <w:r>
              <w:rPr/>
              <w:t> </w:t>
            </w:r>
          </w:p>
        </w:tc>
      </w:tr>
      <w:tr>
        <w:trPr/>
        <w:tc>
          <w:tcPr>
            <w:tcW w:w="7925"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Operating activities</w:t>
            </w:r>
          </w:p>
        </w:tc>
        <w:tc>
          <w:tcPr>
            <w:tcW w:w="176"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686"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212.2</w:t>
            </w:r>
          </w:p>
        </w:tc>
        <w:tc>
          <w:tcPr>
            <w:tcW w:w="32"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0"/>
              <w:jc w:val="left"/>
              <w:rPr/>
            </w:pPr>
            <w:r>
              <w:rPr/>
              <w:t> </w:t>
            </w:r>
          </w:p>
        </w:tc>
        <w:tc>
          <w:tcPr>
            <w:tcW w:w="176"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686"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220.2</w:t>
            </w:r>
          </w:p>
        </w:tc>
        <w:tc>
          <w:tcPr>
            <w:tcW w:w="155" w:type="dxa"/>
            <w:tcBorders/>
            <w:vAlign w:val="center"/>
          </w:tcPr>
          <w:p>
            <w:pPr>
              <w:pStyle w:val="TableContents"/>
              <w:bidi w:val="0"/>
              <w:spacing w:before="0" w:after="283"/>
              <w:jc w:val="left"/>
              <w:rPr>
                <w:sz w:val="4"/>
                <w:szCs w:val="4"/>
              </w:rPr>
            </w:pPr>
            <w:r>
              <w:rPr>
                <w:sz w:val="4"/>
                <w:szCs w:val="4"/>
              </w:rPr>
            </w:r>
          </w:p>
        </w:tc>
      </w:tr>
      <w:tr>
        <w:trPr/>
        <w:tc>
          <w:tcPr>
            <w:tcW w:w="7925"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Investing activities</w:t>
            </w:r>
          </w:p>
        </w:tc>
        <w:tc>
          <w:tcPr>
            <w:tcW w:w="862"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(155.2)</w:t>
            </w:r>
          </w:p>
        </w:tc>
        <w:tc>
          <w:tcPr>
            <w:tcW w:w="32" w:type="dxa"/>
            <w:tcBorders/>
            <w:shd w:fill="CCEEFF" w:val="clear"/>
            <w:vAlign w:val="center"/>
          </w:tcPr>
          <w:p>
            <w:pPr>
              <w:pStyle w:val="TableContents"/>
              <w:bidi w:val="0"/>
              <w:spacing w:before="0" w:after="283"/>
              <w:jc w:val="left"/>
              <w:rPr>
                <w:sz w:val="4"/>
                <w:szCs w:val="4"/>
              </w:rPr>
            </w:pPr>
            <w:r>
              <w:rPr>
                <w:sz w:val="4"/>
                <w:szCs w:val="4"/>
              </w:rPr>
            </w:r>
          </w:p>
        </w:tc>
        <w:tc>
          <w:tcPr>
            <w:tcW w:w="84" w:type="dxa"/>
            <w:tcBorders/>
            <w:shd w:fill="CCEEFF" w:val="clear"/>
            <w:vAlign w:val="center"/>
          </w:tcPr>
          <w:p>
            <w:pPr>
              <w:pStyle w:val="TableContents"/>
              <w:bidi w:val="0"/>
              <w:spacing w:before="0" w:after="0"/>
              <w:jc w:val="left"/>
              <w:rPr/>
            </w:pPr>
            <w:r>
              <w:rPr/>
              <w:t> </w:t>
            </w:r>
          </w:p>
        </w:tc>
        <w:tc>
          <w:tcPr>
            <w:tcW w:w="862"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(45.5</w:t>
            </w:r>
          </w:p>
        </w:tc>
        <w:tc>
          <w:tcPr>
            <w:tcW w:w="155" w:type="dxa"/>
            <w:tcBorders/>
            <w:shd w:fill="CCEEFF" w:val="clear"/>
            <w:vAlign w:val="center"/>
          </w:tcPr>
          <w:p>
            <w:pPr>
              <w:pStyle w:val="TableContents"/>
              <w:bidi w:val="0"/>
              <w:spacing w:before="0" w:after="283"/>
              <w:jc w:val="left"/>
              <w:rPr/>
            </w:pPr>
            <w:r>
              <w:rPr/>
              <w:t>)</w:t>
            </w:r>
          </w:p>
        </w:tc>
      </w:tr>
      <w:tr>
        <w:trPr/>
        <w:tc>
          <w:tcPr>
            <w:tcW w:w="7925"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Financing activities</w:t>
            </w:r>
          </w:p>
        </w:tc>
        <w:tc>
          <w:tcPr>
            <w:tcW w:w="862"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304.4</w:t>
            </w:r>
          </w:p>
        </w:tc>
        <w:tc>
          <w:tcPr>
            <w:tcW w:w="32"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0"/>
              <w:jc w:val="left"/>
              <w:rPr/>
            </w:pPr>
            <w:r>
              <w:rPr/>
              <w:t> </w:t>
            </w:r>
          </w:p>
        </w:tc>
        <w:tc>
          <w:tcPr>
            <w:tcW w:w="862"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104.4</w:t>
            </w:r>
          </w:p>
        </w:tc>
        <w:tc>
          <w:tcPr>
            <w:tcW w:w="155" w:type="dxa"/>
            <w:tcBorders/>
            <w:vAlign w:val="center"/>
          </w:tcPr>
          <w:p>
            <w:pPr>
              <w:pStyle w:val="TableContents"/>
              <w:bidi w:val="0"/>
              <w:spacing w:before="0" w:after="283"/>
              <w:jc w:val="left"/>
              <w:rPr>
                <w:sz w:val="4"/>
                <w:szCs w:val="4"/>
              </w:rPr>
            </w:pPr>
            <w:r>
              <w:rPr>
                <w:sz w:val="4"/>
                <w:szCs w:val="4"/>
              </w:rPr>
            </w:r>
          </w:p>
        </w:tc>
      </w:tr>
      <w:tr>
        <w:trPr/>
        <w:tc>
          <w:tcPr>
            <w:tcW w:w="7925"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Effect of foreign currency exchange rate changes on cash and cash equivalents and restricted cash</w:t>
            </w:r>
          </w:p>
        </w:tc>
        <w:tc>
          <w:tcPr>
            <w:tcW w:w="862"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(53.2)</w:t>
            </w:r>
          </w:p>
        </w:tc>
        <w:tc>
          <w:tcPr>
            <w:tcW w:w="32" w:type="dxa"/>
            <w:tcBorders/>
            <w:shd w:fill="CCEEFF" w:val="clear"/>
            <w:vAlign w:val="center"/>
          </w:tcPr>
          <w:p>
            <w:pPr>
              <w:pStyle w:val="TableContents"/>
              <w:bidi w:val="0"/>
              <w:spacing w:before="0" w:after="283"/>
              <w:jc w:val="left"/>
              <w:rPr>
                <w:sz w:val="4"/>
                <w:szCs w:val="4"/>
              </w:rPr>
            </w:pPr>
            <w:r>
              <w:rPr>
                <w:sz w:val="4"/>
                <w:szCs w:val="4"/>
              </w:rPr>
            </w:r>
          </w:p>
        </w:tc>
        <w:tc>
          <w:tcPr>
            <w:tcW w:w="84" w:type="dxa"/>
            <w:tcBorders/>
            <w:shd w:fill="CCEEFF" w:val="clear"/>
            <w:vAlign w:val="center"/>
          </w:tcPr>
          <w:p>
            <w:pPr>
              <w:pStyle w:val="TableContents"/>
              <w:bidi w:val="0"/>
              <w:spacing w:before="0" w:after="0"/>
              <w:jc w:val="left"/>
              <w:rPr/>
            </w:pPr>
            <w:r>
              <w:rPr/>
              <w:t> </w:t>
            </w:r>
          </w:p>
        </w:tc>
        <w:tc>
          <w:tcPr>
            <w:tcW w:w="862"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(77.4</w:t>
            </w:r>
          </w:p>
        </w:tc>
        <w:tc>
          <w:tcPr>
            <w:tcW w:w="155" w:type="dxa"/>
            <w:tcBorders/>
            <w:shd w:fill="CCEEFF" w:val="clear"/>
            <w:vAlign w:val="center"/>
          </w:tcPr>
          <w:p>
            <w:pPr>
              <w:pStyle w:val="TableContents"/>
              <w:bidi w:val="0"/>
              <w:spacing w:before="0" w:after="283"/>
              <w:jc w:val="left"/>
              <w:rPr/>
            </w:pPr>
            <w:r>
              <w:rPr/>
              <w:t>)</w:t>
            </w:r>
          </w:p>
        </w:tc>
      </w:tr>
      <w:tr>
        <w:trPr/>
        <w:tc>
          <w:tcPr>
            <w:tcW w:w="7925"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Decrease in cash and cash equivalents and restricted cash</w:t>
            </w:r>
          </w:p>
        </w:tc>
        <w:tc>
          <w:tcPr>
            <w:tcW w:w="176"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686"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308.2</w:t>
            </w:r>
          </w:p>
        </w:tc>
        <w:tc>
          <w:tcPr>
            <w:tcW w:w="32"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0"/>
              <w:jc w:val="left"/>
              <w:rPr/>
            </w:pPr>
            <w:r>
              <w:rPr/>
              <w:t> </w:t>
            </w:r>
          </w:p>
        </w:tc>
        <w:tc>
          <w:tcPr>
            <w:tcW w:w="176"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686"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201.7</w:t>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widowControl/>
        <w:bidi w:val="0"/>
        <w:jc w:val="left"/>
        <w:rPr>
          <w:rFonts w:ascii="Times New Roman" w:hAnsi="Times New Roman" w:eastAsia="Times New Roman" w:cs="Times New Roman"/>
          <w:b w:val="false"/>
          <w:b w:val="false"/>
          <w:bCs w:val="false"/>
          <w:i w:val="false"/>
          <w:i w:val="false"/>
          <w:iCs w:val="false"/>
          <w:caps w:val="false"/>
          <w:smallCaps w:val="false"/>
          <w:color w:val="000000"/>
          <w:spacing w:val="0"/>
          <w:sz w:val="20"/>
          <w:szCs w:val="20"/>
        </w:rPr>
      </w:pPr>
      <w:r>
        <w:rPr>
          <w:rFonts w:eastAsia="Times New Roman" w:cs="Times New Roman" w:ascii="Times New Roman" w:hAnsi="Times New Roman"/>
          <w:b w:val="false"/>
          <w:bCs w:val="false"/>
          <w:i w:val="false"/>
          <w:iCs w:val="false"/>
          <w:caps w:val="false"/>
          <w:smallCaps w:val="false"/>
          <w:color w:val="000000"/>
          <w:spacing w:val="0"/>
          <w:sz w:val="20"/>
          <w:szCs w:val="20"/>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times" w:hAnsi="times new roman;times"/>
          <w:b w:val="false"/>
          <w:i/>
          <w:caps w:val="false"/>
          <w:smallCaps w:val="false"/>
          <w:color w:val="000000"/>
          <w:spacing w:val="0"/>
          <w:sz w:val="20"/>
        </w:rPr>
        <w:t>Operating activity cash flow</w:t>
        <w:br/>
      </w:r>
      <w:r>
        <w:rPr>
          <w:rFonts w:ascii="Times New Roman" w:hAnsi="Times New Roman"/>
          <w:b w:val="false"/>
          <w:i w:val="false"/>
          <w:caps w:val="false"/>
          <w:smallCaps w:val="false"/>
          <w:color w:val="000000"/>
          <w:spacing w:val="0"/>
          <w:sz w:val="20"/>
        </w:rPr>
        <w:br/>
      </w:r>
      <w:r>
        <w:rPr>
          <w:rFonts w:ascii="times new roman;times" w:hAnsi="times new roman;times"/>
          <w:b w:val="false"/>
          <w:i w:val="false"/>
          <w:caps w:val="false"/>
          <w:smallCaps w:val="false"/>
          <w:color w:val="000000"/>
          <w:spacing w:val="0"/>
          <w:sz w:val="20"/>
        </w:rPr>
        <w:t xml:space="preserve">Cash flows provided by operating activities were $212.2 million for the </w:t>
      </w:r>
      <w:r>
        <w:rPr>
          <w:rFonts w:ascii="times new roman;times" w:hAnsi="times new roman;times"/>
          <w:b w:val="false"/>
          <w:i w:val="false"/>
          <w:caps w:val="false"/>
          <w:smallCaps w:val="false"/>
          <w:color w:val="000000"/>
          <w:spacing w:val="0"/>
          <w:sz w:val="20"/>
        </w:rPr>
        <w:t>six months ended June 30, 2024</w:t>
      </w:r>
      <w:r>
        <w:rPr>
          <w:rFonts w:ascii="times new roman;times" w:hAnsi="times new roman;times"/>
          <w:b w:val="false"/>
          <w:i w:val="false"/>
          <w:caps w:val="false"/>
          <w:smallCaps w:val="false"/>
          <w:color w:val="000000"/>
          <w:spacing w:val="0"/>
          <w:sz w:val="20"/>
        </w:rPr>
        <w:t> compared to cash flows provided by operating activities of $220.2 million for the same period in 2023. The net decrease in operating cash flows was primarily due to other working capital fluctuations.</w:t>
        <w:br/>
      </w:r>
      <w:r>
        <w:rPr>
          <w:rFonts w:ascii="Times New Roman" w:hAnsi="Times New Roman"/>
          <w:b w:val="false"/>
          <w:i w:val="false"/>
          <w:caps w:val="false"/>
          <w:smallCaps w:val="false"/>
          <w:color w:val="000000"/>
          <w:spacing w:val="0"/>
          <w:sz w:val="20"/>
        </w:rPr>
        <w:br/>
      </w:r>
      <w:r>
        <w:rPr>
          <w:rFonts w:ascii="times new roman;times" w:hAnsi="times new roman;times"/>
          <w:b w:val="false"/>
          <w:i/>
          <w:caps w:val="false"/>
          <w:smallCaps w:val="false"/>
          <w:color w:val="000000"/>
          <w:spacing w:val="0"/>
          <w:sz w:val="20"/>
        </w:rPr>
        <w:t>Investing activity cash flow</w:t>
        <w:br/>
      </w:r>
      <w:r>
        <w:rPr>
          <w:rFonts w:ascii="Times New Roman" w:hAnsi="Times New Roman"/>
          <w:b w:val="false"/>
          <w:i w:val="false"/>
          <w:caps w:val="false"/>
          <w:smallCaps w:val="false"/>
          <w:color w:val="000000"/>
          <w:spacing w:val="0"/>
          <w:sz w:val="20"/>
        </w:rPr>
        <w:br/>
      </w:r>
      <w:r>
        <w:rPr>
          <w:rFonts w:ascii="times new roman;times" w:hAnsi="times new roman;times"/>
          <w:b w:val="false"/>
          <w:i w:val="false"/>
          <w:caps w:val="false"/>
          <w:smallCaps w:val="false"/>
          <w:color w:val="000000"/>
          <w:spacing w:val="0"/>
          <w:sz w:val="20"/>
        </w:rPr>
        <w:t xml:space="preserve">Cash flows used in investing activities were $155.2 million for the </w:t>
      </w:r>
      <w:r>
        <w:rPr>
          <w:rFonts w:ascii="times new roman;times" w:hAnsi="times new roman;times"/>
          <w:b w:val="false"/>
          <w:i w:val="false"/>
          <w:caps w:val="false"/>
          <w:smallCaps w:val="false"/>
          <w:color w:val="000000"/>
          <w:spacing w:val="0"/>
          <w:sz w:val="20"/>
        </w:rPr>
        <w:t>six</w:t>
      </w:r>
      <w:r>
        <w:rPr>
          <w:rFonts w:ascii="times new roman;times" w:hAnsi="times new roman;times"/>
          <w:b w:val="false"/>
          <w:i w:val="false"/>
          <w:caps w:val="false"/>
          <w:smallCaps w:val="false"/>
          <w:color w:val="000000"/>
          <w:spacing w:val="0"/>
          <w:sz w:val="20"/>
        </w:rPr>
        <w:t> months ended June 30, 2024 compared to $45.5 million for the same period in 2023. The increase in cash used in investing activities is primarily due to the $90.8 million of cash paid for the acquisitions during the first six months of 2024. Additionally, we used $57.2 million for purchases of property and equipment for the six months ended June 30, 2024 compared to $41.9 million for the same period in 2023.</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times" w:hAnsi="times new roman;times"/>
          <w:b w:val="false"/>
          <w:i/>
          <w:caps w:val="false"/>
          <w:smallCaps w:val="false"/>
          <w:color w:val="000000"/>
          <w:spacing w:val="0"/>
          <w:sz w:val="20"/>
        </w:rPr>
        <w:t>Financing activity cash flow</w:t>
        <w:br/>
      </w:r>
      <w:r>
        <w:rPr>
          <w:rFonts w:ascii="Times New Roman" w:hAnsi="Times New Roman"/>
          <w:b w:val="false"/>
          <w:i w:val="false"/>
          <w:caps w:val="false"/>
          <w:smallCaps w:val="false"/>
          <w:color w:val="000000"/>
          <w:spacing w:val="0"/>
          <w:sz w:val="20"/>
        </w:rPr>
        <w:br/>
      </w:r>
      <w:r>
        <w:rPr>
          <w:rFonts w:ascii="times new roman;times" w:hAnsi="times new roman;times"/>
          <w:b w:val="false"/>
          <w:i w:val="false"/>
          <w:caps w:val="false"/>
          <w:smallCaps w:val="false"/>
          <w:color w:val="000000"/>
          <w:spacing w:val="0"/>
          <w:sz w:val="20"/>
        </w:rPr>
        <w:t xml:space="preserve">Cash flows provided by financing activities were $304.4 million for the six months ended June 30, 2024 compared to cash flows provided by financing activities of $104.4 million for the same period in 2023. Our borrowing activities on the Credit Facility for the </w:t>
      </w:r>
      <w:r>
        <w:rPr>
          <w:rFonts w:ascii="times new roman;times" w:hAnsi="times new roman;times"/>
          <w:b w:val="false"/>
          <w:i w:val="false"/>
          <w:caps w:val="false"/>
          <w:smallCaps w:val="false"/>
          <w:color w:val="000000"/>
          <w:spacing w:val="0"/>
          <w:sz w:val="20"/>
        </w:rPr>
        <w:t>six</w:t>
      </w:r>
      <w:r>
        <w:rPr>
          <w:rFonts w:ascii="times new roman;times" w:hAnsi="times new roman;times"/>
          <w:b w:val="false"/>
          <w:i w:val="false"/>
          <w:caps w:val="false"/>
          <w:smallCaps w:val="false"/>
          <w:color w:val="000000"/>
          <w:spacing w:val="0"/>
          <w:sz w:val="20"/>
        </w:rPr>
        <w:t> months ended June 30, 2024 consisted of net borrowings of $</w:t>
      </w:r>
      <w:r>
        <w:rPr>
          <w:rFonts w:ascii="times new roman;times" w:hAnsi="times new roman;times"/>
          <w:b w:val="false"/>
          <w:i w:val="false"/>
          <w:caps w:val="false"/>
          <w:smallCaps w:val="false"/>
          <w:color w:val="000000"/>
          <w:spacing w:val="0"/>
          <w:sz w:val="20"/>
        </w:rPr>
        <w:t>140.3</w:t>
      </w:r>
      <w:r>
        <w:rPr>
          <w:rFonts w:ascii="times new roman;times" w:hAnsi="times new roman;times"/>
          <w:b w:val="false"/>
          <w:i w:val="false"/>
          <w:caps w:val="false"/>
          <w:smallCaps w:val="false"/>
          <w:color w:val="000000"/>
          <w:spacing w:val="0"/>
          <w:sz w:val="20"/>
        </w:rPr>
        <w:t> million compared to net borrowings of $317.2 million for the same period in 2023. The increase in financing activity is primarily the result of cash used to complete the acquisitions and cash used to repurchase shares. We received proceeds of $</w:t>
      </w:r>
      <w:r>
        <w:rPr>
          <w:rFonts w:ascii="times new roman;times" w:hAnsi="times new roman;times"/>
          <w:b w:val="false"/>
          <w:i w:val="false"/>
          <w:caps w:val="false"/>
          <w:smallCaps w:val="false"/>
          <w:color w:val="000000"/>
          <w:spacing w:val="0"/>
          <w:sz w:val="20"/>
        </w:rPr>
        <w:t>3.3</w:t>
      </w:r>
      <w:r>
        <w:rPr>
          <w:rFonts w:ascii="times new roman;times" w:hAnsi="times new roman;times"/>
          <w:b w:val="false"/>
          <w:i w:val="false"/>
          <w:caps w:val="false"/>
          <w:smallCaps w:val="false"/>
          <w:color w:val="000000"/>
          <w:spacing w:val="0"/>
          <w:sz w:val="20"/>
        </w:rPr>
        <w:t xml:space="preserve"> million and $2.4 million during the six months ended June 30, 2024 and 2023, respectively, for the issuance of stock in connection with our Stock Incentive Plan.</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Effect of exchange rates on cash, cash equivalents and restricted cash</w:t>
      </w:r>
    </w:p>
    <w:p>
      <w:pPr>
        <w:pStyle w:val="TextBody"/>
        <w:widowControl/>
        <w:bidi w:val="0"/>
        <w:spacing w:before="0" w:after="0"/>
        <w:ind w:left="0" w:right="0" w:hanging="0"/>
        <w:jc w:val="left"/>
        <w:rPr>
          <w:rFonts w:ascii="times new roman;times" w:hAnsi="times new roman;times"/>
          <w:b w:val="false"/>
          <w:i w:val="false"/>
          <w:caps w:val="false"/>
          <w:smallCaps w:val="false"/>
          <w:color w:val="242424"/>
          <w:spacing w:val="0"/>
          <w:sz w:val="20"/>
        </w:rPr>
      </w:pPr>
      <w:r>
        <w:rPr>
          <w:rFonts w:ascii="times new roman;times" w:hAnsi="times new roman;times"/>
          <w:b w:val="false"/>
          <w:i w:val="false"/>
          <w:caps w:val="false"/>
          <w:smallCaps w:val="false"/>
          <w:color w:val="242424"/>
          <w:spacing w:val="0"/>
          <w:sz w:val="20"/>
        </w:rPr>
        <w:t>Fluctuations in f</w:t>
      </w:r>
      <w:r>
        <w:rPr>
          <w:rFonts w:ascii="times new roman;times" w:hAnsi="times new roman;times"/>
          <w:b w:val="false"/>
          <w:i w:val="false"/>
          <w:caps w:val="false"/>
          <w:smallCaps w:val="false"/>
          <w:strike w:val="false"/>
          <w:dstrike w:val="false"/>
          <w:color w:val="000000"/>
          <w:spacing w:val="0"/>
          <w:sz w:val="20"/>
          <w:u w:val="none"/>
          <w:effect w:val="none"/>
        </w:rPr>
        <w:t>oreign currency exchange rates for the six months ended June 30, 2024 and 2023 had a negative impact of $53.2 million and $77.4 million, respectively, on cash, cash equivalents, and restricted cash. The negative impact on cash, cash equivalents, and restricted cash for the six months ended June 30, 2024 and 2023 was due primarily to the negative impact in the exchange rate of the U.S. dollar to the euro.  </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times" w:hAnsi="times new roman;times"/>
          <w:b w:val="false"/>
          <w:i/>
          <w:caps w:val="false"/>
          <w:smallCaps w:val="false"/>
          <w:color w:val="000000"/>
          <w:spacing w:val="0"/>
          <w:sz w:val="20"/>
        </w:rPr>
        <w:t>Other sources of capital</w:t>
        <w:br/>
      </w:r>
      <w:r>
        <w:rPr>
          <w:rFonts w:ascii="Times New Roman" w:hAnsi="Times New Roman"/>
          <w:b w:val="false"/>
          <w:i w:val="false"/>
          <w:caps w:val="false"/>
          <w:smallCaps w:val="false"/>
          <w:color w:val="000000"/>
          <w:spacing w:val="0"/>
          <w:sz w:val="20"/>
        </w:rPr>
        <w:t> </w:t>
        <w:br/>
      </w:r>
      <w:r>
        <w:rPr>
          <w:rFonts w:ascii="times new roman;times" w:hAnsi="times new roman;times"/>
          <w:b w:val="false"/>
          <w:i w:val="false"/>
          <w:caps w:val="false"/>
          <w:smallCaps w:val="false"/>
          <w:color w:val="000000"/>
          <w:spacing w:val="0"/>
          <w:sz w:val="20"/>
          <w:u w:val="single"/>
        </w:rPr>
        <w:t>Credit Facility</w:t>
      </w:r>
      <w:r>
        <w:rPr>
          <w:rFonts w:ascii="times new roman;times" w:hAnsi="times new roman;times"/>
          <w:b w:val="false"/>
          <w:i w:val="false"/>
          <w:caps w:val="false"/>
          <w:smallCaps w:val="false"/>
          <w:color w:val="000000"/>
          <w:spacing w:val="0"/>
          <w:sz w:val="20"/>
        </w:rPr>
        <w:t> - On October 24, 2022, the Company amended its revolving credit agreement (the “Credit Facility”) to increase the facility from $1.03 billion to $1.25 billion and to extend the expiration to October 24, 2027. The revolving credit facility contains a sublimit of up to $250 million, with $150 million committed, for the issuance of letters of credit, a $75 million sublimit both for U.S. dollar swingline loans and for swingline loans in euros or British pounds sterling.  The Credit Facility allows for borrowings in British pounds sterling, euro and U.S. dollars. Subject to certain conditions, the Company has the option to increase the Credit Facility by up to an additional $500 million by requesting additional commitments from existing or new lenders. Fees and interest on borrowings vary based upon the Company's corporate credit rating and will be based, in the case of letter of credit fees, on a margin, and in the case of interest, on a margin over a secured overnight financing rate, as defined in the agreement, with a margin, including the facility fee, ranging from 1.00% to 1.625% or the base rate, as selected by the Company.  The applicable margin for borrowings under the credit facility, based on the Company's current credit rating is 1.25% including the facility fee. </w:t>
      </w:r>
    </w:p>
    <w:p>
      <w:pPr>
        <w:pStyle w:val="TextBody"/>
        <w:widowControl/>
        <w:bidi w:val="0"/>
        <w:ind w:left="0" w:right="0" w:hanging="0"/>
        <w:jc w:val="both"/>
        <w:rPr>
          <w:caps w:val="false"/>
          <w:smallCaps w:val="false"/>
          <w:color w:val="000000"/>
          <w:spacing w:val="0"/>
        </w:rPr>
      </w:pPr>
      <w:r>
        <w:rPr>
          <w:caps w:val="false"/>
          <w:smallCaps w:val="false"/>
          <w:color w:val="000000"/>
          <w:spacing w:val="0"/>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As of June 30, 2024, we had $396.6 million of borrowings and $51.4 million of stand-by letters of credit outstanding under the Credit Facility. The remaining $802.0 million under the Credit Facility was available for borrowing.</w:t>
      </w:r>
    </w:p>
    <w:p>
      <w:pPr>
        <w:pStyle w:val="TextBody"/>
        <w:bidi w:val="0"/>
        <w:spacing w:lineRule="auto" w:line="288" w:before="0" w:after="0"/>
        <w:ind w:left="0" w:right="0" w:hanging="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37</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before="0" w:after="0"/>
        <w:jc w:val="left"/>
        <w:rPr/>
      </w:pPr>
      <w:r>
        <w:rPr/>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u w:val="single"/>
        </w:rPr>
        <w:t>Convertible debt</w:t>
      </w:r>
      <w:r>
        <w:rPr>
          <w:rFonts w:ascii="times new roman;times" w:hAnsi="times new roman;times"/>
          <w:b w:val="false"/>
          <w:i w:val="false"/>
          <w:caps w:val="false"/>
          <w:smallCaps w:val="false"/>
          <w:color w:val="000000"/>
          <w:spacing w:val="0"/>
          <w:sz w:val="20"/>
        </w:rPr>
        <w:t> - On March 18, 2019, we completed the sale of $525.0 million in principal amount of Convertible Senior Notes due 2049 (“Convertible Notes”). The Convertible Notes were issued pursuant to an indenture, dated as of March 18, 2019 (the “Indenture”), by and between us and U.S. Bank National Association, as trustee. The Convertible Notes have an interest rate of 0.75% per annum payable semi-annually in March and September and are convertible into shares of Euronet common stock at a conversion price of approximately $188.73 per share if certain conditions are met (relating to the closing prices of Euronet common stock exceeding certain thresholds for specified periods). Holders of the Convertible Notes have the option to require us to repurchase for cash all or part of their Convertible Notes on each of March 15, 2025, 2029, 2034, 2039 and 2044 at a repurchase price equal to 100% of the principal amount of the Convertible Notes to be repurchased, plus accrued and unpaid interest to, but excluding, the relevant repurchase date. In connection with the issuance of the Convertible Notes, we recorded $</w:t>
      </w:r>
      <w:r>
        <w:rPr>
          <w:rFonts w:ascii="times new roman;times" w:hAnsi="times new roman;times"/>
          <w:b w:val="false"/>
          <w:i w:val="false"/>
          <w:caps w:val="false"/>
          <w:smallCaps w:val="false"/>
          <w:color w:val="000000"/>
          <w:spacing w:val="0"/>
          <w:sz w:val="20"/>
        </w:rPr>
        <w:t>12.8</w:t>
      </w:r>
      <w:r>
        <w:rPr>
          <w:rFonts w:ascii="times new roman;times" w:hAnsi="times new roman;times"/>
          <w:b w:val="false"/>
          <w:i w:val="false"/>
          <w:caps w:val="false"/>
          <w:smallCaps w:val="false"/>
          <w:color w:val="000000"/>
          <w:spacing w:val="0"/>
          <w:sz w:val="20"/>
        </w:rPr>
        <w:t xml:space="preserve"> million in debt issuance costs, which are being amortized through March 1, 2025.</w:t>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u w:val="single"/>
        </w:rPr>
        <w:t>Senior Notes</w:t>
      </w:r>
      <w:r>
        <w:rPr>
          <w:rFonts w:ascii="times new roman;times" w:hAnsi="times new roman;times"/>
          <w:b w:val="false"/>
          <w:i w:val="false"/>
          <w:caps w:val="false"/>
          <w:smallCaps w:val="false"/>
          <w:color w:val="000000"/>
          <w:spacing w:val="0"/>
          <w:sz w:val="20"/>
        </w:rPr>
        <w:t> - On May 22, 2019, we completed the sale of €600 million ($669.9 million) aggregate principal amount of Senior Notes that expire on May 2026 (the “Senior Notes”). The Senior Notes accrue interest at a rate of 1.375% per year, payable annually in arrears on May 22 of each year, until maturity or earlier redemption. As of June 30, 2024, we have outstanding €</w:t>
      </w:r>
      <w:r>
        <w:rPr>
          <w:rFonts w:ascii="times new roman;times" w:hAnsi="times new roman;times"/>
          <w:b w:val="false"/>
          <w:i w:val="false"/>
          <w:caps w:val="false"/>
          <w:smallCaps w:val="false"/>
          <w:color w:val="000000"/>
          <w:spacing w:val="0"/>
          <w:sz w:val="20"/>
        </w:rPr>
        <w:t>600.0</w:t>
      </w:r>
      <w:r>
        <w:rPr>
          <w:rFonts w:ascii="times new roman;times" w:hAnsi="times new roman;times"/>
          <w:b w:val="false"/>
          <w:i w:val="false"/>
          <w:caps w:val="false"/>
          <w:smallCaps w:val="false"/>
          <w:color w:val="000000"/>
          <w:spacing w:val="0"/>
          <w:sz w:val="20"/>
        </w:rPr>
        <w:t xml:space="preserve"> million ($642.6 million) principal amount of the Senior Notes. In addition, we may redeem some or all of these notes on or after February 22, 2026 at their principal amount plus any accrued and unpaid interest.</w:t>
      </w:r>
    </w:p>
    <w:p>
      <w:pPr>
        <w:pStyle w:val="TextBody"/>
        <w:widowControl/>
        <w:bidi w:val="0"/>
        <w:ind w:left="0" w:right="0" w:hanging="0"/>
        <w:jc w:val="left"/>
        <w:rPr>
          <w:rFonts w:ascii="Times New Roman" w:hAnsi="Times New Roman"/>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u w:val="single"/>
        </w:rPr>
        <w:t>Uncommitted Credit Agreements</w:t>
      </w:r>
      <w:r>
        <w:rPr>
          <w:rFonts w:ascii="times new roman;times" w:hAnsi="times new roman;times"/>
          <w:b w:val="false"/>
          <w:i w:val="false"/>
          <w:caps w:val="false"/>
          <w:smallCaps w:val="false"/>
          <w:color w:val="000000"/>
          <w:spacing w:val="0"/>
          <w:sz w:val="20"/>
        </w:rPr>
        <w:t xml:space="preserve"> - On June 26, 2023, the Company entered into an Uncommitted Loan Agreement for $150 million, which expired on June 21, 2024.  This loan was a Prime rate loan, a </w:t>
      </w:r>
      <w:r>
        <w:rPr>
          <w:rFonts w:ascii="Times New Roman" w:hAnsi="Times New Roman"/>
          <w:b w:val="false"/>
          <w:i w:val="false"/>
          <w:caps w:val="false"/>
          <w:smallCaps w:val="false"/>
          <w:color w:val="000000"/>
          <w:spacing w:val="0"/>
          <w:sz w:val="20"/>
        </w:rPr>
        <w:t xml:space="preserve">Bloomberg </w:t>
      </w:r>
      <w:r>
        <w:rPr>
          <w:rFonts w:ascii="times new roman;times" w:hAnsi="times new roman;times"/>
          <w:b w:val="false"/>
          <w:i w:val="false"/>
          <w:caps w:val="false"/>
          <w:smallCaps w:val="false"/>
          <w:color w:val="000000"/>
          <w:spacing w:val="0"/>
          <w:sz w:val="20"/>
        </w:rPr>
        <w:t>Short-term Bank Yield (“BSBY”) rate loan plus 0.95% or bore interest at the rate agreed to by the Bank and the Company at the time a loan was made.  The weighted average interest rate from the loan inception date to June 21, 2024, was 6.32%. </w:t>
      </w:r>
      <w:r>
        <w:rPr>
          <w:rFonts w:ascii="Times New Roman" w:hAnsi="Times New Roman"/>
          <w:b w:val="false"/>
          <w:i w:val="false"/>
          <w:caps w:val="false"/>
          <w:smallCaps w:val="false"/>
          <w:color w:val="000000"/>
          <w:spacing w:val="0"/>
          <w:sz w:val="20"/>
        </w:rPr>
        <w:t xml:space="preserve"> </w:t>
      </w:r>
    </w:p>
    <w:p>
      <w:pPr>
        <w:pStyle w:val="TextBody"/>
        <w:widowControl/>
        <w:bidi w:val="0"/>
        <w:spacing w:lineRule="auto" w:line="288"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bidi w:val="0"/>
        <w:spacing w:lineRule="auto" w:line="288" w:before="0" w:after="0"/>
        <w:ind w:left="0" w:right="0" w:hanging="0"/>
        <w:jc w:val="both"/>
        <w:rPr>
          <w:rFonts w:ascii="Aptos;sans-serif" w:hAnsi="Aptos;sans-serif"/>
          <w:b w:val="false"/>
          <w:i w:val="false"/>
          <w:caps w:val="false"/>
          <w:smallCaps w:val="false"/>
          <w:color w:val="000000"/>
          <w:spacing w:val="0"/>
          <w:sz w:val="22"/>
        </w:rPr>
      </w:pPr>
      <w:r>
        <w:rPr>
          <w:rFonts w:ascii="times new roman;times" w:hAnsi="times new roman;times"/>
          <w:b w:val="false"/>
          <w:i w:val="false"/>
          <w:caps w:val="false"/>
          <w:smallCaps w:val="false"/>
          <w:color w:val="000000"/>
          <w:spacing w:val="0"/>
          <w:sz w:val="20"/>
        </w:rPr>
        <w:t>On June 21, 2024, the Company rolled the $150 million Uncommitted Loan Agreement into a new Uncommitted Loan Agreement with a $400 million credit limit on or before September 30, 2024, and a credit limit of $250 million on or after October 1, 2024.  The loan was fully drawn and outstanding at June 30, 2024, for the sole purpose of providing vault cash for ATMs and expires no later than June 20, 2025.  The loan was a Prime Rate Loan, a Daily SOFR Rate Loan plus 1.05% or shall bear interest at the rate agreed to by the Bank and the Borrower at the time such Loan is made.  The weighted-average interest rate from loan inception date to June 30, 2024, was 6.37%. </w:t>
      </w:r>
      <w:r>
        <w:rPr>
          <w:rFonts w:ascii="Aptos;sans-serif" w:hAnsi="Aptos;sans-serif"/>
          <w:b w:val="false"/>
          <w:i w:val="false"/>
          <w:caps w:val="false"/>
          <w:smallCaps w:val="false"/>
          <w:color w:val="000000"/>
          <w:spacing w:val="0"/>
          <w:sz w:val="22"/>
        </w:rPr>
        <w:t xml:space="preserve"> </w:t>
      </w:r>
    </w:p>
    <w:p>
      <w:pPr>
        <w:pStyle w:val="TextBody"/>
        <w:widowControl/>
        <w:bidi w:val="0"/>
        <w:spacing w:before="0" w:after="0"/>
        <w:ind w:left="0" w:right="0" w:hanging="0"/>
        <w:jc w:val="both"/>
        <w:rPr>
          <w:rFonts w:ascii="times new roman;times" w:hAnsi="times new roman;times"/>
          <w:sz w:val="20"/>
        </w:rPr>
      </w:pPr>
      <w:r>
        <w:rPr>
          <w:rFonts w:ascii="times new roman;times" w:hAnsi="times new roman;times"/>
          <w:sz w:val="20"/>
        </w:rPr>
      </w:r>
    </w:p>
    <w:p>
      <w:pPr>
        <w:pStyle w:val="TextBody"/>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On June 27, 2024, the Company entered into an Uncommitted Loan Agreement for $300 million, </w:t>
      </w:r>
      <w:r>
        <w:rPr>
          <w:rFonts w:ascii="times new roman;times" w:hAnsi="times new roman;times"/>
          <w:b w:val="false"/>
          <w:i w:val="false"/>
          <w:caps w:val="false"/>
          <w:smallCaps w:val="false"/>
          <w:color w:val="000000"/>
          <w:spacing w:val="0"/>
          <w:sz w:val="20"/>
        </w:rPr>
        <w:t>fully drawn and outstanding at June 30, 2024, </w:t>
      </w:r>
      <w:r>
        <w:rPr>
          <w:rFonts w:ascii="times new roman;times" w:hAnsi="times new roman;times"/>
          <w:b w:val="false"/>
          <w:i w:val="false"/>
          <w:caps w:val="false"/>
          <w:smallCaps w:val="false"/>
          <w:color w:val="000000"/>
          <w:spacing w:val="0"/>
          <w:sz w:val="20"/>
        </w:rPr>
        <w:t>for the sole purpose of providing vault cash for ATMs, that expires no later than November 30, 2024. The loan is a Prime Rate Loan, a Daily Simple SOFR Rate Loan plus 1.125% or shall bear interest at the rate agreed to by the Bank and the Borrower at the time such Loan is made. </w:t>
      </w:r>
      <w:r>
        <w:rPr>
          <w:rFonts w:ascii="times new roman;times" w:hAnsi="times new roman;times"/>
          <w:b w:val="false"/>
          <w:i w:val="false"/>
          <w:caps w:val="false"/>
          <w:smallCaps w:val="false"/>
          <w:color w:val="000000"/>
          <w:spacing w:val="0"/>
          <w:sz w:val="20"/>
        </w:rPr>
        <w:t>The weighted-average interest rate from the loan inception date to June 30, 2024 was 6.37%.</w:t>
      </w:r>
    </w:p>
    <w:p>
      <w:pPr>
        <w:pStyle w:val="TextBody"/>
        <w:widowControl/>
        <w:bidi w:val="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u w:val="single"/>
        </w:rPr>
        <w:t>Other debt obligations</w:t>
      </w:r>
      <w:r>
        <w:rPr>
          <w:rFonts w:ascii="times new roman;times" w:hAnsi="times new roman;times"/>
          <w:b w:val="false"/>
          <w:i w:val="false"/>
          <w:caps w:val="false"/>
          <w:smallCaps w:val="false"/>
          <w:color w:val="000000"/>
          <w:spacing w:val="0"/>
          <w:sz w:val="20"/>
        </w:rPr>
        <w:t> — Certain of our subsidiaries have available credit lines and overdraft facilities to generally supplement short-term working capital requirements, when necessary. There was $8.9 million outstanding under these other obligation arrangements as of June 30, 2024.</w:t>
      </w:r>
    </w:p>
    <w:p>
      <w:pPr>
        <w:pStyle w:val="TextBody"/>
        <w:widowControl/>
        <w:bidi w:val="0"/>
        <w:ind w:left="0" w:right="0" w:hanging="0"/>
        <w:jc w:val="left"/>
        <w:rPr/>
      </w:pPr>
      <w:r>
        <w:rPr/>
      </w:r>
    </w:p>
    <w:p>
      <w:pPr>
        <w:pStyle w:val="TextBody"/>
        <w:widowControl/>
        <w:bidi w:val="0"/>
        <w:ind w:left="0" w:right="0" w:hanging="0"/>
        <w:jc w:val="left"/>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Other uses of capital</w:t>
      </w:r>
    </w:p>
    <w:p>
      <w:pPr>
        <w:pStyle w:val="TextBody"/>
        <w:widowControl/>
        <w:bidi w:val="0"/>
        <w:ind w:left="0" w:right="0" w:hanging="0"/>
        <w:jc w:val="left"/>
        <w:rPr>
          <w:rFonts w:ascii="times new roman;times" w:hAnsi="times new roman;times"/>
          <w:i/>
          <w:sz w:val="20"/>
        </w:rPr>
      </w:pPr>
      <w:r>
        <w:rPr>
          <w:rFonts w:ascii="times new roman;times" w:hAnsi="times new roman;times"/>
          <w:i/>
          <w:sz w:val="20"/>
        </w:rPr>
      </w:r>
    </w:p>
    <w:p>
      <w:pPr>
        <w:pStyle w:val="TextBody"/>
        <w:widowControl/>
        <w:bidi w:val="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u w:val="single"/>
        </w:rPr>
        <w:t>Capital expenditures and needs</w:t>
      </w:r>
      <w:r>
        <w:rPr>
          <w:rFonts w:ascii="times new roman;times" w:hAnsi="times new roman;times"/>
          <w:b w:val="false"/>
          <w:i w:val="false"/>
          <w:caps w:val="false"/>
          <w:smallCaps w:val="false"/>
          <w:color w:val="000000"/>
          <w:spacing w:val="0"/>
          <w:sz w:val="20"/>
        </w:rPr>
        <w:t xml:space="preserve"> - Total capital expenditures for the </w:t>
      </w:r>
      <w:r>
        <w:rPr>
          <w:rFonts w:ascii="times new roman;times" w:hAnsi="times new roman;times"/>
          <w:b w:val="false"/>
          <w:i w:val="false"/>
          <w:caps w:val="false"/>
          <w:smallCaps w:val="false"/>
          <w:color w:val="000000"/>
          <w:spacing w:val="0"/>
          <w:sz w:val="20"/>
        </w:rPr>
        <w:t>six</w:t>
      </w:r>
      <w:r>
        <w:rPr>
          <w:rFonts w:ascii="times new roman;times" w:hAnsi="times new roman;times"/>
          <w:b w:val="false"/>
          <w:i w:val="false"/>
          <w:caps w:val="false"/>
          <w:smallCaps w:val="false"/>
          <w:color w:val="000000"/>
          <w:spacing w:val="0"/>
          <w:sz w:val="20"/>
        </w:rPr>
        <w:t> months ended June 30, 2024 were $57.2 million. These capital expenditures were primarily for the purchase and installation of ATMs in key under-penetrated markets, the purchase of POS terminals for the epay and Money Transfer Segments, and office, data center and company store computer equipment and software. Total capital expenditures for 2024 are currently estimated to range from approximately $</w:t>
      </w:r>
      <w:r>
        <w:rPr>
          <w:rFonts w:ascii="times new roman;times" w:hAnsi="times new roman;times"/>
          <w:b w:val="false"/>
          <w:i w:val="false"/>
          <w:caps w:val="false"/>
          <w:smallCaps w:val="false"/>
          <w:color w:val="000000"/>
          <w:spacing w:val="0"/>
          <w:sz w:val="20"/>
        </w:rPr>
        <w:t>90</w:t>
      </w:r>
      <w:r>
        <w:rPr>
          <w:rFonts w:ascii="times new roman;times" w:hAnsi="times new roman;times"/>
          <w:b w:val="false"/>
          <w:i w:val="false"/>
          <w:caps w:val="false"/>
          <w:smallCaps w:val="false"/>
          <w:color w:val="000000"/>
          <w:spacing w:val="0"/>
          <w:sz w:val="20"/>
        </w:rPr>
        <w:t> million to $100 million. At current and projected cash flow levels, we anticipate that cash generated from operations, together with cash on hand and amounts available under our Credit Facility and other existing and potential future financing will be sufficient to meet our debt (including our uncommitted credit facilities), leasing, and capital expenditure obligations. If our capital resources are not sufficient to meet these obligations, we will seek to refinance our debt and/or issue additional equity under terms acceptable to us. However, we can offer no assurances that we will be able to obtain favorable terms for the refinancing of any of our debt or other obligations or for the issuance of additional equity.</w:t>
      </w:r>
    </w:p>
    <w:p>
      <w:pPr>
        <w:pStyle w:val="TextBody"/>
        <w:widowControl/>
        <w:bidi w:val="0"/>
        <w:ind w:left="0" w:right="0" w:hanging="0"/>
        <w:jc w:val="left"/>
        <w:rPr>
          <w:rFonts w:ascii="times new roman;times" w:hAnsi="times new roman;times"/>
          <w:sz w:val="20"/>
          <w:shd w:fill="FFFF00" w:val="clear"/>
        </w:rPr>
      </w:pPr>
      <w:r>
        <w:rPr>
          <w:rFonts w:ascii="times new roman;times" w:hAnsi="times new roman;times"/>
          <w:sz w:val="20"/>
          <w:shd w:fill="FFFF00" w:val="clear"/>
        </w:rPr>
      </w:r>
    </w:p>
    <w:p>
      <w:pPr>
        <w:pStyle w:val="TextBody"/>
        <w:widowControl/>
        <w:bidi w:val="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38</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widowControl/>
        <w:bidi w:val="0"/>
        <w:ind w:left="0" w:right="0" w:hanging="0"/>
        <w:jc w:val="left"/>
        <w:rPr/>
      </w:pPr>
      <w:r>
        <w:rPr/>
      </w:r>
    </w:p>
    <w:p>
      <w:pPr>
        <w:pStyle w:val="TextBody"/>
        <w:widowControl/>
        <w:bidi w:val="0"/>
        <w:ind w:left="0" w:right="0" w:hanging="0"/>
        <w:jc w:val="left"/>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Inflation and functional currencies</w:t>
      </w:r>
    </w:p>
    <w:p>
      <w:pPr>
        <w:pStyle w:val="TextBody"/>
        <w:widowControl/>
        <w:bidi w:val="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Historically, the countries in which we operate have experienced low and stable inflation. Therefore, the local currency in each of these markets is the functional currency. The current inflationary period has put pressure on our results of operations and our financial position, primarily in the form of increased compensation expense. In addition, we have seen some signs of inflation impacting demand for our products and services by affecting discretionary spend items, such as gaming products, in our epay business, discretionary travel expenditures in EFT, as well as some pressure on send amounts in money transfer.  As a consequence of this inflationary period, we expect to see increasing expenses forthcoming. We continually review inflation and the functional currency in each of the countries where we operate.</w:t>
      </w:r>
    </w:p>
    <w:p>
      <w:pPr>
        <w:pStyle w:val="TextBody"/>
        <w:widowControl/>
        <w:bidi w:val="0"/>
        <w:ind w:left="0" w:right="0" w:hanging="0"/>
        <w:jc w:val="left"/>
        <w:rPr>
          <w:caps w:val="false"/>
          <w:smallCaps w:val="false"/>
          <w:color w:val="000000"/>
          <w:spacing w:val="0"/>
        </w:rPr>
      </w:pPr>
      <w:r>
        <w:rPr>
          <w:caps w:val="false"/>
          <w:smallCaps w:val="false"/>
          <w:color w:val="000000"/>
          <w:spacing w:val="0"/>
        </w:rPr>
        <w:t> </w:t>
      </w:r>
    </w:p>
    <w:p>
      <w:pPr>
        <w:pStyle w:val="TextBody"/>
        <w:bidi w:val="0"/>
        <w:spacing w:lineRule="auto" w:line="288" w:before="0" w:after="160"/>
        <w:ind w:left="0" w:right="0" w:hanging="0"/>
        <w:jc w:val="left"/>
        <w:rPr>
          <w:rFonts w:ascii="times new roman;times" w:hAnsi="times new roman;times"/>
          <w:b/>
          <w:sz w:val="20"/>
        </w:rPr>
      </w:pPr>
      <w:r>
        <w:rPr>
          <w:rFonts w:ascii="times new roman;times" w:hAnsi="times new roman;times"/>
          <w:b/>
          <w:sz w:val="20"/>
        </w:rPr>
        <w:t>OFF BALANCE SHEET ARRANGEMENTS.</w:t>
      </w:r>
    </w:p>
    <w:p>
      <w:pPr>
        <w:pStyle w:val="TextBody"/>
        <w:widowControl/>
        <w:bidi w:val="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On occasion, we grant guarantees of the obligations of our subsidiaries, and we sometimes enter into agreements with unaffiliated third parties that contain indemnification provisions, the terms of which may vary depending on the negotiated terms of each respective agreement. Our liability under such indemnification provisions may be subject to time and materiality limitations, monetary caps and other conditions and defenses. As of June 30, 2024, there were no material changes from the disclosure in our Annual Report on Form 10-K for the year ended December 31, 2023. To date, we are not aware of any significant claims made by the indemnified parties or parties to whom we have provided guarantees on behalf of our subsidiaries and, accordingly, no liabilities have been recorded as of June 30, 2024. See also Note 15, Commitments, to the unaudited consolidated financial statements included elsewhere in this report.</w:t>
      </w:r>
    </w:p>
    <w:p>
      <w:pPr>
        <w:pStyle w:val="TextBody"/>
        <w:bidi w:val="0"/>
        <w:spacing w:lineRule="auto" w:line="288" w:before="0" w:after="160"/>
        <w:ind w:left="0" w:right="0" w:hanging="0"/>
        <w:jc w:val="left"/>
        <w:rPr>
          <w:rFonts w:ascii="times new roman;times" w:hAnsi="times new roman;times"/>
          <w:b/>
          <w:sz w:val="20"/>
        </w:rPr>
      </w:pPr>
      <w:r>
        <w:rPr>
          <w:rFonts w:ascii="times new roman;times" w:hAnsi="times new roman;times"/>
          <w:b/>
          <w:sz w:val="20"/>
        </w:rPr>
        <w:t>CONTRACTUAL OBLIGATIONS</w:t>
      </w:r>
    </w:p>
    <w:p>
      <w:pPr>
        <w:pStyle w:val="TextBody"/>
        <w:widowControl/>
        <w:bidi w:val="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As of June 30, 2024, there have been no material changes outside the ordinary course of business in our future contractual obligations from the amounts reported within our Annual Report on Form 10-K for the year ended December 31,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16" w:type="dxa"/>
        <w:jc w:val="left"/>
        <w:tblInd w:w="0" w:type="dxa"/>
        <w:tblLayout w:type="fixed"/>
        <w:tblCellMar>
          <w:top w:w="0" w:type="dxa"/>
          <w:left w:w="0" w:type="dxa"/>
          <w:bottom w:w="0" w:type="dxa"/>
          <w:right w:w="0" w:type="dxa"/>
        </w:tblCellMar>
      </w:tblPr>
      <w:tblGrid>
        <w:gridCol w:w="316"/>
      </w:tblGrid>
      <w:tr>
        <w:trPr/>
        <w:tc>
          <w:tcPr>
            <w:tcW w:w="31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39</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before="0" w:after="0"/>
        <w:jc w:val="left"/>
        <w:rPr>
          <w:sz w:val="20"/>
        </w:rPr>
      </w:pPr>
      <w:r>
        <w:rPr>
          <w:sz w:val="20"/>
        </w:rPr>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bidi w:val="0"/>
        <w:spacing w:before="0" w:after="0"/>
        <w:ind w:left="0" w:right="0" w:hanging="0"/>
        <w:jc w:val="left"/>
        <w:rPr/>
      </w:pPr>
      <w:hyperlink r:id="rId8">
        <w:bookmarkStart w:id="46" w:name="BJ_XJID6L54K000000000000000000000"/>
        <w:bookmarkEnd w:id="46"/>
        <w:r>
          <w:rPr>
            <w:rStyle w:val="InternetLink"/>
            <w:rFonts w:ascii="Times New Roman" w:hAnsi="Times New Roman"/>
            <w:b/>
            <w:i w:val="false"/>
            <w:caps w:val="false"/>
            <w:smallCaps w:val="false"/>
            <w:strike w:val="false"/>
            <w:dstrike w:val="false"/>
            <w:color w:val="000000"/>
            <w:spacing w:val="0"/>
            <w:sz w:val="20"/>
            <w:u w:val="none"/>
            <w:effect w:val="none"/>
          </w:rPr>
          <w:t>ITEM 3. QUANTITATIVE AND QUALITATIVE DISCLOSURES ABOUT MARKET RISK</w:t>
        </w:r>
      </w:hyperlink>
    </w:p>
    <w:p>
      <w:pPr>
        <w:pStyle w:val="TextBody"/>
        <w:widowControl/>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times" w:hAnsi="times new roman;times"/>
          <w:b w:val="false"/>
          <w:i/>
          <w:caps w:val="false"/>
          <w:smallCaps w:val="false"/>
          <w:color w:val="000000"/>
          <w:spacing w:val="0"/>
          <w:sz w:val="20"/>
        </w:rPr>
        <w:br/>
        <w:t>Interest rate risk</w:t>
        <w:br/>
      </w:r>
      <w:r>
        <w:rPr>
          <w:rFonts w:ascii="Times New Roman" w:hAnsi="Times New Roman"/>
          <w:b w:val="false"/>
          <w:i w:val="false"/>
          <w:caps w:val="false"/>
          <w:smallCaps w:val="false"/>
          <w:color w:val="000000"/>
          <w:spacing w:val="0"/>
          <w:sz w:val="20"/>
        </w:rPr>
        <w:br/>
      </w:r>
      <w:r>
        <w:rPr>
          <w:rFonts w:ascii="times new roman;times" w:hAnsi="times new roman;times"/>
          <w:b w:val="false"/>
          <w:i w:val="false"/>
          <w:caps w:val="false"/>
          <w:smallCaps w:val="false"/>
          <w:color w:val="000000"/>
          <w:spacing w:val="0"/>
          <w:sz w:val="20"/>
        </w:rPr>
        <w:t xml:space="preserve">As of </w:t>
      </w:r>
      <w:r>
        <w:rPr>
          <w:rFonts w:ascii="times new roman;times" w:hAnsi="times new roman;times"/>
          <w:b w:val="false"/>
          <w:i w:val="false"/>
          <w:caps w:val="false"/>
          <w:smallCaps w:val="false"/>
          <w:strike w:val="false"/>
          <w:dstrike w:val="false"/>
          <w:color w:val="000000"/>
          <w:spacing w:val="0"/>
          <w:sz w:val="20"/>
          <w:u w:val="none"/>
          <w:effect w:val="none"/>
        </w:rPr>
        <w:t>June 30, 2024</w:t>
      </w:r>
      <w:r>
        <w:rPr>
          <w:rFonts w:ascii="times new roman;times" w:hAnsi="times new roman;times"/>
          <w:b w:val="false"/>
          <w:i w:val="false"/>
          <w:caps w:val="false"/>
          <w:smallCaps w:val="false"/>
          <w:color w:val="000000"/>
          <w:spacing w:val="0"/>
          <w:sz w:val="20"/>
        </w:rPr>
        <w:t>, our total debt outstanding, excluding unamortized debt issuance costs, was $2,273.1 million. Of this amount, $525.0 million, net of debt discounts, or 23% of our total debt obligations, relates to our contingent Convertible Notes that have a fixed coupon rate. Our $525.0 million outstanding principal amount of Convertible Notes accrue cash interest at a rate of 0.75% of the principal amount per annum. Based on quoted market prices, as of June 30, 2024, the fair value of our fixed rate Convertible Notes was $510.7 million, compared to a carrying value of $525.0 million. Further, as of June 30, 2024 we had $396.6 million of borrowings under our Credit Facility, or 17% of our total debt obligations. If we were to maintain these borrowings for one year and maximize the potential borrowings available under the revolving credit facility for one year, a 1% (100 basis points) increase in the applicable interest rate would result in additional interest expense to the Company of approximately $12.5 million. The carrying values of the Credit Facility approximates fair value because interest as of June 30, 2024, was based on SOFR that resets at various intervals of less than one year. Additionally, $</w:t>
      </w:r>
      <w:r>
        <w:rPr>
          <w:rFonts w:ascii="times new roman;times" w:hAnsi="times new roman;times"/>
          <w:b w:val="false"/>
          <w:i w:val="false"/>
          <w:caps w:val="false"/>
          <w:smallCaps w:val="false"/>
          <w:color w:val="000000"/>
          <w:spacing w:val="0"/>
          <w:sz w:val="20"/>
        </w:rPr>
        <w:t>642.6</w:t>
      </w:r>
      <w:r>
        <w:rPr>
          <w:rFonts w:ascii="times new roman;times" w:hAnsi="times new roman;times"/>
          <w:b w:val="false"/>
          <w:i w:val="false"/>
          <w:caps w:val="false"/>
          <w:smallCaps w:val="false"/>
          <w:color w:val="000000"/>
          <w:spacing w:val="0"/>
          <w:sz w:val="20"/>
        </w:rPr>
        <w:t xml:space="preserve"> million, or 28%of our total debt obligations, relates to Senior Notes having a fixed coupon rate. Our $642.6 million outstanding principal amount of Senior Notes accrue cash interest at a rate of 1.375% of the principal amount per annum. Based on quoted market prices, as of June 30, 2024, the fair value of our fixed rate Senior Notes was $612.0 million, compared to a carrying value of $642.6 million. An additional $700.0 million,</w:t>
      </w:r>
      <w:r>
        <w:rPr>
          <w:rFonts w:ascii="Times New Roman" w:hAnsi="Times New Roman"/>
          <w:b w:val="false"/>
          <w:i w:val="false"/>
          <w:caps w:val="false"/>
          <w:smallCaps w:val="false"/>
          <w:color w:val="000000"/>
          <w:spacing w:val="0"/>
          <w:sz w:val="20"/>
        </w:rPr>
        <w:t xml:space="preserve"> or 31% of our total debt, is related to short-term uncommitted credit agreements. The credit agreements are due within one year and accrue interest at variable rates. The remaining $8.9 million is related to borrowings by certain subsidiaries to fund, from time to time, working capital requirements. These arrangements generally are due within one year and accrue interest at variable rates.</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bidi w:val="0"/>
        <w:spacing w:before="0" w:after="0"/>
        <w:ind w:left="0" w:right="0" w:hanging="0"/>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Additionally, as of June 30, 2024, we had approximately $3.7 million of finance leases with fixed payment and interest terms that expire between the years of 2024 and 2028. </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Our excess cash is invested in instruments with original maturities of three months or less or in certificates of deposit that may be withdrawn at any time without penalty; therefore, as investments mature and are reinvested, the amount we earn will increase or decrease with changes in the underlying short-term interest rates.</w:t>
        <w:br/>
      </w:r>
      <w:r>
        <w:rPr>
          <w:rFonts w:ascii="Times New Roman" w:hAnsi="Times New Roman"/>
          <w:b w:val="false"/>
          <w:i w:val="false"/>
          <w:caps w:val="false"/>
          <w:smallCaps w:val="false"/>
          <w:color w:val="000000"/>
          <w:spacing w:val="0"/>
          <w:sz w:val="20"/>
        </w:rPr>
        <w:br/>
      </w:r>
      <w:r>
        <w:rPr>
          <w:rFonts w:ascii="times new roman;times" w:hAnsi="times new roman;times"/>
          <w:b w:val="false"/>
          <w:i/>
          <w:caps w:val="false"/>
          <w:smallCaps w:val="false"/>
          <w:color w:val="000000"/>
          <w:spacing w:val="0"/>
          <w:sz w:val="20"/>
        </w:rPr>
        <w:t>Foreign currency exchange rate risk</w:t>
        <w:br/>
      </w:r>
      <w:r>
        <w:rPr>
          <w:rFonts w:ascii="Times New Roman" w:hAnsi="Times New Roman"/>
          <w:b w:val="false"/>
          <w:i w:val="false"/>
          <w:caps w:val="false"/>
          <w:smallCaps w:val="false"/>
          <w:color w:val="000000"/>
          <w:spacing w:val="0"/>
          <w:sz w:val="20"/>
        </w:rPr>
        <w:br/>
      </w:r>
      <w:r>
        <w:rPr>
          <w:rFonts w:ascii="times new roman;times" w:hAnsi="times new roman;times"/>
          <w:b w:val="false"/>
          <w:i w:val="false"/>
          <w:caps w:val="false"/>
          <w:smallCaps w:val="false"/>
          <w:color w:val="000000"/>
          <w:spacing w:val="0"/>
          <w:sz w:val="20"/>
        </w:rPr>
        <w:t>For the six months ended June 30, 2024, approximately 74.5% of our revenues were generated in non-U.S. dollar countries and we expect to continue generating a significant portion of our revenues in countries with currencies other than the U.S. dollar.</w:t>
        <w:br/>
      </w:r>
      <w:r>
        <w:rPr>
          <w:rFonts w:ascii="Times New Roman" w:hAnsi="Times New Roman"/>
          <w:b w:val="false"/>
          <w:i w:val="false"/>
          <w:caps w:val="false"/>
          <w:smallCaps w:val="false"/>
          <w:color w:val="000000"/>
          <w:spacing w:val="0"/>
          <w:sz w:val="20"/>
        </w:rPr>
        <w:br/>
      </w:r>
      <w:r>
        <w:rPr>
          <w:rFonts w:ascii="times new roman;times" w:hAnsi="times new roman;times"/>
          <w:b w:val="false"/>
          <w:i w:val="false"/>
          <w:caps w:val="false"/>
          <w:smallCaps w:val="false"/>
          <w:color w:val="000000"/>
          <w:spacing w:val="0"/>
          <w:sz w:val="20"/>
        </w:rPr>
        <w:t>We are particularly vulnerable to fluctuations in exchange rates of the U.S. dollar to the currencies of countries in which we have significant operations, primarily the euro, British pound, Australian dollar, Polish zloty, Indian rupee, New Zealand dollar, Malaysian ringgit and Hungarian forint. As of June 30, 2024, we estimate that a 1</w:t>
      </w:r>
      <w:r>
        <w:rPr>
          <w:rFonts w:ascii="times new roman;times" w:hAnsi="times new roman;times"/>
          <w:b w:val="false"/>
          <w:i w:val="false"/>
          <w:caps w:val="false"/>
          <w:smallCaps w:val="false"/>
          <w:color w:val="000000"/>
          <w:spacing w:val="0"/>
          <w:sz w:val="20"/>
        </w:rPr>
        <w:t>0</w:t>
      </w:r>
      <w:r>
        <w:rPr>
          <w:rFonts w:ascii="times new roman;times" w:hAnsi="times new roman;times"/>
          <w:b w:val="false"/>
          <w:i w:val="false"/>
          <w:caps w:val="false"/>
          <w:smallCaps w:val="false"/>
          <w:color w:val="000000"/>
          <w:spacing w:val="0"/>
          <w:sz w:val="20"/>
        </w:rPr>
        <w:t>% fluctuation in these foreign currency exchange rates would have the combined annualized effect on reported net income and working capital of approximately $105 million to $115 million. This effect is estimated by applying a 1</w:t>
      </w:r>
      <w:r>
        <w:rPr>
          <w:rFonts w:ascii="times new roman;times" w:hAnsi="times new roman;times"/>
          <w:b w:val="false"/>
          <w:i w:val="false"/>
          <w:caps w:val="false"/>
          <w:smallCaps w:val="false"/>
          <w:color w:val="000000"/>
          <w:spacing w:val="0"/>
          <w:sz w:val="20"/>
        </w:rPr>
        <w:t>0</w:t>
      </w:r>
      <w:r>
        <w:rPr>
          <w:rFonts w:ascii="times new roman;times" w:hAnsi="times new roman;times"/>
          <w:b w:val="false"/>
          <w:i w:val="false"/>
          <w:caps w:val="false"/>
          <w:smallCaps w:val="false"/>
          <w:color w:val="000000"/>
          <w:spacing w:val="0"/>
          <w:sz w:val="20"/>
        </w:rPr>
        <w:t>% adjustment factor to our non-U.S. dollar results from operations, intercompany loans that generate foreign currency gains or losses and working capital balances that require translation from the respective functional currency to the U.S. dollar reporting currency.</w:t>
        <w:br/>
      </w:r>
      <w:r>
        <w:rPr>
          <w:rFonts w:ascii="Times New Roman" w:hAnsi="Times New Roman"/>
          <w:b w:val="false"/>
          <w:i w:val="false"/>
          <w:caps w:val="false"/>
          <w:smallCaps w:val="false"/>
          <w:color w:val="000000"/>
          <w:spacing w:val="0"/>
          <w:sz w:val="20"/>
        </w:rPr>
        <w:br/>
      </w:r>
      <w:r>
        <w:rPr>
          <w:rFonts w:ascii="times new roman;times" w:hAnsi="times new roman;times"/>
          <w:b w:val="false"/>
          <w:i w:val="false"/>
          <w:caps w:val="false"/>
          <w:smallCaps w:val="false"/>
          <w:color w:val="000000"/>
          <w:spacing w:val="0"/>
          <w:sz w:val="20"/>
        </w:rPr>
        <w:t>Additionally, we have other non-current, non-U.S. dollar assets and liabilities on our balance sheet that are translated to the U.S. dollar during consolidation. These items primarily represent goodwill and intangible assets recorded in connection with acquisitions in countries other than the U.S. and our Senior Notes. We estimate that a 1</w:t>
      </w:r>
      <w:r>
        <w:rPr>
          <w:rFonts w:ascii="times new roman;times" w:hAnsi="times new roman;times"/>
          <w:b w:val="false"/>
          <w:i w:val="false"/>
          <w:caps w:val="false"/>
          <w:smallCaps w:val="false"/>
          <w:color w:val="000000"/>
          <w:spacing w:val="0"/>
          <w:sz w:val="20"/>
        </w:rPr>
        <w:t>0</w:t>
      </w:r>
      <w:r>
        <w:rPr>
          <w:rFonts w:ascii="times new roman;times" w:hAnsi="times new roman;times"/>
          <w:b w:val="false"/>
          <w:i w:val="false"/>
          <w:caps w:val="false"/>
          <w:smallCaps w:val="false"/>
          <w:color w:val="000000"/>
          <w:spacing w:val="0"/>
          <w:sz w:val="20"/>
        </w:rPr>
        <w:t>% fluctuation in foreign currency exchange rates would have a non-cash impact on total comprehensive income of approximately $115 million to $125 million as a result of the change in value of these items during translation to the U.S. dollar. For the fluctuations described above, a strengthening U.S. dollar produces a financial loss, while a weakening U.S. dollar produces a financial gain.</w:t>
        <w:br/>
      </w:r>
      <w:r>
        <w:rPr>
          <w:rFonts w:ascii="Times New Roman" w:hAnsi="Times New Roman"/>
          <w:b w:val="false"/>
          <w:i w:val="false"/>
          <w:caps w:val="false"/>
          <w:smallCaps w:val="false"/>
          <w:color w:val="000000"/>
          <w:spacing w:val="0"/>
          <w:sz w:val="20"/>
        </w:rPr>
        <w:br/>
      </w:r>
      <w:r>
        <w:rPr>
          <w:rFonts w:ascii="times new roman;times" w:hAnsi="times new roman;times"/>
          <w:b w:val="false"/>
          <w:i w:val="false"/>
          <w:caps w:val="false"/>
          <w:smallCaps w:val="false"/>
          <w:color w:val="000000"/>
          <w:spacing w:val="0"/>
          <w:sz w:val="20"/>
        </w:rPr>
        <w:t>We believe this quantitative measure has inherent limitations and does not take into account any governmental actions or changes in either customer purchasing patterns or our financing or operating strategies. Because a majority of our revenues and expenses are incurred in the functional currencies of our international operating entities, the profits we earn in foreign currencies are positively impacted by a weakening of the U.S. dollar and negatively impacted by a strengthening of the U.S. dollar. Additionally, a significant portion of our debt obligations are in U.S. dollars; therefore, as foreign currency exchange rates fluctuate, the amount available for repayment of debt will also increase or decrease.</w:t>
        <w:br/>
      </w:r>
      <w:r>
        <w:rPr>
          <w:rFonts w:ascii="Times New Roman" w:hAnsi="Times New Roman"/>
          <w:b w:val="false"/>
          <w:i w:val="false"/>
          <w:caps w:val="false"/>
          <w:smallCaps w:val="false"/>
          <w:color w:val="000000"/>
          <w:spacing w:val="0"/>
          <w:sz w:val="20"/>
        </w:rPr>
        <w:br/>
      </w:r>
      <w:r>
        <w:rPr>
          <w:rFonts w:ascii="times new roman;times" w:hAnsi="times new roman;times"/>
          <w:b w:val="false"/>
          <w:i w:val="false"/>
          <w:caps w:val="false"/>
          <w:smallCaps w:val="false"/>
          <w:color w:val="000000"/>
          <w:spacing w:val="0"/>
          <w:sz w:val="20"/>
        </w:rPr>
        <w:t>We use derivatives to minimize our exposures related to changes in foreign currency exchange rates and to facilitate foreign currency risk management services by writing derivatives to customers. Derivatives are used to manage the overall market risk associated with foreign currency exchange rates; however, we do not perform the extensive record-keeping required to account for the derivative transactions as hedges. Due to the relatively short duration of the derivative contracts, we use the derivatives primarily as economic hedges. Since we do not designate foreign currency derivatives as hedging instruments pursuant to the accounting standards, we record gains and losses on foreign exchange derivatives in earnings in the period of change. </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16" w:type="dxa"/>
        <w:jc w:val="left"/>
        <w:tblInd w:w="0" w:type="dxa"/>
        <w:tblLayout w:type="fixed"/>
        <w:tblCellMar>
          <w:top w:w="0" w:type="dxa"/>
          <w:left w:w="0" w:type="dxa"/>
          <w:bottom w:w="0" w:type="dxa"/>
          <w:right w:w="0" w:type="dxa"/>
        </w:tblCellMar>
      </w:tblPr>
      <w:tblGrid>
        <w:gridCol w:w="316"/>
      </w:tblGrid>
      <w:tr>
        <w:trPr/>
        <w:tc>
          <w:tcPr>
            <w:tcW w:w="31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40</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before="0" w:after="0"/>
        <w:jc w:val="left"/>
        <w:rPr>
          <w:sz w:val="20"/>
        </w:rPr>
      </w:pPr>
      <w:r>
        <w:rPr>
          <w:sz w:val="20"/>
        </w:rPr>
      </w:r>
    </w:p>
    <w:p>
      <w:pPr>
        <w:pStyle w:val="TextBody"/>
        <w:widowControl/>
        <w:bidi w:val="0"/>
        <w:spacing w:lineRule="atLeast" w:line="240" w:before="0" w:after="0"/>
        <w:ind w:left="0" w:right="0" w:hanging="0"/>
        <w:jc w:val="both"/>
        <w:rPr>
          <w:sz w:val="20"/>
        </w:rPr>
      </w:pPr>
      <w:r>
        <w:rPr>
          <w:sz w:val="20"/>
        </w:rPr>
      </w:r>
    </w:p>
    <w:p>
      <w:pPr>
        <w:pStyle w:val="TextBody"/>
        <w:widowControl/>
        <w:bidi w:val="0"/>
        <w:ind w:left="0" w:right="0" w:hanging="0"/>
        <w:jc w:val="left"/>
        <w:rPr>
          <w:rFonts w:ascii="Times New Roman" w:hAnsi="Times New Roman"/>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A majority of our consumer-to-consumer money transfer operations involve receiving and disbursing different currencies, in which we earn a foreign currency spread based on the difference between buying currency at wholesale exchange rates and selling the currency to consumers at retail exchange rates. We enter into foreign currency forward and cross-currency swap contracts to minimize exposure related to fluctuations in foreign currency exchange rates. The changes in fair value related to these contracts are recorded in Foreign currency exchange (loss) gain, net on the Consolidated Statements of Income. As of June 30, 2024, we had foreign currency derivative contracts outstanding with a notional value of $509.7 million, primarily in Australian dollars, British pounds, Canadian dollars, euros and Mexican pesos, that were not designated as hedges and mature within a few days.</w:t>
        <w:br/>
      </w:r>
      <w:r>
        <w:rPr>
          <w:rFonts w:ascii="Times New Roman" w:hAnsi="Times New Roman"/>
          <w:b w:val="false"/>
          <w:i w:val="false"/>
          <w:caps w:val="false"/>
          <w:smallCaps w:val="false"/>
          <w:color w:val="000000"/>
          <w:spacing w:val="0"/>
          <w:sz w:val="20"/>
        </w:rPr>
        <w:br/>
      </w:r>
      <w:r>
        <w:rPr>
          <w:rFonts w:ascii="times new roman;times" w:hAnsi="times new roman;times"/>
          <w:b w:val="false"/>
          <w:i w:val="false"/>
          <w:caps w:val="false"/>
          <w:smallCaps w:val="false"/>
          <w:color w:val="000000"/>
          <w:spacing w:val="0"/>
          <w:sz w:val="20"/>
        </w:rPr>
        <w:t>For derivative instruments our xe operations write to customers, we aggregate the foreign currency exposure arising from customer contracts, and hedge the resulting net currency risks by entering into offsetting contracts with established financial institution counterparties as part of a broader foreign currency portfolio. The changes in fair value related to the total portfolio of positions are recorded in Revenues on the Consolidated Statements of Income. As of June 30, 2024, we held foreign currency derivative contracts outstanding with a notional value of $1.5 billion, primarily in U.S. dollars, euros, British pounds, Australian dollars and New Zealand dollars, that were not designated as hedges and for which the majority mature within the next twelve months.</w:t>
      </w:r>
    </w:p>
    <w:p>
      <w:pPr>
        <w:pStyle w:val="TextBody"/>
        <w:widowControl/>
        <w:bidi w:val="0"/>
        <w:spacing w:before="0" w:after="0"/>
        <w:ind w:left="0" w:right="0" w:hanging="0"/>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We use longer-term foreign currency forward contracts to mitigate risks associated with changes in foreign currency exchange rates on certain foreign currency denominated other asset and liability positions. As of June 30, 2024, the Company had foreign currency forward contracts outstanding with a notional value of $1.5 million, primarily in euros. </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See Note 11, Derivative Instruments and Hedging Activities, to our unaudited consolidated financial statements for additional information. </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bidi w:val="0"/>
        <w:spacing w:before="0" w:after="0"/>
        <w:ind w:left="0" w:right="0" w:hanging="0"/>
        <w:jc w:val="left"/>
        <w:rPr/>
      </w:pPr>
      <w:hyperlink r:id="rId9">
        <w:bookmarkStart w:id="47" w:name="BK_BNO1HW2O4W00000000000000000000"/>
        <w:bookmarkEnd w:id="47"/>
        <w:r>
          <w:rPr>
            <w:rStyle w:val="InternetLink"/>
            <w:rFonts w:ascii="Times New Roman" w:hAnsi="Times New Roman"/>
            <w:b/>
            <w:i w:val="false"/>
            <w:caps w:val="false"/>
            <w:smallCaps w:val="false"/>
            <w:strike w:val="false"/>
            <w:dstrike w:val="false"/>
            <w:color w:val="000000"/>
            <w:spacing w:val="0"/>
            <w:sz w:val="20"/>
            <w:u w:val="none"/>
            <w:effect w:val="none"/>
          </w:rPr>
          <w:t>ITEM 4. CONTROLS AND PROCEDURES</w:t>
        </w:r>
      </w:hyperlink>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Our executive management, including our Chief Executive Officer and Chief Financial Officer, evaluated the effectiveness of the design and operation of our disclosure controls and procedures pursuant to Rule 13a-15(b) under the Exchange Act as of June 30, 2024.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bidi w:val="0"/>
        <w:spacing w:before="0" w:after="0"/>
        <w:ind w:left="0" w:right="0" w:hanging="0"/>
        <w:jc w:val="left"/>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Change in Internal Controls</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There have been no changes in our internal control over financial reporting during the three months period ended  June 30, 2024 that has materially affected, or is reasonably likely to materially affect, our internal control over financial reporting.</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pPr>
      <w:hyperlink w:anchor="TOC">
        <w:bookmarkStart w:id="48" w:name="BL_AMVLAF0ZB400000000000000000000"/>
        <w:bookmarkEnd w:id="48"/>
        <w:r>
          <w:rPr>
            <w:rStyle w:val="InternetLink"/>
            <w:rFonts w:ascii="Times New Roman" w:hAnsi="Times New Roman"/>
            <w:b/>
            <w:i w:val="false"/>
            <w:caps w:val="false"/>
            <w:smallCaps w:val="false"/>
            <w:strike w:val="false"/>
            <w:dstrike w:val="false"/>
            <w:color w:val="000000"/>
            <w:spacing w:val="0"/>
            <w:sz w:val="20"/>
            <w:u w:val="none"/>
            <w:effect w:val="none"/>
          </w:rPr>
          <w:t>PART II—OTHER INFORMATION</w:t>
        </w:r>
      </w:hyperlink>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bidi w:val="0"/>
        <w:ind w:left="0" w:right="0" w:hanging="0"/>
        <w:jc w:val="left"/>
        <w:rPr/>
      </w:pPr>
      <w:hyperlink w:anchor="TOC">
        <w:bookmarkStart w:id="49" w:name="BM_RNIT215VHS00000000000000000000"/>
        <w:bookmarkEnd w:id="49"/>
        <w:r>
          <w:rPr>
            <w:rStyle w:val="InternetLink"/>
            <w:rFonts w:ascii="Times New Roman" w:hAnsi="Times New Roman"/>
            <w:b/>
            <w:i w:val="false"/>
            <w:caps w:val="false"/>
            <w:smallCaps w:val="false"/>
            <w:strike w:val="false"/>
            <w:dstrike w:val="false"/>
            <w:color w:val="000000"/>
            <w:spacing w:val="0"/>
            <w:sz w:val="20"/>
            <w:u w:val="none"/>
            <w:effect w:val="none"/>
          </w:rPr>
          <w:t>ITEM 1. LEGAL PROCEEDINGS</w:t>
        </w:r>
      </w:hyperlink>
      <w:r>
        <w:rPr>
          <w:rFonts w:ascii="Times New Roman" w:hAnsi="Times New Roman"/>
          <w:b w:val="false"/>
          <w:i w:val="false"/>
          <w:caps w:val="false"/>
          <w:smallCaps w:val="false"/>
          <w:color w:val="000000"/>
          <w:spacing w:val="0"/>
          <w:sz w:val="20"/>
        </w:rPr>
        <w:br/>
      </w:r>
      <w:r>
        <w:rPr>
          <w:rFonts w:ascii="times new roman;times" w:hAnsi="times new roman;times"/>
          <w:b w:val="false"/>
          <w:i w:val="false"/>
          <w:caps w:val="false"/>
          <w:smallCaps w:val="false"/>
          <w:color w:val="000000"/>
          <w:spacing w:val="0"/>
          <w:sz w:val="20"/>
        </w:rPr>
        <w:br/>
        <w:t>The Company is, from time to time, a party to legal or regulatory proceedings arising in the ordinary course of its business.</w:t>
        <w:br/>
      </w:r>
      <w:r>
        <w:rPr>
          <w:rFonts w:ascii="Times New Roman" w:hAnsi="Times New Roman"/>
          <w:b w:val="false"/>
          <w:i w:val="false"/>
          <w:caps w:val="false"/>
          <w:smallCaps w:val="false"/>
          <w:color w:val="000000"/>
          <w:spacing w:val="0"/>
          <w:sz w:val="20"/>
        </w:rPr>
        <w:br/>
      </w:r>
      <w:r>
        <w:rPr>
          <w:rFonts w:ascii="times new roman;times" w:hAnsi="times new roman;times"/>
          <w:b w:val="false"/>
          <w:i w:val="false"/>
          <w:caps w:val="false"/>
          <w:smallCaps w:val="false"/>
          <w:color w:val="000000"/>
          <w:spacing w:val="0"/>
          <w:sz w:val="20"/>
        </w:rPr>
        <w:t>The discussion regarding contingencies in Part I, Item 1 — Financial Statements (unaudited), Note 16, Litigation and Contingencies, to the unaudited consolidated financial statements in this report is incorporated herein by reference.</w:t>
      </w:r>
    </w:p>
    <w:p>
      <w:pPr>
        <w:pStyle w:val="TextBody"/>
        <w:widowControl/>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From time to time, the Company is a party to legal or regulatory proceedings arising in the ordinary course of the Company's business. In accordance with U.S. GAAP, the Company records a liability when it is both probable that a liability has been incurred and the amount of the loss can be reasonable estimated.</w:t>
      </w:r>
      <w:r>
        <w:rPr>
          <w:rFonts w:ascii="Times New Roman" w:hAnsi="Times New Roman"/>
          <w:b w:val="false"/>
          <w:i w:val="false"/>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Currently</w:t>
      </w:r>
      <w:r>
        <w:rPr>
          <w:rFonts w:ascii="times new roman;times" w:hAnsi="times new roman;times"/>
          <w:b w:val="false"/>
          <w:i w:val="false"/>
          <w:caps w:val="false"/>
          <w:smallCaps w:val="false"/>
          <w:color w:val="000000"/>
          <w:spacing w:val="0"/>
          <w:sz w:val="20"/>
        </w:rPr>
        <w:t>, there are no legal proceeding s or regulatory findings which are both probable that a liability has been incurred and can be reasonably estimated that management believes, either individually or in the aggregate, would have a material adverse effect on the Company's consolidated financial condition or results of operations.  These provisions are reviewed at least quarterly and adjusted to reflect the impacts of negotiations, settlements, rulings, advice of legal counsel, and other information and events pertaining to a particular case.</w:t>
      </w:r>
    </w:p>
    <w:p>
      <w:pPr>
        <w:pStyle w:val="TextBody"/>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r>
    </w:p>
    <w:p>
      <w:pPr>
        <w:pStyle w:val="TextBody"/>
        <w:widowControl/>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serif" w:hAnsi="Times New Roman;serif"/>
          <w:b w:val="false"/>
          <w:i w:val="false"/>
          <w:caps w:val="false"/>
          <w:smallCaps w:val="false"/>
          <w:color w:val="000000"/>
          <w:spacing w:val="0"/>
          <w:sz w:val="20"/>
        </w:rPr>
        <w:t xml:space="preserve">During July 2024, the Company received an adverse judicial decision related to withholding taxes on certain agency relationships in Italy within the Money Transfer Segment, which the Company plans to appeal. </w:t>
      </w:r>
      <w:r>
        <w:rPr>
          <w:rFonts w:ascii="times new roman;times" w:hAnsi="times new roman;times"/>
          <w:b w:val="false"/>
          <w:i w:val="false"/>
          <w:caps w:val="false"/>
          <w:smallCaps w:val="false"/>
          <w:color w:val="000000"/>
          <w:spacing w:val="0"/>
          <w:sz w:val="20"/>
        </w:rPr>
        <w:t>The Company completed an assessment and concluded that it is reasonably possible that a liability has been incurred, but not probable. The principal amount of the agent-based withholding tax could be approximately $16.5 million for all open periods.</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16" w:type="dxa"/>
        <w:jc w:val="left"/>
        <w:tblInd w:w="0" w:type="dxa"/>
        <w:tblLayout w:type="fixed"/>
        <w:tblCellMar>
          <w:top w:w="0" w:type="dxa"/>
          <w:left w:w="0" w:type="dxa"/>
          <w:bottom w:w="0" w:type="dxa"/>
          <w:right w:w="0" w:type="dxa"/>
        </w:tblCellMar>
      </w:tblPr>
      <w:tblGrid>
        <w:gridCol w:w="316"/>
      </w:tblGrid>
      <w:tr>
        <w:trPr/>
        <w:tc>
          <w:tcPr>
            <w:tcW w:w="31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41</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before="0" w:after="0"/>
        <w:jc w:val="left"/>
        <w:rPr>
          <w:sz w:val="20"/>
        </w:rPr>
      </w:pPr>
      <w:r>
        <w:rPr>
          <w:sz w:val="20"/>
        </w:rPr>
      </w:r>
    </w:p>
    <w:p>
      <w:pPr>
        <w:pStyle w:val="TextBody"/>
        <w:widowControl/>
        <w:bidi w:val="0"/>
        <w:spacing w:lineRule="auto" w:line="288" w:before="0" w:after="0"/>
        <w:ind w:left="0" w:right="0" w:hanging="0"/>
        <w:jc w:val="left"/>
        <w:rPr>
          <w:sz w:val="20"/>
        </w:rPr>
      </w:pPr>
      <w:r>
        <w:rPr>
          <w:sz w:val="20"/>
        </w:rPr>
      </w:r>
    </w:p>
    <w:p>
      <w:pPr>
        <w:pStyle w:val="TextBody"/>
        <w:widowControl/>
        <w:bidi w:val="0"/>
        <w:ind w:left="0" w:right="0" w:hanging="0"/>
        <w:jc w:val="left"/>
        <w:rPr/>
      </w:pPr>
      <w:hyperlink w:anchor="TOC">
        <w:bookmarkStart w:id="50" w:name="BN_7MHUS74L4000000000000000000000"/>
        <w:bookmarkEnd w:id="50"/>
        <w:r>
          <w:rPr>
            <w:rStyle w:val="InternetLink"/>
            <w:rFonts w:ascii="Times New Roman" w:hAnsi="Times New Roman"/>
            <w:b/>
            <w:i w:val="false"/>
            <w:caps w:val="false"/>
            <w:smallCaps w:val="false"/>
            <w:strike w:val="false"/>
            <w:dstrike w:val="false"/>
            <w:color w:val="000000"/>
            <w:spacing w:val="0"/>
            <w:sz w:val="20"/>
            <w:u w:val="none"/>
            <w:effect w:val="none"/>
          </w:rPr>
          <w:t>ITEM 1A. RISK FACTORS</w:t>
        </w:r>
      </w:hyperlink>
    </w:p>
    <w:p>
      <w:pPr>
        <w:pStyle w:val="TextBody"/>
        <w:widowControl/>
        <w:shd w:fill="FFFFFF" w:val="clear"/>
        <w:bidi w:val="0"/>
        <w:spacing w:lineRule="atLeast" w:line="240"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shd w:fill="FFFFFF" w:val="clear"/>
        <w:bidi w:val="0"/>
        <w:spacing w:lineRule="atLeast" w:line="240"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Except as otherwise described herein, there were no material changes to the risk factors previously disclosed in our Annual Report on Form 10-K for the year ended 31 December 2023, as filed with the SEC. </w:t>
      </w:r>
    </w:p>
    <w:p>
      <w:pPr>
        <w:pStyle w:val="TextBody"/>
        <w:widowControl/>
        <w:bidi w:val="0"/>
        <w:spacing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bidi w:val="0"/>
        <w:ind w:left="0" w:right="0" w:hanging="0"/>
        <w:jc w:val="left"/>
        <w:rPr/>
      </w:pPr>
      <w:hyperlink w:anchor="TOC">
        <w:bookmarkStart w:id="51" w:name="BO_IIRO4FFNM800000000000000000000"/>
        <w:bookmarkEnd w:id="51"/>
        <w:r>
          <w:rPr>
            <w:rStyle w:val="InternetLink"/>
            <w:rFonts w:ascii="Times New Roman" w:hAnsi="Times New Roman"/>
            <w:b/>
            <w:i w:val="false"/>
            <w:caps w:val="false"/>
            <w:smallCaps w:val="false"/>
            <w:strike w:val="false"/>
            <w:dstrike w:val="false"/>
            <w:color w:val="000000"/>
            <w:spacing w:val="0"/>
            <w:sz w:val="20"/>
            <w:u w:val="none"/>
            <w:effect w:val="none"/>
          </w:rPr>
          <w:t>ITEM 2.    UNREGISTERED SALES OF EQUITY SECURITIES AND USE OF PROCEEDS</w:t>
        </w:r>
      </w:hyperlink>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following table provides information with respect to shares of the Company's common stock that were purchased by the Company during the three months ended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10205" w:type="dxa"/>
        <w:jc w:val="left"/>
        <w:tblInd w:w="0" w:type="dxa"/>
        <w:tblLayout w:type="fixed"/>
        <w:tblCellMar>
          <w:top w:w="0" w:type="dxa"/>
          <w:left w:w="0" w:type="dxa"/>
          <w:bottom w:w="0" w:type="dxa"/>
          <w:right w:w="0" w:type="dxa"/>
        </w:tblCellMar>
      </w:tblPr>
      <w:tblGrid>
        <w:gridCol w:w="1078"/>
        <w:gridCol w:w="60"/>
        <w:gridCol w:w="1462"/>
        <w:gridCol w:w="39"/>
        <w:gridCol w:w="60"/>
        <w:gridCol w:w="216"/>
        <w:gridCol w:w="1022"/>
        <w:gridCol w:w="39"/>
        <w:gridCol w:w="60"/>
        <w:gridCol w:w="2801"/>
        <w:gridCol w:w="75"/>
        <w:gridCol w:w="60"/>
        <w:gridCol w:w="622"/>
        <w:gridCol w:w="2415"/>
        <w:gridCol w:w="196"/>
      </w:tblGrid>
      <w:tr>
        <w:trPr/>
        <w:tc>
          <w:tcPr>
            <w:tcW w:w="10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0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4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0"/>
              <w:jc w:val="left"/>
              <w:rPr>
                <w:rFonts w:ascii="times new roman;times" w:hAnsi="times new roman;times"/>
                <w:b/>
                <w:sz w:val="16"/>
              </w:rPr>
            </w:pPr>
            <w:r>
              <w:rPr>
                <w:rFonts w:ascii="times new roman;times" w:hAnsi="times new roman;times"/>
                <w:b/>
                <w:sz w:val="16"/>
              </w:rPr>
              <w:t>Period</w:t>
            </w:r>
          </w:p>
        </w:tc>
        <w:tc>
          <w:tcPr>
            <w:tcW w:w="60" w:type="dxa"/>
            <w:tcBorders/>
            <w:vAlign w:val="center"/>
          </w:tcPr>
          <w:p>
            <w:pPr>
              <w:pStyle w:val="TableContents"/>
              <w:bidi w:val="0"/>
              <w:spacing w:before="0" w:after="0"/>
              <w:jc w:val="left"/>
              <w:rPr/>
            </w:pPr>
            <w:r>
              <w:rPr/>
              <w:t> </w:t>
            </w:r>
          </w:p>
        </w:tc>
        <w:tc>
          <w:tcPr>
            <w:tcW w:w="1501" w:type="dxa"/>
            <w:gridSpan w:val="2"/>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Total Number of Shares Purchased</w:t>
            </w:r>
          </w:p>
        </w:tc>
        <w:tc>
          <w:tcPr>
            <w:tcW w:w="60" w:type="dxa"/>
            <w:tcBorders/>
            <w:vAlign w:val="center"/>
          </w:tcPr>
          <w:p>
            <w:pPr>
              <w:pStyle w:val="TableContents"/>
              <w:bidi w:val="0"/>
              <w:spacing w:before="0" w:after="0"/>
              <w:jc w:val="left"/>
              <w:rPr/>
            </w:pPr>
            <w:r>
              <w:rPr/>
              <w:t> </w:t>
            </w:r>
          </w:p>
        </w:tc>
        <w:tc>
          <w:tcPr>
            <w:tcW w:w="1277" w:type="dxa"/>
            <w:gridSpan w:val="3"/>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Average Price Paid per Share</w:t>
            </w:r>
          </w:p>
        </w:tc>
        <w:tc>
          <w:tcPr>
            <w:tcW w:w="60" w:type="dxa"/>
            <w:tcBorders/>
            <w:vAlign w:val="center"/>
          </w:tcPr>
          <w:p>
            <w:pPr>
              <w:pStyle w:val="TableContents"/>
              <w:bidi w:val="0"/>
              <w:spacing w:before="0" w:after="0"/>
              <w:jc w:val="left"/>
              <w:rPr/>
            </w:pPr>
            <w:r>
              <w:rPr/>
              <w:t> </w:t>
            </w:r>
          </w:p>
        </w:tc>
        <w:tc>
          <w:tcPr>
            <w:tcW w:w="2876" w:type="dxa"/>
            <w:gridSpan w:val="2"/>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Total Number of Shares Purchased as Part of Publicly Announced Plans or Programs</w:t>
            </w:r>
          </w:p>
        </w:tc>
        <w:tc>
          <w:tcPr>
            <w:tcW w:w="60" w:type="dxa"/>
            <w:tcBorders/>
            <w:vAlign w:val="center"/>
          </w:tcPr>
          <w:p>
            <w:pPr>
              <w:pStyle w:val="TableContents"/>
              <w:bidi w:val="0"/>
              <w:spacing w:before="0" w:after="0"/>
              <w:jc w:val="left"/>
              <w:rPr/>
            </w:pPr>
            <w:r>
              <w:rPr/>
              <w:t> </w:t>
            </w:r>
          </w:p>
        </w:tc>
        <w:tc>
          <w:tcPr>
            <w:tcW w:w="3233" w:type="dxa"/>
            <w:gridSpan w:val="3"/>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Maximum Dollar Value of Shares that May Yet Be Purchased Under the Programs (in millions) (1)</w:t>
            </w:r>
          </w:p>
        </w:tc>
      </w:tr>
      <w:tr>
        <w:trPr/>
        <w:tc>
          <w:tcPr>
            <w:tcW w:w="1078"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April 1 - April 30, 2024</w:t>
            </w:r>
          </w:p>
        </w:tc>
        <w:tc>
          <w:tcPr>
            <w:tcW w:w="60" w:type="dxa"/>
            <w:tcBorders/>
            <w:shd w:fill="CCEEFF" w:val="clear"/>
            <w:vAlign w:val="center"/>
          </w:tcPr>
          <w:p>
            <w:pPr>
              <w:pStyle w:val="TableContents"/>
              <w:bidi w:val="0"/>
              <w:spacing w:before="0" w:after="0"/>
              <w:jc w:val="left"/>
              <w:rPr/>
            </w:pPr>
            <w:r>
              <w:rPr/>
              <w:t> </w:t>
            </w:r>
          </w:p>
        </w:tc>
        <w:tc>
          <w:tcPr>
            <w:tcW w:w="1462"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w:t>
            </w:r>
          </w:p>
        </w:tc>
        <w:tc>
          <w:tcPr>
            <w:tcW w:w="3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216"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1022"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w:t>
            </w:r>
          </w:p>
        </w:tc>
        <w:tc>
          <w:tcPr>
            <w:tcW w:w="3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2801"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w:t>
            </w:r>
          </w:p>
        </w:tc>
        <w:tc>
          <w:tcPr>
            <w:tcW w:w="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622"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2415"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446.6</w:t>
            </w:r>
          </w:p>
        </w:tc>
        <w:tc>
          <w:tcPr>
            <w:tcW w:w="196" w:type="dxa"/>
            <w:tcBorders/>
            <w:shd w:fill="CCEEFF" w:val="clear"/>
            <w:vAlign w:val="center"/>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May 1 - May 31, 2024</w:t>
            </w:r>
          </w:p>
        </w:tc>
        <w:tc>
          <w:tcPr>
            <w:tcW w:w="60" w:type="dxa"/>
            <w:tcBorders/>
            <w:vAlign w:val="center"/>
          </w:tcPr>
          <w:p>
            <w:pPr>
              <w:pStyle w:val="TableContents"/>
              <w:bidi w:val="0"/>
              <w:spacing w:before="0" w:after="0"/>
              <w:jc w:val="left"/>
              <w:rPr/>
            </w:pPr>
            <w:r>
              <w:rPr/>
              <w:t> </w:t>
            </w:r>
          </w:p>
        </w:tc>
        <w:tc>
          <w:tcPr>
            <w:tcW w:w="1462"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867,540</w:t>
            </w:r>
          </w:p>
        </w:tc>
        <w:tc>
          <w:tcPr>
            <w:tcW w:w="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1238" w:type="dxa"/>
            <w:gridSpan w:val="2"/>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113.93</w:t>
            </w:r>
          </w:p>
        </w:tc>
        <w:tc>
          <w:tcPr>
            <w:tcW w:w="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2801"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867,540</w:t>
            </w:r>
          </w:p>
        </w:tc>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622" w:type="dxa"/>
            <w:tcBorders/>
            <w:vAlign w:val="center"/>
          </w:tcPr>
          <w:p>
            <w:pPr>
              <w:pStyle w:val="TableContents"/>
              <w:bidi w:val="0"/>
              <w:spacing w:before="0" w:after="283"/>
              <w:jc w:val="left"/>
              <w:rPr>
                <w:sz w:val="4"/>
                <w:szCs w:val="4"/>
              </w:rPr>
            </w:pPr>
            <w:r>
              <w:rPr>
                <w:sz w:val="4"/>
                <w:szCs w:val="4"/>
              </w:rPr>
            </w:r>
          </w:p>
        </w:tc>
        <w:tc>
          <w:tcPr>
            <w:tcW w:w="2415"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348.0</w:t>
            </w:r>
          </w:p>
        </w:tc>
        <w:tc>
          <w:tcPr>
            <w:tcW w:w="196" w:type="dxa"/>
            <w:tcBorders/>
            <w:vAlign w:val="center"/>
          </w:tcPr>
          <w:p>
            <w:pPr>
              <w:pStyle w:val="TableContents"/>
              <w:bidi w:val="0"/>
              <w:spacing w:before="0" w:after="283"/>
              <w:jc w:val="left"/>
              <w:rPr>
                <w:sz w:val="4"/>
                <w:szCs w:val="4"/>
              </w:rPr>
            </w:pPr>
            <w:r>
              <w:rPr>
                <w:sz w:val="4"/>
                <w:szCs w:val="4"/>
              </w:rPr>
            </w:r>
          </w:p>
        </w:tc>
      </w:tr>
      <w:tr>
        <w:trPr/>
        <w:tc>
          <w:tcPr>
            <w:tcW w:w="1078"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June 1 - June 30, 2024</w:t>
            </w:r>
          </w:p>
        </w:tc>
        <w:tc>
          <w:tcPr>
            <w:tcW w:w="60" w:type="dxa"/>
            <w:tcBorders/>
            <w:shd w:fill="CCEEFF" w:val="clear"/>
            <w:vAlign w:val="center"/>
          </w:tcPr>
          <w:p>
            <w:pPr>
              <w:pStyle w:val="TableContents"/>
              <w:bidi w:val="0"/>
              <w:spacing w:before="0" w:after="0"/>
              <w:jc w:val="left"/>
              <w:rPr/>
            </w:pPr>
            <w:r>
              <w:rPr/>
              <w:t> </w:t>
            </w:r>
          </w:p>
        </w:tc>
        <w:tc>
          <w:tcPr>
            <w:tcW w:w="1462"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132,460</w:t>
            </w:r>
          </w:p>
        </w:tc>
        <w:tc>
          <w:tcPr>
            <w:tcW w:w="3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1238" w:type="dxa"/>
            <w:gridSpan w:val="2"/>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115.47</w:t>
            </w:r>
          </w:p>
        </w:tc>
        <w:tc>
          <w:tcPr>
            <w:tcW w:w="3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2801"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132,460</w:t>
            </w:r>
          </w:p>
        </w:tc>
        <w:tc>
          <w:tcPr>
            <w:tcW w:w="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622"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2415"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332.7</w:t>
            </w:r>
          </w:p>
        </w:tc>
        <w:tc>
          <w:tcPr>
            <w:tcW w:w="196" w:type="dxa"/>
            <w:tcBorders/>
            <w:shd w:fill="CCEEFF" w:val="clear"/>
            <w:vAlign w:val="center"/>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Total</w:t>
            </w:r>
          </w:p>
        </w:tc>
        <w:tc>
          <w:tcPr>
            <w:tcW w:w="60" w:type="dxa"/>
            <w:tcBorders/>
            <w:vAlign w:val="center"/>
          </w:tcPr>
          <w:p>
            <w:pPr>
              <w:pStyle w:val="TableContents"/>
              <w:bidi w:val="0"/>
              <w:spacing w:before="0" w:after="0"/>
              <w:jc w:val="left"/>
              <w:rPr/>
            </w:pPr>
            <w:r>
              <w:rPr/>
              <w:t> </w:t>
            </w:r>
          </w:p>
        </w:tc>
        <w:tc>
          <w:tcPr>
            <w:tcW w:w="1462"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1,000,000</w:t>
            </w:r>
          </w:p>
        </w:tc>
        <w:tc>
          <w:tcPr>
            <w:tcW w:w="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1022"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114.12</w:t>
            </w:r>
          </w:p>
        </w:tc>
        <w:tc>
          <w:tcPr>
            <w:tcW w:w="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2801"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1,000,000</w:t>
            </w:r>
          </w:p>
        </w:tc>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3233" w:type="dxa"/>
            <w:gridSpan w:val="3"/>
            <w:tcBorders/>
            <w:vAlign w:val="center"/>
          </w:tcPr>
          <w:p>
            <w:pPr>
              <w:pStyle w:val="TableContents"/>
              <w:bidi w:val="0"/>
              <w:spacing w:before="0" w:after="0"/>
              <w:jc w:val="left"/>
              <w:rPr/>
            </w:pPr>
            <w:r>
              <w:rPr/>
              <w:t> </w:t>
            </w:r>
          </w:p>
        </w:tc>
      </w:tr>
    </w:tbl>
    <w:p>
      <w:pPr>
        <w:pStyle w:val="TextBody"/>
        <w:widowControl/>
        <w:bidi w:val="0"/>
        <w:jc w:val="left"/>
        <w:rPr>
          <w:rFonts w:ascii="Times New Roman" w:hAnsi="Times New Roman" w:eastAsia="Times New Roman" w:cs="Times New Roman"/>
          <w:b w:val="false"/>
          <w:b w:val="false"/>
          <w:bCs w:val="false"/>
          <w:i w:val="false"/>
          <w:i w:val="false"/>
          <w:iCs w:val="false"/>
          <w:caps w:val="false"/>
          <w:smallCaps w:val="false"/>
          <w:color w:val="000000"/>
          <w:spacing w:val="0"/>
          <w:sz w:val="20"/>
          <w:szCs w:val="20"/>
        </w:rPr>
      </w:pPr>
      <w:r>
        <w:rPr>
          <w:rFonts w:eastAsia="Times New Roman" w:cs="Times New Roman" w:ascii="Times New Roman" w:hAnsi="Times New Roman"/>
          <w:b w:val="false"/>
          <w:bCs w:val="false"/>
          <w:i w:val="false"/>
          <w:iCs w:val="false"/>
          <w:caps w:val="false"/>
          <w:smallCaps w:val="false"/>
          <w:color w:val="000000"/>
          <w:spacing w:val="0"/>
          <w:sz w:val="20"/>
          <w:szCs w:val="20"/>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(1) </w:t>
      </w:r>
      <w:r>
        <w:rPr>
          <w:rFonts w:ascii="times new roman;times" w:hAnsi="times new roman;times"/>
          <w:b w:val="false"/>
          <w:i w:val="false"/>
          <w:caps w:val="false"/>
          <w:smallCaps w:val="false"/>
          <w:color w:val="000000"/>
          <w:spacing w:val="0"/>
          <w:sz w:val="20"/>
        </w:rPr>
        <w:t>On September 13, 2022, the Company put a repurchase program in place to repurchase up to $</w:t>
      </w:r>
      <w:r>
        <w:rPr>
          <w:rFonts w:ascii="times new roman;times" w:hAnsi="times new roman;times"/>
          <w:b w:val="false"/>
          <w:i w:val="false"/>
          <w:caps w:val="false"/>
          <w:smallCaps w:val="false"/>
          <w:color w:val="000000"/>
          <w:spacing w:val="0"/>
          <w:sz w:val="20"/>
        </w:rPr>
        <w:t>350 </w:t>
      </w:r>
      <w:r>
        <w:rPr>
          <w:rFonts w:ascii="times new roman;times" w:hAnsi="times new roman;times"/>
          <w:b w:val="false"/>
          <w:i w:val="false"/>
          <w:caps w:val="false"/>
          <w:smallCaps w:val="false"/>
          <w:color w:val="000000"/>
          <w:spacing w:val="0"/>
          <w:sz w:val="20"/>
        </w:rPr>
        <w:t>million in value, but not more than </w:t>
      </w:r>
      <w:r>
        <w:rPr>
          <w:rFonts w:ascii="times new roman;times" w:hAnsi="times new roman;times"/>
          <w:b w:val="false"/>
          <w:i w:val="false"/>
          <w:caps w:val="false"/>
          <w:smallCaps w:val="false"/>
          <w:color w:val="000000"/>
          <w:spacing w:val="0"/>
          <w:sz w:val="20"/>
        </w:rPr>
        <w:t>7.0 </w:t>
      </w:r>
      <w:r>
        <w:rPr>
          <w:rFonts w:ascii="times new roman;times" w:hAnsi="times new roman;times"/>
          <w:b w:val="false"/>
          <w:i w:val="false"/>
          <w:caps w:val="false"/>
          <w:smallCaps w:val="false"/>
          <w:color w:val="000000"/>
          <w:spacing w:val="0"/>
          <w:sz w:val="20"/>
        </w:rPr>
        <w:t>million shares of common stock through September 13, 2024. As of June 30, 2024, no shares were available to be repurchased under this repurchase program. On September 13, 2023, the Company put a repurchase program in place to repurchase up to $350 million in value, but not more than 7.0 million shares of common stock through September 13, 2025. As of June 30, 2024, 6.9 million shares were available to be repurchased under this repurchase program. Repurchases under the programs may take place in the open market or in privately negotiated transactions, including derivative transactions, and may be made under a Rule 10b5-1 plan. </w:t>
      </w:r>
      <w:r>
        <w:rPr>
          <w:rFonts w:ascii="times new roman;times" w:hAnsi="times new roman;times"/>
          <w:b w:val="false"/>
          <w:i w:val="false"/>
          <w:caps w:val="false"/>
          <w:smallCaps w:val="false"/>
          <w:color w:val="000000"/>
          <w:spacing w:val="0"/>
          <w:sz w:val="20"/>
        </w:rPr>
        <w:t>Repurchases under the programs may take place in the open market or in privately negotiated transactions, including derivative transactions, and may be made under a Rule 10b5-1 plan.</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bidi w:val="0"/>
        <w:ind w:left="0" w:right="0" w:hanging="0"/>
        <w:jc w:val="left"/>
        <w:rPr/>
      </w:pPr>
      <w:hyperlink w:anchor="TOC">
        <w:bookmarkStart w:id="52" w:name="Bitem5.1_2102023194952769"/>
        <w:bookmarkEnd w:id="52"/>
        <w:r>
          <w:rPr>
            <w:rStyle w:val="InternetLink"/>
            <w:rFonts w:ascii="times new roman;times" w:hAnsi="times new roman;times"/>
            <w:b/>
            <w:i w:val="false"/>
            <w:caps w:val="false"/>
            <w:smallCaps w:val="false"/>
            <w:strike w:val="false"/>
            <w:dstrike w:val="false"/>
            <w:color w:val="000000"/>
            <w:spacing w:val="0"/>
            <w:sz w:val="20"/>
            <w:u w:val="none"/>
            <w:effect w:val="none"/>
          </w:rPr>
          <w:t>ITEM 5.  OTHER</w:t>
        </w:r>
      </w:hyperlink>
    </w:p>
    <w:p>
      <w:pPr>
        <w:pStyle w:val="TextBody"/>
        <w:bidi w:val="0"/>
        <w:spacing w:before="0" w:after="0"/>
        <w:ind w:left="0" w:right="0" w:hanging="0"/>
        <w:jc w:val="left"/>
        <w:rPr/>
      </w:pPr>
      <w:r>
        <w:rPr/>
        <w:t> </w:t>
      </w:r>
    </w:p>
    <w:p>
      <w:pPr>
        <w:pStyle w:val="TextBody"/>
        <w:widowControl/>
        <w:bidi w:val="0"/>
        <w:spacing w:lineRule="auto" w:line="288"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During the fiscal quarter ended June 30, 2024, none of the Company’s directors or "officers," as defined in Rule 16a-1(f) of the Securities Exchange Act of 1934, as amended (the "Exchange Act"), adopted or terminated a "Rule 10b5-1 trading arrangement" or a "non-Rule 10b5-1 trading arrangement," as each term is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16" w:type="dxa"/>
        <w:jc w:val="left"/>
        <w:tblInd w:w="0" w:type="dxa"/>
        <w:tblLayout w:type="fixed"/>
        <w:tblCellMar>
          <w:top w:w="0" w:type="dxa"/>
          <w:left w:w="0" w:type="dxa"/>
          <w:bottom w:w="0" w:type="dxa"/>
          <w:right w:w="0" w:type="dxa"/>
        </w:tblCellMar>
      </w:tblPr>
      <w:tblGrid>
        <w:gridCol w:w="316"/>
      </w:tblGrid>
      <w:tr>
        <w:trPr/>
        <w:tc>
          <w:tcPr>
            <w:tcW w:w="31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42</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before="0" w:after="0"/>
        <w:jc w:val="left"/>
        <w:rPr>
          <w:sz w:val="20"/>
        </w:rPr>
      </w:pPr>
      <w:r>
        <w:rPr>
          <w:sz w:val="20"/>
        </w:rPr>
      </w:r>
    </w:p>
    <w:p>
      <w:pPr>
        <w:pStyle w:val="TextBody"/>
        <w:widowControl/>
        <w:bidi w:val="0"/>
        <w:spacing w:lineRule="atLeast" w:line="240" w:before="0" w:after="0"/>
        <w:ind w:left="0" w:right="0" w:hanging="0"/>
        <w:jc w:val="left"/>
        <w:rPr>
          <w:sz w:val="20"/>
        </w:rPr>
      </w:pPr>
      <w:r>
        <w:rPr>
          <w:sz w:val="20"/>
        </w:rPr>
      </w:r>
    </w:p>
    <w:p>
      <w:pPr>
        <w:pStyle w:val="TextBody"/>
        <w:widowControl/>
        <w:bidi w:val="0"/>
        <w:spacing w:before="0" w:after="0"/>
        <w:ind w:left="0" w:right="0" w:hanging="0"/>
        <w:jc w:val="left"/>
        <w:rPr/>
      </w:pPr>
      <w:hyperlink w:anchor="TOC">
        <w:bookmarkStart w:id="53" w:name="BP_FLMNPYLHE800000000000000000000"/>
        <w:bookmarkEnd w:id="53"/>
        <w:r>
          <w:rPr>
            <w:rStyle w:val="InternetLink"/>
            <w:rFonts w:ascii="Times New Roman" w:hAnsi="Times New Roman"/>
            <w:b/>
            <w:i w:val="false"/>
            <w:caps w:val="false"/>
            <w:smallCaps w:val="false"/>
            <w:strike w:val="false"/>
            <w:dstrike w:val="false"/>
            <w:color w:val="000000"/>
            <w:spacing w:val="0"/>
            <w:sz w:val="20"/>
            <w:u w:val="none"/>
            <w:effect w:val="none"/>
          </w:rPr>
          <w:t>ITEM 6. EXHIBITS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10205" w:type="dxa"/>
        <w:jc w:val="left"/>
        <w:tblInd w:w="0" w:type="dxa"/>
        <w:tblLayout w:type="fixed"/>
        <w:tblCellMar>
          <w:top w:w="0" w:type="dxa"/>
          <w:left w:w="0" w:type="dxa"/>
          <w:bottom w:w="0" w:type="dxa"/>
          <w:right w:w="0" w:type="dxa"/>
        </w:tblCellMar>
      </w:tblPr>
      <w:tblGrid>
        <w:gridCol w:w="565"/>
        <w:gridCol w:w="60"/>
        <w:gridCol w:w="9580"/>
      </w:tblGrid>
      <w:tr>
        <w:trPr/>
        <w:tc>
          <w:tcPr>
            <w:tcW w:w="5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80" w:type="dxa"/>
            <w:tcBorders/>
            <w:vAlign w:val="center"/>
          </w:tcPr>
          <w:p>
            <w:pPr>
              <w:pStyle w:val="TableContents"/>
              <w:bidi w:val="0"/>
              <w:spacing w:before="0" w:after="283"/>
              <w:jc w:val="left"/>
              <w:rPr>
                <w:sz w:val="4"/>
                <w:szCs w:val="4"/>
              </w:rPr>
            </w:pPr>
            <w:r>
              <w:rPr>
                <w:sz w:val="4"/>
                <w:szCs w:val="4"/>
              </w:rPr>
            </w:r>
          </w:p>
        </w:tc>
      </w:tr>
      <w:tr>
        <w:trPr/>
        <w:tc>
          <w:tcPr>
            <w:tcW w:w="565" w:type="dxa"/>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Exhibit</w:t>
            </w:r>
          </w:p>
        </w:tc>
        <w:tc>
          <w:tcPr>
            <w:tcW w:w="60" w:type="dxa"/>
            <w:tcBorders/>
            <w:vAlign w:val="center"/>
          </w:tcPr>
          <w:p>
            <w:pPr>
              <w:pStyle w:val="TableContents"/>
              <w:bidi w:val="0"/>
              <w:spacing w:before="0" w:after="0"/>
              <w:jc w:val="left"/>
              <w:rPr/>
            </w:pPr>
            <w:r>
              <w:rPr/>
              <w:t> </w:t>
            </w:r>
          </w:p>
        </w:tc>
        <w:tc>
          <w:tcPr>
            <w:tcW w:w="9580" w:type="dxa"/>
            <w:tcBorders/>
            <w:vAlign w:val="center"/>
          </w:tcPr>
          <w:p>
            <w:pPr>
              <w:pStyle w:val="TableContents"/>
              <w:bidi w:val="0"/>
              <w:spacing w:before="0" w:after="0"/>
              <w:jc w:val="center"/>
              <w:rPr>
                <w:rFonts w:ascii="times new roman;times" w:hAnsi="times new roman;times"/>
                <w:b/>
                <w:sz w:val="16"/>
              </w:rPr>
            </w:pPr>
            <w:r>
              <w:rPr>
                <w:rFonts w:ascii="times new roman;times" w:hAnsi="times new roman;times"/>
                <w:b/>
                <w:sz w:val="16"/>
              </w:rPr>
              <w:t>Description</w:t>
            </w:r>
          </w:p>
        </w:tc>
      </w:tr>
      <w:tr>
        <w:trPr/>
        <w:tc>
          <w:tcPr>
            <w:tcW w:w="56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580" w:type="dxa"/>
            <w:tcBorders/>
            <w:vAlign w:val="center"/>
          </w:tcPr>
          <w:p>
            <w:pPr>
              <w:pStyle w:val="TableContents"/>
              <w:bidi w:val="0"/>
              <w:spacing w:before="0" w:after="0"/>
              <w:jc w:val="left"/>
              <w:rPr/>
            </w:pPr>
            <w:r>
              <w:rPr/>
              <w:t> </w:t>
            </w:r>
          </w:p>
        </w:tc>
      </w:tr>
      <w:tr>
        <w:trPr/>
        <w:tc>
          <w:tcPr>
            <w:tcW w:w="565"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31.1*</w:t>
            </w:r>
          </w:p>
        </w:tc>
        <w:tc>
          <w:tcPr>
            <w:tcW w:w="60" w:type="dxa"/>
            <w:tcBorders/>
            <w:vAlign w:val="center"/>
          </w:tcPr>
          <w:p>
            <w:pPr>
              <w:pStyle w:val="TableContents"/>
              <w:bidi w:val="0"/>
              <w:spacing w:before="0" w:after="0"/>
              <w:jc w:val="left"/>
              <w:rPr/>
            </w:pPr>
            <w:r>
              <w:rPr/>
              <w:t> </w:t>
            </w:r>
          </w:p>
        </w:tc>
        <w:tc>
          <w:tcPr>
            <w:tcW w:w="9580" w:type="dxa"/>
            <w:tcBorders/>
            <w:vAlign w:val="center"/>
          </w:tcPr>
          <w:p>
            <w:pPr>
              <w:pStyle w:val="TableContents"/>
              <w:bidi w:val="0"/>
              <w:spacing w:before="0" w:after="0"/>
              <w:jc w:val="left"/>
              <w:rPr/>
            </w:pPr>
            <w:hyperlink w:anchor="ex311_1.htm">
              <w:r>
                <w:rPr>
                  <w:rStyle w:val="InternetLink"/>
                  <w:rFonts w:ascii="times new roman;times" w:hAnsi="times new roman;times"/>
                  <w:sz w:val="20"/>
                </w:rPr>
                <w:t xml:space="preserve">Section </w:t>
              </w:r>
            </w:hyperlink>
            <w:hyperlink w:anchor="ex311_1.htm">
              <w:r>
                <w:rPr>
                  <w:rStyle w:val="InternetLink"/>
                  <w:rFonts w:ascii="times new roman;times" w:hAnsi="times new roman;times"/>
                  <w:sz w:val="20"/>
                </w:rPr>
                <w:t>302</w:t>
              </w:r>
            </w:hyperlink>
            <w:hyperlink w:anchor="ex311_1.htm">
              <w:r>
                <w:rPr>
                  <w:rStyle w:val="InternetLink"/>
                  <w:sz w:val="20"/>
                </w:rPr>
                <w:t xml:space="preserve"> — </w:t>
              </w:r>
            </w:hyperlink>
            <w:hyperlink w:anchor="ex311_1.htm">
              <w:r>
                <w:rPr>
                  <w:rStyle w:val="InternetLink"/>
                  <w:rFonts w:ascii="times new roman;times" w:hAnsi="times new roman;times"/>
                  <w:sz w:val="20"/>
                </w:rPr>
                <w:t>Certification of Chief Executive Officer</w:t>
              </w:r>
            </w:hyperlink>
          </w:p>
        </w:tc>
      </w:tr>
      <w:tr>
        <w:trPr/>
        <w:tc>
          <w:tcPr>
            <w:tcW w:w="565"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31.2*</w:t>
            </w:r>
          </w:p>
        </w:tc>
        <w:tc>
          <w:tcPr>
            <w:tcW w:w="60" w:type="dxa"/>
            <w:tcBorders/>
            <w:vAlign w:val="center"/>
          </w:tcPr>
          <w:p>
            <w:pPr>
              <w:pStyle w:val="TableContents"/>
              <w:bidi w:val="0"/>
              <w:spacing w:before="0" w:after="0"/>
              <w:jc w:val="left"/>
              <w:rPr/>
            </w:pPr>
            <w:r>
              <w:rPr/>
              <w:t> </w:t>
            </w:r>
          </w:p>
        </w:tc>
        <w:tc>
          <w:tcPr>
            <w:tcW w:w="9580" w:type="dxa"/>
            <w:tcBorders/>
            <w:vAlign w:val="center"/>
          </w:tcPr>
          <w:p>
            <w:pPr>
              <w:pStyle w:val="TableContents"/>
              <w:bidi w:val="0"/>
              <w:spacing w:before="0" w:after="0"/>
              <w:jc w:val="left"/>
              <w:rPr/>
            </w:pPr>
            <w:hyperlink w:anchor="ex312_2.htm">
              <w:r>
                <w:rPr>
                  <w:rStyle w:val="InternetLink"/>
                  <w:rFonts w:ascii="times new roman;times" w:hAnsi="times new roman;times"/>
                  <w:sz w:val="20"/>
                </w:rPr>
                <w:t xml:space="preserve">Section </w:t>
              </w:r>
            </w:hyperlink>
            <w:hyperlink w:anchor="ex312_2.htm">
              <w:r>
                <w:rPr>
                  <w:rStyle w:val="InternetLink"/>
                  <w:rFonts w:ascii="times new roman;times" w:hAnsi="times new roman;times"/>
                  <w:sz w:val="20"/>
                </w:rPr>
                <w:t>302</w:t>
              </w:r>
            </w:hyperlink>
            <w:hyperlink w:anchor="ex312_2.htm">
              <w:r>
                <w:rPr>
                  <w:rStyle w:val="InternetLink"/>
                  <w:sz w:val="20"/>
                </w:rPr>
                <w:t xml:space="preserve"> — </w:t>
              </w:r>
            </w:hyperlink>
            <w:hyperlink w:anchor="ex312_2.htm">
              <w:r>
                <w:rPr>
                  <w:rStyle w:val="InternetLink"/>
                  <w:rFonts w:ascii="times new roman;times" w:hAnsi="times new roman;times"/>
                  <w:sz w:val="20"/>
                </w:rPr>
                <w:t>Certification of Chief Financial Officer</w:t>
              </w:r>
            </w:hyperlink>
          </w:p>
        </w:tc>
      </w:tr>
      <w:tr>
        <w:trPr/>
        <w:tc>
          <w:tcPr>
            <w:tcW w:w="565"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32.1**</w:t>
            </w:r>
          </w:p>
        </w:tc>
        <w:tc>
          <w:tcPr>
            <w:tcW w:w="60" w:type="dxa"/>
            <w:tcBorders/>
            <w:vAlign w:val="center"/>
          </w:tcPr>
          <w:p>
            <w:pPr>
              <w:pStyle w:val="TableContents"/>
              <w:bidi w:val="0"/>
              <w:spacing w:before="0" w:after="0"/>
              <w:jc w:val="left"/>
              <w:rPr/>
            </w:pPr>
            <w:r>
              <w:rPr/>
              <w:t> </w:t>
            </w:r>
          </w:p>
        </w:tc>
        <w:tc>
          <w:tcPr>
            <w:tcW w:w="9580" w:type="dxa"/>
            <w:tcBorders/>
            <w:vAlign w:val="center"/>
          </w:tcPr>
          <w:p>
            <w:pPr>
              <w:pStyle w:val="TableContents"/>
              <w:bidi w:val="0"/>
              <w:spacing w:before="0" w:after="0"/>
              <w:jc w:val="left"/>
              <w:rPr/>
            </w:pPr>
            <w:hyperlink w:anchor="ex321_3.htm">
              <w:r>
                <w:rPr>
                  <w:rStyle w:val="InternetLink"/>
                  <w:rFonts w:ascii="times new roman;times" w:hAnsi="times new roman;times"/>
                  <w:sz w:val="20"/>
                </w:rPr>
                <w:t xml:space="preserve">Section </w:t>
              </w:r>
            </w:hyperlink>
            <w:hyperlink w:anchor="ex321_3.htm">
              <w:r>
                <w:rPr>
                  <w:rStyle w:val="InternetLink"/>
                  <w:rFonts w:ascii="times new roman;times" w:hAnsi="times new roman;times"/>
                  <w:sz w:val="20"/>
                </w:rPr>
                <w:t>906</w:t>
              </w:r>
            </w:hyperlink>
            <w:hyperlink w:anchor="ex321_3.htm">
              <w:r>
                <w:rPr>
                  <w:rStyle w:val="InternetLink"/>
                  <w:sz w:val="20"/>
                </w:rPr>
                <w:t xml:space="preserve"> — </w:t>
              </w:r>
            </w:hyperlink>
            <w:hyperlink w:anchor="ex321_3.htm">
              <w:r>
                <w:rPr>
                  <w:rStyle w:val="InternetLink"/>
                  <w:rFonts w:ascii="times new roman;times" w:hAnsi="times new roman;times"/>
                  <w:sz w:val="20"/>
                </w:rPr>
                <w:t>Certification of Chief Executive Officer</w:t>
              </w:r>
            </w:hyperlink>
          </w:p>
        </w:tc>
      </w:tr>
      <w:tr>
        <w:trPr/>
        <w:tc>
          <w:tcPr>
            <w:tcW w:w="565"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32.2**</w:t>
            </w:r>
          </w:p>
        </w:tc>
        <w:tc>
          <w:tcPr>
            <w:tcW w:w="60" w:type="dxa"/>
            <w:tcBorders/>
            <w:vAlign w:val="center"/>
          </w:tcPr>
          <w:p>
            <w:pPr>
              <w:pStyle w:val="TableContents"/>
              <w:bidi w:val="0"/>
              <w:spacing w:before="0" w:after="0"/>
              <w:jc w:val="left"/>
              <w:rPr/>
            </w:pPr>
            <w:r>
              <w:rPr/>
              <w:t> </w:t>
            </w:r>
          </w:p>
        </w:tc>
        <w:tc>
          <w:tcPr>
            <w:tcW w:w="9580" w:type="dxa"/>
            <w:tcBorders/>
            <w:vAlign w:val="center"/>
          </w:tcPr>
          <w:p>
            <w:pPr>
              <w:pStyle w:val="TableContents"/>
              <w:bidi w:val="0"/>
              <w:spacing w:before="0" w:after="0"/>
              <w:jc w:val="left"/>
              <w:rPr/>
            </w:pPr>
            <w:hyperlink w:anchor="ex322_4.htm">
              <w:r>
                <w:rPr>
                  <w:rStyle w:val="InternetLink"/>
                  <w:rFonts w:ascii="times new roman;times" w:hAnsi="times new roman;times"/>
                  <w:sz w:val="20"/>
                </w:rPr>
                <w:t xml:space="preserve">Section </w:t>
              </w:r>
            </w:hyperlink>
            <w:hyperlink w:anchor="ex322_4.htm">
              <w:r>
                <w:rPr>
                  <w:rStyle w:val="InternetLink"/>
                  <w:rFonts w:ascii="times new roman;times" w:hAnsi="times new roman;times"/>
                  <w:sz w:val="20"/>
                </w:rPr>
                <w:t>906</w:t>
              </w:r>
            </w:hyperlink>
            <w:hyperlink w:anchor="ex322_4.htm">
              <w:r>
                <w:rPr>
                  <w:rStyle w:val="InternetLink"/>
                  <w:sz w:val="20"/>
                </w:rPr>
                <w:t xml:space="preserve"> — </w:t>
              </w:r>
            </w:hyperlink>
            <w:hyperlink w:anchor="ex322_4.htm">
              <w:r>
                <w:rPr>
                  <w:rStyle w:val="InternetLink"/>
                  <w:rFonts w:ascii="times new roman;times" w:hAnsi="times new roman;times"/>
                  <w:sz w:val="20"/>
                </w:rPr>
                <w:t>Certification of Chief Financial Officer</w:t>
              </w:r>
            </w:hyperlink>
          </w:p>
        </w:tc>
      </w:tr>
      <w:tr>
        <w:trPr/>
        <w:tc>
          <w:tcPr>
            <w:tcW w:w="565"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101*</w:t>
            </w:r>
          </w:p>
        </w:tc>
        <w:tc>
          <w:tcPr>
            <w:tcW w:w="60" w:type="dxa"/>
            <w:tcBorders/>
            <w:vAlign w:val="center"/>
          </w:tcPr>
          <w:p>
            <w:pPr>
              <w:pStyle w:val="TableContents"/>
              <w:bidi w:val="0"/>
              <w:spacing w:before="0" w:after="0"/>
              <w:jc w:val="both"/>
              <w:rPr/>
            </w:pPr>
            <w:r>
              <w:rPr/>
              <w:t> </w:t>
            </w:r>
          </w:p>
        </w:tc>
        <w:tc>
          <w:tcPr>
            <w:tcW w:w="9580" w:type="dxa"/>
            <w:tcBorders/>
            <w:vAlign w:val="center"/>
          </w:tcPr>
          <w:p>
            <w:pPr>
              <w:pStyle w:val="TableContents"/>
              <w:widowControl/>
              <w:bidi w:val="0"/>
              <w:spacing w:before="0" w:after="0"/>
              <w:ind w:left="0" w:right="0" w:hanging="0"/>
              <w:jc w:val="both"/>
              <w:rPr>
                <w:rFonts w:ascii="times new roman;times" w:hAnsi="times new roman;times"/>
                <w:sz w:val="20"/>
              </w:rPr>
            </w:pPr>
            <w:r>
              <w:rPr>
                <w:rFonts w:ascii="times new roman;times" w:hAnsi="times new roman;times"/>
                <w:sz w:val="20"/>
              </w:rPr>
              <w:t xml:space="preserve">The following materials from Euronet Worldwide, Inc.’s Quarterly Report on Form 10-Q for the quarter ended June 30, 2024, formatted in XBRL (eXtensible Business Reporting Language): (i) Consolidated Balance Sheets at June 30, 2024 (unaudited) and </w:t>
            </w:r>
            <w:r>
              <w:rPr>
                <w:rFonts w:ascii="times new roman;times" w:hAnsi="times new roman;times"/>
                <w:sz w:val="20"/>
              </w:rPr>
              <w:t>December 31, 2023</w:t>
            </w:r>
            <w:r>
              <w:rPr>
                <w:rFonts w:ascii="times new roman;times" w:hAnsi="times new roman;times"/>
                <w:sz w:val="20"/>
              </w:rPr>
              <w:t>, (ii) Consolidated Statements of Operations (unaudited) for the three and six</w:t>
            </w:r>
            <w:r>
              <w:rPr>
                <w:rFonts w:ascii="times new roman;times" w:hAnsi="times new roman;times"/>
                <w:color w:val="000000"/>
                <w:spacing w:val="0"/>
                <w:sz w:val="20"/>
              </w:rPr>
              <w:t> </w:t>
            </w:r>
            <w:r>
              <w:rPr>
                <w:rFonts w:ascii="times new roman;times" w:hAnsi="times new roman;times"/>
                <w:b w:val="false"/>
                <w:color w:val="000000"/>
                <w:spacing w:val="0"/>
                <w:sz w:val="20"/>
              </w:rPr>
              <w:t xml:space="preserve">months ended </w:t>
            </w:r>
            <w:r>
              <w:rPr>
                <w:rFonts w:ascii="times new roman;times" w:hAnsi="times new roman;times"/>
                <w:sz w:val="20"/>
              </w:rPr>
              <w:t>June 30, 2024 and 2023, (iii) Consolidated Statements of Comprehensive Income (unaudited) for the three and six</w:t>
            </w:r>
            <w:r>
              <w:rPr>
                <w:rFonts w:ascii="times new roman;times" w:hAnsi="times new roman;times"/>
                <w:color w:val="000000"/>
                <w:spacing w:val="0"/>
                <w:sz w:val="20"/>
              </w:rPr>
              <w:t> </w:t>
            </w:r>
            <w:r>
              <w:rPr>
                <w:rFonts w:ascii="times new roman;times" w:hAnsi="times new roman;times"/>
                <w:b w:val="false"/>
                <w:color w:val="000000"/>
                <w:spacing w:val="0"/>
                <w:sz w:val="20"/>
              </w:rPr>
              <w:t xml:space="preserve">months ended </w:t>
            </w:r>
            <w:r>
              <w:rPr>
                <w:rFonts w:ascii="times new roman;times" w:hAnsi="times new roman;times"/>
                <w:sz w:val="20"/>
              </w:rPr>
              <w:t>June 30, 2024 and 2023, (iv) Consolidated Statements of Changes in Equity (unaudited) for the three and six</w:t>
            </w:r>
            <w:r>
              <w:rPr>
                <w:rFonts w:ascii="times new roman;times" w:hAnsi="times new roman;times"/>
                <w:color w:val="000000"/>
                <w:spacing w:val="0"/>
                <w:sz w:val="20"/>
              </w:rPr>
              <w:t> </w:t>
            </w:r>
            <w:r>
              <w:rPr>
                <w:rFonts w:ascii="times new roman;times" w:hAnsi="times new roman;times"/>
                <w:b w:val="false"/>
                <w:color w:val="000000"/>
                <w:spacing w:val="0"/>
                <w:sz w:val="20"/>
              </w:rPr>
              <w:t xml:space="preserve">months ended </w:t>
            </w:r>
            <w:r>
              <w:rPr>
                <w:rFonts w:ascii="times new roman;times" w:hAnsi="times new roman;times"/>
                <w:sz w:val="20"/>
              </w:rPr>
              <w:t>June 30, 2024 and 2023 (v) Consolidated Statements of Cash Flows (unaudited) for the six</w:t>
            </w:r>
            <w:r>
              <w:rPr>
                <w:rFonts w:ascii="times new roman;times" w:hAnsi="times new roman;times"/>
                <w:color w:val="000000"/>
                <w:spacing w:val="0"/>
                <w:sz w:val="20"/>
              </w:rPr>
              <w:t> </w:t>
            </w:r>
            <w:r>
              <w:rPr>
                <w:rFonts w:ascii="times new roman;times" w:hAnsi="times new roman;times"/>
                <w:b w:val="false"/>
                <w:color w:val="000000"/>
                <w:spacing w:val="0"/>
                <w:sz w:val="20"/>
              </w:rPr>
              <w:t xml:space="preserve">months ended </w:t>
            </w:r>
            <w:r>
              <w:rPr>
                <w:rFonts w:ascii="times new roman;times" w:hAnsi="times new roman;times"/>
                <w:sz w:val="20"/>
              </w:rPr>
              <w:t>June 30, 2024 and 2023, and (vi) Notes to the Unaudited Consolidated Financial Statements.</w:t>
            </w:r>
          </w:p>
        </w:tc>
      </w:tr>
      <w:tr>
        <w:trPr/>
        <w:tc>
          <w:tcPr>
            <w:tcW w:w="565"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104*</w:t>
            </w:r>
          </w:p>
        </w:tc>
        <w:tc>
          <w:tcPr>
            <w:tcW w:w="60" w:type="dxa"/>
            <w:tcBorders/>
            <w:vAlign w:val="center"/>
          </w:tcPr>
          <w:p>
            <w:pPr>
              <w:pStyle w:val="TableContents"/>
              <w:bidi w:val="0"/>
              <w:spacing w:before="0" w:after="0"/>
              <w:jc w:val="left"/>
              <w:rPr/>
            </w:pPr>
            <w:r>
              <w:rPr/>
              <w:t> </w:t>
            </w:r>
          </w:p>
        </w:tc>
        <w:tc>
          <w:tcPr>
            <w:tcW w:w="9580"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Cover Page Interactive Data File (formatted as Inline XBRL and contained in Exhibit 101)</w:t>
            </w:r>
          </w:p>
        </w:tc>
      </w:tr>
    </w:tbl>
    <w:p>
      <w:pPr>
        <w:pStyle w:val="TextBody"/>
        <w:widowControl/>
        <w:bidi w:val="0"/>
        <w:jc w:val="left"/>
        <w:rPr>
          <w:rFonts w:ascii="Times New Roman" w:hAnsi="Times New Roman" w:eastAsia="Times New Roman" w:cs="Times New Roman"/>
          <w:b w:val="false"/>
          <w:b w:val="false"/>
          <w:bCs w:val="false"/>
          <w:i w:val="false"/>
          <w:i w:val="false"/>
          <w:iCs w:val="false"/>
          <w:caps w:val="false"/>
          <w:smallCaps w:val="false"/>
          <w:color w:val="000000"/>
          <w:spacing w:val="0"/>
          <w:sz w:val="20"/>
          <w:szCs w:val="20"/>
        </w:rPr>
      </w:pPr>
      <w:r>
        <w:rPr>
          <w:rFonts w:eastAsia="Times New Roman" w:cs="Times New Roman" w:ascii="Times New Roman" w:hAnsi="Times New Roman"/>
          <w:b w:val="false"/>
          <w:bCs w:val="false"/>
          <w:i w:val="false"/>
          <w:iCs w:val="false"/>
          <w:caps w:val="false"/>
          <w:smallCaps w:val="false"/>
          <w:color w:val="000000"/>
          <w:spacing w:val="0"/>
          <w:sz w:val="20"/>
          <w:szCs w:val="20"/>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widowControl/>
        <w:bidi w:val="0"/>
        <w:spacing w:before="0" w:after="0"/>
        <w:jc w:val="left"/>
        <w:rPr>
          <w:rFonts w:ascii="times new roman;times" w:hAnsi="times new roman;times" w:eastAsia="Times New Roman" w:cs="Times New Roman"/>
          <w:b w:val="false"/>
          <w:b w:val="false"/>
          <w:bCs w:val="false"/>
          <w:i w:val="false"/>
          <w:i w:val="false"/>
          <w:iCs w:val="false"/>
          <w:caps w:val="false"/>
          <w:smallCaps w:val="false"/>
          <w:color w:val="000000"/>
          <w:spacing w:val="0"/>
          <w:sz w:val="20"/>
          <w:szCs w:val="20"/>
        </w:rPr>
      </w:pPr>
      <w:r>
        <w:rPr>
          <w:rFonts w:eastAsia="Times New Roman" w:cs="Times New Roman" w:ascii="times new roman;times" w:hAnsi="times new roman;times"/>
          <w:b w:val="false"/>
          <w:bCs w:val="false"/>
          <w:i w:val="false"/>
          <w:iCs w:val="false"/>
          <w:caps w:val="false"/>
          <w:smallCaps w:val="false"/>
          <w:color w:val="000000"/>
          <w:spacing w:val="0"/>
          <w:sz w:val="20"/>
          <w:szCs w:val="20"/>
        </w:rPr>
        <w:t>_________________________</w:t>
      </w:r>
    </w:p>
    <w:p>
      <w:pPr>
        <w:pStyle w:val="TextBody"/>
        <w:widowControl/>
        <w:bidi w:val="0"/>
        <w:spacing w:before="0" w:after="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 Filed herewith.</w:t>
      </w:r>
    </w:p>
    <w:p>
      <w:pPr>
        <w:pStyle w:val="TextBody"/>
        <w:widowControl/>
        <w:bidi w:val="0"/>
        <w:spacing w:before="0" w:after="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 Pursuant to Item 601(b)(32) of Regulation S-K, this Exhibit is furnished rather than filed with this Form 10-Q. </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PLEASE NOTE: Pursuant to the rules and regulations of the SEC, we have filed or incorporated by reference the agreements referenced above as exhibits to this Annual Report on Form 10-K. The agreements have been filed to provide investors with information regarding their respective terms. The agreements are not intended to provide any other factual information about the Company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us or our business or operations on the date hereof.</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43</w:t>
            </w:r>
          </w:p>
        </w:tc>
      </w:tr>
    </w:tbl>
    <w:p>
      <w:pPr>
        <w:pStyle w:val="HorizontalLine"/>
        <w:widowControl/>
        <w:bidi w:val="0"/>
        <w:jc w:val="left"/>
        <w:rPr/>
      </w:pPr>
      <w:r>
        <w:rPr/>
      </w:r>
    </w:p>
    <w:p>
      <w:pPr>
        <w:pStyle w:val="TextBody"/>
        <w:widowControl/>
        <w:bidi w:val="0"/>
        <w:spacing w:before="0" w:after="0"/>
        <w:jc w:val="left"/>
        <w:rPr/>
      </w:pPr>
      <w:r>
        <w:rPr/>
      </w:r>
    </w:p>
    <w:p>
      <w:pPr>
        <w:pStyle w:val="TextBody"/>
        <w:widowControl/>
        <w:bidi w:val="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bidi w:val="0"/>
        <w:spacing w:before="0" w:after="0"/>
        <w:ind w:left="0" w:right="0" w:hanging="0"/>
        <w:jc w:val="left"/>
        <w:rPr/>
      </w:pPr>
      <w:hyperlink r:id="rId10">
        <w:bookmarkStart w:id="54" w:name="BQ_94FYEIYU6800000000000000000000"/>
        <w:bookmarkEnd w:id="54"/>
        <w:r>
          <w:rPr>
            <w:rStyle w:val="InternetLink"/>
            <w:rFonts w:ascii="Times New Roman" w:hAnsi="Times New Roman"/>
            <w:b/>
            <w:i w:val="false"/>
            <w:caps w:val="false"/>
            <w:smallCaps w:val="false"/>
            <w:strike w:val="false"/>
            <w:dstrike w:val="false"/>
            <w:color w:val="000000"/>
            <w:spacing w:val="0"/>
            <w:sz w:val="20"/>
            <w:u w:val="none"/>
            <w:effect w:val="none"/>
          </w:rPr>
          <w:t>SIGNATURES</w:t>
        </w:r>
      </w:hyperlink>
    </w:p>
    <w:p>
      <w:pPr>
        <w:pStyle w:val="TextBody"/>
        <w:widowControl/>
        <w:bidi w:val="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Pursuant to the requirements of the Securities Exchange Act of 1934, the registrant has duly caused this report to be signed on its behalf by the undersigned, thereunto duly authorized.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August 2, 2024</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Euronet Worldwide, Inc.</w:t>
      </w:r>
    </w:p>
    <w:tbl>
      <w:tblPr>
        <w:tblW w:w="2650" w:type="dxa"/>
        <w:jc w:val="left"/>
        <w:tblInd w:w="0" w:type="dxa"/>
        <w:tblLayout w:type="fixed"/>
        <w:tblCellMar>
          <w:top w:w="0" w:type="dxa"/>
          <w:left w:w="0" w:type="dxa"/>
          <w:bottom w:w="0" w:type="dxa"/>
          <w:right w:w="0" w:type="dxa"/>
        </w:tblCellMar>
      </w:tblPr>
      <w:tblGrid>
        <w:gridCol w:w="350"/>
        <w:gridCol w:w="2225"/>
        <w:gridCol w:w="75"/>
      </w:tblGrid>
      <w:tr>
        <w:trPr/>
        <w:tc>
          <w:tcPr>
            <w:tcW w:w="35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r>
          </w:p>
        </w:tc>
      </w:tr>
      <w:tr>
        <w:trPr/>
        <w:tc>
          <w:tcPr>
            <w:tcW w:w="350" w:type="dxa"/>
            <w:tcBorders/>
            <w:vAlign w:val="center"/>
          </w:tcPr>
          <w:p>
            <w:pPr>
              <w:pStyle w:val="TableContents"/>
              <w:bidi w:val="0"/>
              <w:spacing w:before="0" w:after="0"/>
              <w:jc w:val="left"/>
              <w:rPr>
                <w:rFonts w:ascii="inherit" w:hAnsi="inherit"/>
                <w:sz w:val="20"/>
              </w:rPr>
            </w:pPr>
            <w:r>
              <w:rPr>
                <w:rFonts w:ascii="inherit" w:hAnsi="inherit"/>
                <w:sz w:val="20"/>
              </w:rPr>
              <w:t>By:</w:t>
            </w:r>
          </w:p>
        </w:tc>
        <w:tc>
          <w:tcPr>
            <w:tcW w:w="2225" w:type="dxa"/>
            <w:tcBorders/>
            <w:vAlign w:val="center"/>
          </w:tcPr>
          <w:p>
            <w:pPr>
              <w:pStyle w:val="TableContents"/>
              <w:bidi w:val="0"/>
              <w:spacing w:before="0" w:after="0"/>
              <w:jc w:val="center"/>
              <w:rPr>
                <w:sz w:val="20"/>
              </w:rPr>
            </w:pPr>
            <w:r>
              <w:rPr>
                <w:sz w:val="20"/>
              </w:rPr>
              <w:t>/s/ MICHAEL J. BROWN</w:t>
            </w:r>
          </w:p>
        </w:tc>
        <w:tc>
          <w:tcPr>
            <w:tcW w:w="75" w:type="dxa"/>
            <w:tcBorders/>
            <w:vAlign w:val="center"/>
          </w:tcPr>
          <w:p>
            <w:pPr>
              <w:pStyle w:val="TableContents"/>
              <w:bidi w:val="0"/>
              <w:spacing w:before="0" w:after="0"/>
              <w:jc w:val="left"/>
              <w:rPr/>
            </w:pPr>
            <w:r>
              <w:rPr/>
              <w:t> </w:t>
            </w:r>
          </w:p>
        </w:tc>
      </w:tr>
      <w:tr>
        <w:trPr/>
        <w:tc>
          <w:tcPr>
            <w:tcW w:w="35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0"/>
              <w:jc w:val="center"/>
              <w:rPr>
                <w:rFonts w:ascii="times new roman;times" w:hAnsi="times new roman;times"/>
                <w:sz w:val="20"/>
              </w:rPr>
            </w:pPr>
            <w:r>
              <w:rPr>
                <w:rFonts w:ascii="times new roman;times" w:hAnsi="times new roman;times"/>
                <w:sz w:val="20"/>
              </w:rPr>
              <w:t>Michael J. Brown </w:t>
            </w:r>
          </w:p>
        </w:tc>
        <w:tc>
          <w:tcPr>
            <w:tcW w:w="75" w:type="dxa"/>
            <w:tcBorders/>
            <w:vAlign w:val="center"/>
          </w:tcPr>
          <w:p>
            <w:pPr>
              <w:pStyle w:val="TableContents"/>
              <w:bidi w:val="0"/>
              <w:spacing w:before="0" w:after="0"/>
              <w:jc w:val="left"/>
              <w:rPr/>
            </w:pPr>
            <w:r>
              <w:rPr/>
              <w:t> </w:t>
            </w:r>
          </w:p>
        </w:tc>
      </w:tr>
      <w:tr>
        <w:trPr/>
        <w:tc>
          <w:tcPr>
            <w:tcW w:w="35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0"/>
              <w:jc w:val="center"/>
              <w:rPr>
                <w:rFonts w:ascii="times new roman;times" w:hAnsi="times new roman;times"/>
                <w:sz w:val="20"/>
              </w:rPr>
            </w:pPr>
            <w:r>
              <w:rPr>
                <w:rFonts w:ascii="times new roman;times" w:hAnsi="times new roman;times"/>
                <w:sz w:val="20"/>
              </w:rPr>
              <w:t>Chief Executive Officer </w:t>
            </w:r>
          </w:p>
        </w:tc>
        <w:tc>
          <w:tcPr>
            <w:tcW w:w="75" w:type="dxa"/>
            <w:tcBorders/>
            <w:vAlign w:val="center"/>
          </w:tcPr>
          <w:p>
            <w:pPr>
              <w:pStyle w:val="TableContents"/>
              <w:bidi w:val="0"/>
              <w:spacing w:before="0" w:after="0"/>
              <w:jc w:val="left"/>
              <w:rPr/>
            </w:pPr>
            <w:r>
              <w:rPr/>
              <w:t> </w:t>
            </w:r>
          </w:p>
        </w:tc>
      </w:tr>
      <w:tr>
        <w:trPr/>
        <w:tc>
          <w:tcPr>
            <w:tcW w:w="35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35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350" w:type="dxa"/>
            <w:tcBorders/>
            <w:vAlign w:val="center"/>
          </w:tcPr>
          <w:p>
            <w:pPr>
              <w:pStyle w:val="TableContents"/>
              <w:bidi w:val="0"/>
              <w:spacing w:before="0" w:after="0"/>
              <w:jc w:val="left"/>
              <w:rPr>
                <w:rFonts w:ascii="inherit" w:hAnsi="inherit"/>
                <w:sz w:val="20"/>
              </w:rPr>
            </w:pPr>
            <w:r>
              <w:rPr>
                <w:rFonts w:ascii="inherit" w:hAnsi="inherit"/>
                <w:sz w:val="20"/>
              </w:rPr>
              <w:t>By:</w:t>
            </w:r>
          </w:p>
        </w:tc>
        <w:tc>
          <w:tcPr>
            <w:tcW w:w="2225" w:type="dxa"/>
            <w:tcBorders/>
            <w:vAlign w:val="center"/>
          </w:tcPr>
          <w:p>
            <w:pPr>
              <w:pStyle w:val="TableContents"/>
              <w:bidi w:val="0"/>
              <w:spacing w:before="0" w:after="0"/>
              <w:jc w:val="center"/>
              <w:rPr>
                <w:rFonts w:ascii="times new roman;times" w:hAnsi="times new roman;times"/>
                <w:sz w:val="20"/>
              </w:rPr>
            </w:pPr>
            <w:r>
              <w:rPr>
                <w:rFonts w:ascii="times new roman;times" w:hAnsi="times new roman;times"/>
                <w:sz w:val="20"/>
              </w:rPr>
              <w:t>/s/ RICK L. WELLER</w:t>
            </w:r>
          </w:p>
        </w:tc>
        <w:tc>
          <w:tcPr>
            <w:tcW w:w="75" w:type="dxa"/>
            <w:tcBorders/>
            <w:vAlign w:val="center"/>
          </w:tcPr>
          <w:p>
            <w:pPr>
              <w:pStyle w:val="TableContents"/>
              <w:bidi w:val="0"/>
              <w:spacing w:before="0" w:after="0"/>
              <w:jc w:val="left"/>
              <w:rPr/>
            </w:pPr>
            <w:r>
              <w:rPr/>
              <w:t> </w:t>
            </w:r>
          </w:p>
        </w:tc>
      </w:tr>
      <w:tr>
        <w:trPr/>
        <w:tc>
          <w:tcPr>
            <w:tcW w:w="35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0"/>
              <w:jc w:val="center"/>
              <w:rPr>
                <w:rFonts w:ascii="inherit" w:hAnsi="inherit"/>
                <w:sz w:val="20"/>
              </w:rPr>
            </w:pPr>
            <w:r>
              <w:rPr>
                <w:rFonts w:ascii="inherit" w:hAnsi="inherit"/>
                <w:sz w:val="20"/>
              </w:rPr>
              <w:t>Rick L. Weller </w:t>
            </w:r>
          </w:p>
        </w:tc>
        <w:tc>
          <w:tcPr>
            <w:tcW w:w="75" w:type="dxa"/>
            <w:tcBorders/>
            <w:vAlign w:val="center"/>
          </w:tcPr>
          <w:p>
            <w:pPr>
              <w:pStyle w:val="TableContents"/>
              <w:bidi w:val="0"/>
              <w:spacing w:before="0" w:after="0"/>
              <w:jc w:val="left"/>
              <w:rPr/>
            </w:pPr>
            <w:r>
              <w:rPr/>
              <w:t> </w:t>
            </w:r>
          </w:p>
        </w:tc>
      </w:tr>
      <w:tr>
        <w:trPr/>
        <w:tc>
          <w:tcPr>
            <w:tcW w:w="35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lineRule="auto" w:line="288" w:before="0" w:after="0"/>
              <w:jc w:val="center"/>
              <w:rPr>
                <w:rFonts w:ascii="inherit" w:hAnsi="inherit"/>
                <w:sz w:val="20"/>
              </w:rPr>
            </w:pPr>
            <w:r>
              <w:rPr>
                <w:rFonts w:ascii="inherit" w:hAnsi="inherit"/>
                <w:sz w:val="20"/>
              </w:rPr>
              <w:t>Chief Financial Officer </w:t>
            </w:r>
          </w:p>
        </w:tc>
        <w:tc>
          <w:tcPr>
            <w:tcW w:w="75" w:type="dxa"/>
            <w:tcBorders/>
            <w:vAlign w:val="center"/>
          </w:tcPr>
          <w:p>
            <w:pPr>
              <w:pStyle w:val="TableContents"/>
              <w:bidi w:val="0"/>
              <w:spacing w:before="0" w:after="0"/>
              <w:jc w:val="left"/>
              <w:rPr/>
            </w:pPr>
            <w:r>
              <w:rPr/>
              <w:t> </w:t>
            </w:r>
          </w:p>
        </w:tc>
      </w:tr>
    </w:tbl>
    <w:p>
      <w:pPr>
        <w:pStyle w:val="TextBody"/>
        <w:bidi w:val="0"/>
        <w:spacing w:lineRule="auto" w:line="288"/>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44</w:t>
            </w:r>
          </w:p>
        </w:tc>
      </w:tr>
    </w:tbl>
    <w:p>
      <w:pPr>
        <w:pStyle w:val="TextBody"/>
        <w:bidi w:val="0"/>
        <w:spacing w:lineRule="auto" w:line="288"/>
        <w:jc w:val="left"/>
        <w:rPr/>
      </w:pPr>
      <w:r>
        <w:rPr/>
      </w:r>
    </w:p>
    <w:p>
      <w:pPr>
        <w:pStyle w:val="TextBody"/>
        <w:bidi w:val="0"/>
        <w:spacing w:lineRule="auto" w:line="288" w:before="0" w:after="0"/>
        <w:ind w:left="0" w:right="0" w:hanging="0"/>
        <w:jc w:val="right"/>
        <w:rPr>
          <w:rFonts w:ascii="times new roman;times" w:hAnsi="times new roman;times"/>
          <w:b/>
          <w:sz w:val="20"/>
        </w:rPr>
      </w:pPr>
      <w:bookmarkStart w:id="55" w:name="ex311_1.htm"/>
      <w:bookmarkStart w:id="56" w:name="ksex311_1"/>
      <w:bookmarkEnd w:id="55"/>
      <w:bookmarkEnd w:id="56"/>
      <w:r>
        <w:rPr>
          <w:rFonts w:ascii="times new roman;times" w:hAnsi="times new roman;times"/>
          <w:b/>
          <w:sz w:val="20"/>
        </w:rPr>
        <w:t>EXHIBIT 31.1</w:t>
      </w:r>
      <w:r>
        <w:br w:type="page"/>
      </w:r>
    </w:p>
    <w:p>
      <w:pPr>
        <w:pStyle w:val="TextBody"/>
        <w:bidi w:val="0"/>
        <w:spacing w:lineRule="auto" w:line="288" w:before="0" w:after="0"/>
        <w:ind w:left="0" w:right="0" w:hanging="0"/>
        <w:jc w:val="center"/>
        <w:rPr>
          <w:rFonts w:ascii="times new roman;times" w:hAnsi="times new roman;times"/>
          <w:sz w:val="20"/>
        </w:rPr>
      </w:pPr>
      <w:r>
        <w:rPr>
          <w:rFonts w:ascii="times new roman;times" w:hAnsi="times new roman;times"/>
          <w:b/>
          <w:sz w:val="20"/>
        </w:rPr>
        <w:t>CERTIFICATION OF CHIEF EXECUTIVE OFFICER</w:t>
      </w:r>
      <w:r>
        <w:rPr>
          <w:rFonts w:ascii="times new roman;times" w:hAnsi="times new roman;times"/>
          <w:sz w:val="20"/>
        </w:rPr>
        <w:t xml:space="preserve"> </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I, Michael J. Brown, certify that:</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1) I have reviewed this Quarterly Report on Form 10-Q of Euronet Worldwide, Inc.;</w:t>
      </w:r>
    </w:p>
    <w:p>
      <w:pPr>
        <w:pStyle w:val="TextBody"/>
        <w:bidi w:val="0"/>
        <w:spacing w:lineRule="auto" w:line="288" w:before="0" w:after="0"/>
        <w:ind w:left="0" w:right="0" w:hanging="0"/>
        <w:jc w:val="center"/>
        <w:rPr/>
      </w:pPr>
      <w:r>
        <w:rPr/>
        <w:t> </w:t>
      </w:r>
    </w:p>
    <w:p>
      <w:pPr>
        <w:pStyle w:val="TextBody"/>
        <w:widowControl/>
        <w:bidi w:val="0"/>
        <w:spacing w:lineRule="auto" w:line="288" w:before="0" w:after="0"/>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0"/>
        <w:ind w:left="0" w:right="0" w:hanging="0"/>
        <w:jc w:val="center"/>
        <w:rPr/>
      </w:pPr>
      <w:r>
        <w:rPr/>
        <w:t> </w:t>
      </w:r>
    </w:p>
    <w:p>
      <w:pPr>
        <w:pStyle w:val="TextBody"/>
        <w:widowControl/>
        <w:bidi w:val="0"/>
        <w:spacing w:lineRule="auto" w:line="288" w:before="0" w:after="0"/>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ind w:left="0" w:right="0" w:hanging="0"/>
        <w:jc w:val="center"/>
        <w:rPr/>
      </w:pPr>
      <w:r>
        <w:rPr/>
        <w:t> </w:t>
      </w:r>
    </w:p>
    <w:p>
      <w:pPr>
        <w:pStyle w:val="TextBody"/>
        <w:widowControl/>
        <w:bidi w:val="0"/>
        <w:spacing w:lineRule="auto" w:line="288" w:before="0" w:after="0"/>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widowControl/>
        <w:pBdr/>
        <w:bidi w:val="0"/>
        <w:spacing w:lineRule="auto" w:line="288" w:before="200" w:after="283"/>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widowControl/>
        <w:pBdr/>
        <w:bidi w:val="0"/>
        <w:spacing w:lineRule="auto" w:line="288" w:before="200" w:after="283"/>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widowControl/>
        <w:pBdr/>
        <w:bidi w:val="0"/>
        <w:spacing w:lineRule="auto" w:line="288" w:before="200" w:after="283"/>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widowControl/>
        <w:pBdr/>
        <w:bidi w:val="0"/>
        <w:spacing w:lineRule="auto" w:line="288" w:before="200" w:after="283"/>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widowControl/>
        <w:bidi w:val="0"/>
        <w:spacing w:lineRule="auto" w:line="288" w:before="200" w:after="283"/>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widowControl/>
        <w:pBdr/>
        <w:bidi w:val="0"/>
        <w:spacing w:lineRule="auto" w:line="288" w:before="200" w:after="283"/>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widowControl/>
        <w:pBdr/>
        <w:bidi w:val="0"/>
        <w:spacing w:lineRule="auto" w:line="288" w:before="200" w:after="283"/>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 xml:space="preserve">Date: </w:t>
      </w:r>
      <w:r>
        <w:rPr>
          <w:rFonts w:ascii="times new roman;times" w:hAnsi="times new roman;times"/>
          <w:sz w:val="20"/>
        </w:rPr>
        <w:t>August 2, 2024</w:t>
      </w:r>
    </w:p>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9918"/>
        <w:gridCol w:w="287"/>
      </w:tblGrid>
      <w:tr>
        <w:trPr/>
        <w:tc>
          <w:tcPr>
            <w:tcW w:w="9918" w:type="dxa"/>
            <w:tcBorders/>
            <w:vAlign w:val="center"/>
          </w:tcPr>
          <w:p>
            <w:pPr>
              <w:pStyle w:val="TableContents"/>
              <w:bidi w:val="0"/>
              <w:spacing w:before="0" w:after="0"/>
              <w:ind w:left="0" w:right="0" w:hanging="0"/>
              <w:jc w:val="left"/>
              <w:rPr/>
            </w:pPr>
            <w:r>
              <w:rPr/>
              <w:t> </w:t>
            </w:r>
          </w:p>
        </w:tc>
        <w:tc>
          <w:tcPr>
            <w:tcW w:w="287" w:type="dxa"/>
            <w:tcBorders/>
            <w:vAlign w:val="center"/>
          </w:tcPr>
          <w:p>
            <w:pPr>
              <w:pStyle w:val="TableContents"/>
              <w:bidi w:val="0"/>
              <w:spacing w:before="0" w:after="0"/>
              <w:ind w:left="0" w:right="0" w:hanging="0"/>
              <w:jc w:val="left"/>
              <w:rPr/>
            </w:pPr>
            <w:r>
              <w:rPr/>
              <w:t> </w:t>
            </w:r>
          </w:p>
        </w:tc>
      </w:tr>
      <w:tr>
        <w:trPr/>
        <w:tc>
          <w:tcPr>
            <w:tcW w:w="9918" w:type="dxa"/>
            <w:tcBorders/>
            <w:vAlign w:val="center"/>
          </w:tcPr>
          <w:p>
            <w:pPr>
              <w:pStyle w:val="TableContents"/>
              <w:bidi w:val="0"/>
              <w:spacing w:before="0" w:after="0"/>
              <w:ind w:left="0" w:right="0" w:hanging="0"/>
              <w:jc w:val="center"/>
              <w:rPr/>
            </w:pPr>
            <w:r>
              <w:rPr/>
              <w:t>/s/ MICHAEL J. BROWN</w:t>
            </w:r>
          </w:p>
        </w:tc>
        <w:tc>
          <w:tcPr>
            <w:tcW w:w="287" w:type="dxa"/>
            <w:tcBorders/>
            <w:vAlign w:val="center"/>
          </w:tcPr>
          <w:p>
            <w:pPr>
              <w:pStyle w:val="TableContents"/>
              <w:bidi w:val="0"/>
              <w:spacing w:before="0" w:after="0"/>
              <w:ind w:left="0" w:right="0" w:hanging="0"/>
              <w:jc w:val="left"/>
              <w:rPr/>
            </w:pPr>
            <w:r>
              <w:rPr/>
              <w:t> </w:t>
            </w:r>
          </w:p>
        </w:tc>
      </w:tr>
      <w:tr>
        <w:trPr/>
        <w:tc>
          <w:tcPr>
            <w:tcW w:w="9918" w:type="dxa"/>
            <w:tcBorders/>
            <w:vAlign w:val="center"/>
          </w:tcPr>
          <w:p>
            <w:pPr>
              <w:pStyle w:val="TableContents"/>
              <w:bidi w:val="0"/>
              <w:spacing w:before="0" w:after="0"/>
              <w:ind w:left="0" w:right="0" w:hanging="0"/>
              <w:jc w:val="center"/>
              <w:rPr>
                <w:rFonts w:ascii="inherit" w:hAnsi="inherit"/>
                <w:b/>
                <w:sz w:val="20"/>
              </w:rPr>
            </w:pPr>
            <w:r>
              <w:rPr>
                <w:rFonts w:ascii="inherit" w:hAnsi="inherit"/>
                <w:b/>
                <w:sz w:val="20"/>
              </w:rPr>
              <w:t>Michael J. Brown</w:t>
            </w:r>
          </w:p>
        </w:tc>
        <w:tc>
          <w:tcPr>
            <w:tcW w:w="287" w:type="dxa"/>
            <w:tcBorders/>
            <w:vAlign w:val="center"/>
          </w:tcPr>
          <w:p>
            <w:pPr>
              <w:pStyle w:val="TableContents"/>
              <w:bidi w:val="0"/>
              <w:spacing w:before="0" w:after="0"/>
              <w:ind w:left="0" w:right="0" w:hanging="0"/>
              <w:jc w:val="left"/>
              <w:rPr/>
            </w:pPr>
            <w:r>
              <w:rPr/>
              <w:t> </w:t>
            </w:r>
          </w:p>
        </w:tc>
      </w:tr>
      <w:tr>
        <w:trPr/>
        <w:tc>
          <w:tcPr>
            <w:tcW w:w="9918" w:type="dxa"/>
            <w:tcBorders/>
            <w:vAlign w:val="center"/>
          </w:tcPr>
          <w:p>
            <w:pPr>
              <w:pStyle w:val="TableContents"/>
              <w:bidi w:val="0"/>
              <w:spacing w:before="0" w:after="0"/>
              <w:ind w:left="0" w:right="0" w:hanging="0"/>
              <w:jc w:val="center"/>
              <w:rPr>
                <w:rFonts w:ascii="inherit" w:hAnsi="inherit"/>
                <w:b/>
                <w:sz w:val="20"/>
              </w:rPr>
            </w:pPr>
            <w:r>
              <w:rPr>
                <w:rFonts w:ascii="inherit" w:hAnsi="inherit"/>
                <w:b/>
                <w:sz w:val="20"/>
              </w:rPr>
              <w:t>Chief Executive Officer</w:t>
            </w:r>
          </w:p>
        </w:tc>
        <w:tc>
          <w:tcPr>
            <w:tcW w:w="287" w:type="dxa"/>
            <w:tcBorders/>
            <w:vAlign w:val="center"/>
          </w:tcPr>
          <w:p>
            <w:pPr>
              <w:pStyle w:val="TableContents"/>
              <w:bidi w:val="0"/>
              <w:spacing w:before="0" w:after="0"/>
              <w:ind w:left="0" w:right="0" w:hanging="0"/>
              <w:jc w:val="left"/>
              <w:rPr/>
            </w:pPr>
            <w:r>
              <w:rPr/>
              <w:t> </w:t>
            </w:r>
          </w:p>
        </w:tc>
      </w:tr>
    </w:tbl>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right"/>
        <w:rPr>
          <w:rFonts w:ascii="times new roman;times" w:hAnsi="times new roman;times"/>
          <w:b/>
          <w:sz w:val="20"/>
        </w:rPr>
      </w:pPr>
      <w:bookmarkStart w:id="57" w:name="ex312_2.htm"/>
      <w:bookmarkStart w:id="58" w:name="ksex312_2"/>
      <w:bookmarkEnd w:id="57"/>
      <w:bookmarkEnd w:id="58"/>
      <w:r>
        <w:rPr>
          <w:rFonts w:ascii="times new roman;times" w:hAnsi="times new roman;times"/>
          <w:b/>
          <w:sz w:val="20"/>
        </w:rPr>
        <w:t xml:space="preserve">EXHIBIT </w:t>
      </w:r>
      <w:r>
        <w:rPr>
          <w:rFonts w:ascii="times new roman;times" w:hAnsi="times new roman;times"/>
          <w:b/>
          <w:sz w:val="20"/>
        </w:rPr>
        <w:t>31.2</w:t>
      </w:r>
      <w:r>
        <w:br w:type="page"/>
      </w:r>
    </w:p>
    <w:p>
      <w:pPr>
        <w:pStyle w:val="TextBody"/>
        <w:bidi w:val="0"/>
        <w:spacing w:lineRule="auto" w:line="288" w:before="0" w:after="0"/>
        <w:ind w:left="0" w:right="0" w:hanging="0"/>
        <w:jc w:val="center"/>
        <w:rPr>
          <w:rFonts w:ascii="times new roman;times" w:hAnsi="times new roman;times"/>
          <w:b/>
          <w:sz w:val="20"/>
        </w:rPr>
      </w:pPr>
      <w:r>
        <w:rPr>
          <w:rFonts w:ascii="times new roman;times" w:hAnsi="times new roman;times"/>
          <w:b/>
          <w:sz w:val="20"/>
        </w:rPr>
        <w:t>CERTIFICATION OF CHIEF FINANCIAL OFFICER</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I, Rick L. Weller, certify that:</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widowControl/>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1) </w:t>
      </w:r>
      <w:r>
        <w:rPr>
          <w:rFonts w:ascii="times new roman;times" w:hAnsi="times new roman;times"/>
          <w:b w:val="false"/>
          <w:color w:val="000000"/>
          <w:spacing w:val="0"/>
          <w:sz w:val="20"/>
        </w:rPr>
        <w:t>I have reviewed this Quarterly Report on Form 10-Q of </w:t>
      </w:r>
      <w:r>
        <w:rPr>
          <w:rFonts w:ascii="times new roman;times" w:hAnsi="times new roman;times"/>
          <w:sz w:val="20"/>
        </w:rPr>
        <w:t>Euronet</w:t>
      </w:r>
      <w:r>
        <w:rPr>
          <w:rFonts w:ascii="times new roman;times" w:hAnsi="times new roman;times"/>
          <w:color w:val="000000"/>
          <w:spacing w:val="0"/>
          <w:sz w:val="20"/>
        </w:rPr>
        <w:t> </w:t>
      </w:r>
      <w:r>
        <w:rPr>
          <w:rFonts w:ascii="times new roman;times" w:hAnsi="times new roman;times"/>
          <w:b w:val="false"/>
          <w:color w:val="000000"/>
          <w:spacing w:val="0"/>
          <w:sz w:val="20"/>
        </w:rPr>
        <w:t>Worldwide, </w:t>
      </w:r>
      <w:r>
        <w:rPr>
          <w:rFonts w:ascii="times new roman;times" w:hAnsi="times new roman;times"/>
          <w:sz w:val="20"/>
        </w:rPr>
        <w:t>Inc</w:t>
      </w:r>
      <w:r>
        <w:rPr>
          <w:rFonts w:ascii="times new roman;times" w:hAnsi="times new roman;times"/>
          <w:b w:val="false"/>
          <w:color w:val="000000"/>
          <w:spacing w:val="0"/>
          <w:sz w:val="20"/>
        </w:rPr>
        <w:t>.;</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widowControl/>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2) </w:t>
      </w:r>
      <w:r>
        <w:rPr>
          <w:rFonts w:ascii="times new roman;times" w:hAnsi="times new roman;times"/>
          <w:b w:val="false"/>
          <w:color w:val="000000"/>
          <w:spacing w:val="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widowControl/>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3) </w:t>
      </w:r>
      <w:r>
        <w:rPr>
          <w:rFonts w:ascii="times new roman;times" w:hAnsi="times new roman;times"/>
          <w:b w:val="false"/>
          <w:color w:val="000000"/>
          <w:spacing w:val="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widowControl/>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4) </w:t>
      </w:r>
      <w:r>
        <w:rPr>
          <w:rFonts w:ascii="times new roman;times" w:hAnsi="times new roman;times"/>
          <w:b w:val="false"/>
          <w:color w:val="000000"/>
          <w:spacing w:val="0"/>
          <w:sz w:val="20"/>
        </w:rPr>
        <w:t>The registrant's other certifying officer and I are responsible for establishing and maintaining disclosure controls and procedures (as defined in Exchange Act Rules </w:t>
      </w:r>
      <w:r>
        <w:rPr>
          <w:rFonts w:ascii="times new roman;times" w:hAnsi="times new roman;times"/>
          <w:sz w:val="20"/>
        </w:rPr>
        <w:t>13</w:t>
      </w:r>
      <w:r>
        <w:rPr>
          <w:rFonts w:ascii="times new roman;times" w:hAnsi="times new roman;times"/>
          <w:b w:val="false"/>
          <w:color w:val="000000"/>
          <w:spacing w:val="0"/>
          <w:sz w:val="20"/>
        </w:rPr>
        <w:t>a-</w:t>
      </w:r>
      <w:r>
        <w:rPr>
          <w:rFonts w:ascii="times new roman;times" w:hAnsi="times new roman;times"/>
          <w:sz w:val="20"/>
        </w:rPr>
        <w:t>15</w:t>
      </w:r>
      <w:r>
        <w:rPr>
          <w:rFonts w:ascii="times new roman;times" w:hAnsi="times new roman;times"/>
          <w:b w:val="false"/>
          <w:color w:val="000000"/>
          <w:spacing w:val="0"/>
          <w:sz w:val="20"/>
        </w:rPr>
        <w:t>(e) and </w:t>
      </w:r>
      <w:r>
        <w:rPr>
          <w:rFonts w:ascii="times new roman;times" w:hAnsi="times new roman;times"/>
          <w:sz w:val="20"/>
        </w:rPr>
        <w:t>15</w:t>
      </w:r>
      <w:r>
        <w:rPr>
          <w:rFonts w:ascii="times new roman;times" w:hAnsi="times new roman;times"/>
          <w:b w:val="false"/>
          <w:color w:val="000000"/>
          <w:spacing w:val="0"/>
          <w:sz w:val="20"/>
        </w:rPr>
        <w:t>d-</w:t>
      </w:r>
      <w:r>
        <w:rPr>
          <w:rFonts w:ascii="times new roman;times" w:hAnsi="times new roman;times"/>
          <w:sz w:val="20"/>
        </w:rPr>
        <w:t>15</w:t>
      </w:r>
      <w:r>
        <w:rPr>
          <w:rFonts w:ascii="times new roman;times" w:hAnsi="times new roman;times"/>
          <w:b w:val="false"/>
          <w:color w:val="000000"/>
          <w:spacing w:val="0"/>
          <w:sz w:val="20"/>
        </w:rPr>
        <w:t>(e)) and internal control over financial reporting (as defined in Exchange Act Rules </w:t>
      </w:r>
      <w:r>
        <w:rPr>
          <w:rFonts w:ascii="times new roman;times" w:hAnsi="times new roman;times"/>
          <w:sz w:val="20"/>
        </w:rPr>
        <w:t>13</w:t>
      </w:r>
      <w:r>
        <w:rPr>
          <w:rFonts w:ascii="times new roman;times" w:hAnsi="times new roman;times"/>
          <w:b w:val="false"/>
          <w:color w:val="000000"/>
          <w:spacing w:val="0"/>
          <w:sz w:val="20"/>
        </w:rPr>
        <w:t>a-</w:t>
      </w:r>
      <w:r>
        <w:rPr>
          <w:rFonts w:ascii="times new roman;times" w:hAnsi="times new roman;times"/>
          <w:sz w:val="20"/>
        </w:rPr>
        <w:t>15</w:t>
      </w:r>
      <w:r>
        <w:rPr>
          <w:rFonts w:ascii="times new roman;times" w:hAnsi="times new roman;times"/>
          <w:b w:val="false"/>
          <w:color w:val="000000"/>
          <w:spacing w:val="0"/>
          <w:sz w:val="20"/>
        </w:rPr>
        <w:t>(f) and </w:t>
      </w:r>
      <w:r>
        <w:rPr>
          <w:rFonts w:ascii="times new roman;times" w:hAnsi="times new roman;times"/>
          <w:sz w:val="20"/>
        </w:rPr>
        <w:t>15</w:t>
      </w:r>
      <w:r>
        <w:rPr>
          <w:rFonts w:ascii="times new roman;times" w:hAnsi="times new roman;times"/>
          <w:b w:val="false"/>
          <w:color w:val="000000"/>
          <w:spacing w:val="0"/>
          <w:sz w:val="20"/>
        </w:rPr>
        <w:t>d-</w:t>
      </w:r>
      <w:r>
        <w:rPr>
          <w:rFonts w:ascii="times new roman;times" w:hAnsi="times new roman;times"/>
          <w:sz w:val="20"/>
        </w:rPr>
        <w:t>15</w:t>
      </w:r>
      <w:r>
        <w:rPr>
          <w:rFonts w:ascii="times new roman;times" w:hAnsi="times new roman;times"/>
          <w:b w:val="false"/>
          <w:color w:val="000000"/>
          <w:spacing w:val="0"/>
          <w:sz w:val="20"/>
        </w:rPr>
        <w:t>(f)) for the registrant and have:</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widowControl/>
        <w:pBd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a) </w:t>
      </w:r>
      <w:r>
        <w:rPr>
          <w:rFonts w:ascii="times new roman;times" w:hAnsi="times new roman;times"/>
          <w:b w:val="false"/>
          <w:color w:val="000000"/>
          <w:spacing w:val="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pBdr/>
        <w:bidi w:val="0"/>
        <w:spacing w:lineRule="auto" w:line="288" w:before="0" w:after="0"/>
        <w:ind w:left="0" w:right="0" w:hanging="0"/>
        <w:jc w:val="both"/>
        <w:rPr/>
      </w:pPr>
      <w:r>
        <w:rPr/>
      </w:r>
    </w:p>
    <w:p>
      <w:pPr>
        <w:pStyle w:val="TextBody"/>
        <w:widowControl/>
        <w:pBdr/>
        <w:bidi w:val="0"/>
        <w:spacing w:lineRule="auto" w:line="288" w:before="0" w:after="0"/>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pBdr/>
        <w:bidi w:val="0"/>
        <w:spacing w:lineRule="auto" w:line="288" w:before="0" w:after="0"/>
        <w:ind w:left="0" w:right="0" w:hanging="0"/>
        <w:jc w:val="both"/>
        <w:rPr/>
      </w:pPr>
      <w:r>
        <w:rPr/>
      </w:r>
    </w:p>
    <w:p>
      <w:pPr>
        <w:pStyle w:val="TextBody"/>
        <w:widowControl/>
        <w:pBdr/>
        <w:bidi w:val="0"/>
        <w:spacing w:lineRule="auto" w:line="288" w:before="0" w:after="0"/>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pBdr/>
        <w:bidi w:val="0"/>
        <w:spacing w:lineRule="auto" w:line="288" w:before="0" w:after="0"/>
        <w:ind w:left="0" w:right="0" w:hanging="0"/>
        <w:jc w:val="both"/>
        <w:rPr/>
      </w:pPr>
      <w:r>
        <w:rPr/>
      </w:r>
    </w:p>
    <w:p>
      <w:pPr>
        <w:pStyle w:val="TextBody"/>
        <w:widowControl/>
        <w:pBdr/>
        <w:bidi w:val="0"/>
        <w:spacing w:lineRule="auto" w:line="288" w:before="0" w:after="0"/>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widowControl/>
        <w:pBdr/>
        <w:bidi w:val="0"/>
        <w:spacing w:lineRule="auto" w:line="288" w:before="0" w:after="0"/>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r>
    </w:p>
    <w:p>
      <w:pPr>
        <w:pStyle w:val="TextBody"/>
        <w:widowControl/>
        <w:bidi w:val="0"/>
        <w:spacing w:lineRule="auto" w:line="288" w:before="0" w:after="0"/>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ind w:left="0" w:right="0" w:hanging="0"/>
        <w:jc w:val="both"/>
        <w:rPr/>
      </w:pPr>
      <w:r>
        <w:rPr/>
      </w:r>
    </w:p>
    <w:p>
      <w:pPr>
        <w:pStyle w:val="TextBody"/>
        <w:widowControl/>
        <w:pBdr/>
        <w:bidi w:val="0"/>
        <w:spacing w:lineRule="auto" w:line="288" w:before="0" w:after="0"/>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pBdr/>
        <w:bidi w:val="0"/>
        <w:spacing w:lineRule="auto" w:line="288" w:before="0" w:after="0"/>
        <w:ind w:left="0" w:right="0" w:hanging="0"/>
        <w:jc w:val="both"/>
        <w:rPr/>
      </w:pPr>
      <w:r>
        <w:rPr/>
      </w:r>
    </w:p>
    <w:p>
      <w:pPr>
        <w:pStyle w:val="TextBody"/>
        <w:widowControl/>
        <w:pBdr/>
        <w:bidi w:val="0"/>
        <w:spacing w:lineRule="auto" w:line="288" w:before="0" w:after="0"/>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b) any fraud, whether or not material, that involves management or other employees who have a significant role in the registrant's internal control over financial reporting.  </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 xml:space="preserve">Date: </w:t>
      </w:r>
      <w:r>
        <w:rPr>
          <w:rFonts w:ascii="times new roman;times" w:hAnsi="times new roman;times"/>
          <w:sz w:val="20"/>
        </w:rPr>
        <w:t>August 2, 2024</w:t>
      </w:r>
    </w:p>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9617"/>
        <w:gridCol w:w="588"/>
      </w:tblGrid>
      <w:tr>
        <w:trPr/>
        <w:tc>
          <w:tcPr>
            <w:tcW w:w="9617" w:type="dxa"/>
            <w:tcBorders/>
            <w:vAlign w:val="center"/>
          </w:tcPr>
          <w:p>
            <w:pPr>
              <w:pStyle w:val="TableContents"/>
              <w:bidi w:val="0"/>
              <w:spacing w:before="0" w:after="0"/>
              <w:ind w:left="0" w:right="0" w:hanging="0"/>
              <w:jc w:val="left"/>
              <w:rPr/>
            </w:pPr>
            <w:r>
              <w:rPr/>
              <w:t xml:space="preserve">  </w:t>
            </w:r>
          </w:p>
        </w:tc>
        <w:tc>
          <w:tcPr>
            <w:tcW w:w="588" w:type="dxa"/>
            <w:tcBorders/>
            <w:vAlign w:val="center"/>
          </w:tcPr>
          <w:p>
            <w:pPr>
              <w:pStyle w:val="TableContents"/>
              <w:bidi w:val="0"/>
              <w:spacing w:before="0" w:after="0"/>
              <w:ind w:left="0" w:right="0" w:hanging="0"/>
              <w:jc w:val="left"/>
              <w:rPr/>
            </w:pPr>
            <w:r>
              <w:rPr/>
              <w:t xml:space="preserve">  </w:t>
            </w:r>
          </w:p>
        </w:tc>
      </w:tr>
      <w:tr>
        <w:trPr/>
        <w:tc>
          <w:tcPr>
            <w:tcW w:w="9617" w:type="dxa"/>
            <w:tcBorders/>
            <w:vAlign w:val="center"/>
          </w:tcPr>
          <w:p>
            <w:pPr>
              <w:pStyle w:val="TableContents"/>
              <w:bidi w:val="0"/>
              <w:spacing w:before="0" w:after="0"/>
              <w:ind w:left="0" w:right="0" w:hanging="0"/>
              <w:jc w:val="center"/>
              <w:rPr/>
            </w:pPr>
            <w:r>
              <w:rPr/>
              <w:t>/s/ RICK L. WELLER</w:t>
            </w:r>
          </w:p>
        </w:tc>
        <w:tc>
          <w:tcPr>
            <w:tcW w:w="588" w:type="dxa"/>
            <w:tcBorders/>
            <w:vAlign w:val="center"/>
          </w:tcPr>
          <w:p>
            <w:pPr>
              <w:pStyle w:val="TableContents"/>
              <w:bidi w:val="0"/>
              <w:spacing w:before="0" w:after="0"/>
              <w:ind w:left="0" w:right="0" w:hanging="0"/>
              <w:jc w:val="left"/>
              <w:rPr/>
            </w:pPr>
            <w:r>
              <w:rPr/>
              <w:t xml:space="preserve">  </w:t>
            </w:r>
          </w:p>
        </w:tc>
      </w:tr>
      <w:tr>
        <w:trPr/>
        <w:tc>
          <w:tcPr>
            <w:tcW w:w="9617" w:type="dxa"/>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Rick L. Weller </w:t>
            </w:r>
          </w:p>
        </w:tc>
        <w:tc>
          <w:tcPr>
            <w:tcW w:w="588" w:type="dxa"/>
            <w:tcBorders/>
            <w:vAlign w:val="center"/>
          </w:tcPr>
          <w:p>
            <w:pPr>
              <w:pStyle w:val="TableContents"/>
              <w:bidi w:val="0"/>
              <w:spacing w:before="0" w:after="0"/>
              <w:ind w:left="0" w:right="0" w:hanging="0"/>
              <w:jc w:val="left"/>
              <w:rPr/>
            </w:pPr>
            <w:r>
              <w:rPr/>
              <w:t xml:space="preserve">  </w:t>
            </w:r>
          </w:p>
        </w:tc>
      </w:tr>
      <w:tr>
        <w:trPr/>
        <w:tc>
          <w:tcPr>
            <w:tcW w:w="9617" w:type="dxa"/>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Chief Financial Officer </w:t>
            </w:r>
          </w:p>
        </w:tc>
        <w:tc>
          <w:tcPr>
            <w:tcW w:w="588" w:type="dxa"/>
            <w:tcBorders/>
            <w:vAlign w:val="center"/>
          </w:tcPr>
          <w:p>
            <w:pPr>
              <w:pStyle w:val="TableContents"/>
              <w:bidi w:val="0"/>
              <w:spacing w:before="0" w:after="0"/>
              <w:ind w:left="0" w:right="0" w:hanging="0"/>
              <w:jc w:val="left"/>
              <w:rPr/>
            </w:pPr>
            <w:r>
              <w:rPr/>
              <w:t xml:space="preserve">  </w:t>
            </w:r>
          </w:p>
        </w:tc>
      </w:tr>
    </w:tbl>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right"/>
        <w:rPr>
          <w:rFonts w:ascii="times new roman;times" w:hAnsi="times new roman;times"/>
          <w:b/>
          <w:sz w:val="20"/>
        </w:rPr>
      </w:pPr>
      <w:bookmarkStart w:id="59" w:name="ex321_3.htm"/>
      <w:bookmarkStart w:id="60" w:name="ksex321_3"/>
      <w:bookmarkEnd w:id="59"/>
      <w:bookmarkEnd w:id="60"/>
      <w:r>
        <w:rPr>
          <w:rFonts w:ascii="times new roman;times" w:hAnsi="times new roman;times"/>
          <w:b/>
          <w:sz w:val="20"/>
        </w:rPr>
        <w:t>EXHIBIT 32.1</w:t>
      </w:r>
      <w:r>
        <w:br w:type="page"/>
      </w:r>
    </w:p>
    <w:p>
      <w:pPr>
        <w:pStyle w:val="TextBody"/>
        <w:bidi w:val="0"/>
        <w:spacing w:lineRule="auto" w:line="288" w:before="0" w:after="0"/>
        <w:ind w:left="0" w:right="0" w:hanging="0"/>
        <w:jc w:val="center"/>
        <w:rPr>
          <w:rFonts w:ascii="times new roman;times" w:hAnsi="times new roman;times"/>
          <w:b/>
          <w:sz w:val="20"/>
        </w:rPr>
      </w:pPr>
      <w:r>
        <w:rPr>
          <w:rFonts w:ascii="times new roman;times" w:hAnsi="times new roman;times"/>
          <w:b/>
          <w:sz w:val="20"/>
        </w:rPr>
        <w:t>CERTIFICATION PURSUANT TO</w:t>
      </w:r>
    </w:p>
    <w:p>
      <w:pPr>
        <w:pStyle w:val="TextBody"/>
        <w:bidi w:val="0"/>
        <w:spacing w:lineRule="auto" w:line="288" w:before="0" w:after="0"/>
        <w:ind w:left="0" w:right="0" w:hanging="0"/>
        <w:jc w:val="center"/>
        <w:rPr>
          <w:rFonts w:ascii="times new roman;times" w:hAnsi="times new roman;times"/>
          <w:b/>
          <w:sz w:val="20"/>
        </w:rPr>
      </w:pPr>
      <w:r>
        <w:rPr>
          <w:rFonts w:ascii="times new roman;times" w:hAnsi="times new roman;times"/>
          <w:b/>
          <w:sz w:val="20"/>
        </w:rPr>
        <w:t>18 U.S.C. SECTION 1350,</w:t>
      </w:r>
    </w:p>
    <w:p>
      <w:pPr>
        <w:pStyle w:val="TextBody"/>
        <w:bidi w:val="0"/>
        <w:spacing w:lineRule="auto" w:line="288" w:before="0" w:after="0"/>
        <w:ind w:left="0" w:right="0" w:hanging="0"/>
        <w:jc w:val="center"/>
        <w:rPr>
          <w:rFonts w:ascii="times new roman;times" w:hAnsi="times new roman;times"/>
          <w:b/>
          <w:sz w:val="20"/>
        </w:rPr>
      </w:pPr>
      <w:r>
        <w:rPr>
          <w:rFonts w:ascii="times new roman;times" w:hAnsi="times new roman;times"/>
          <w:b/>
          <w:sz w:val="20"/>
        </w:rPr>
        <w:t>AS ADOPTED PURSUANT TO</w:t>
      </w:r>
    </w:p>
    <w:p>
      <w:pPr>
        <w:pStyle w:val="TextBody"/>
        <w:bidi w:val="0"/>
        <w:spacing w:lineRule="auto" w:line="288" w:before="0" w:after="0"/>
        <w:ind w:left="0" w:right="0" w:hanging="0"/>
        <w:jc w:val="center"/>
        <w:rPr>
          <w:rFonts w:ascii="times new roman;times" w:hAnsi="times new roman;times"/>
          <w:b/>
          <w:sz w:val="20"/>
        </w:rPr>
      </w:pPr>
      <w:r>
        <w:rPr>
          <w:rFonts w:ascii="times new roman;times" w:hAnsi="times new roman;times"/>
          <w:b/>
          <w:sz w:val="20"/>
        </w:rPr>
        <w:t>SECTION 906 OF THE SARBANES-OXLEY ACT OF 2002</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In connection with the Quarterly Report on Form 10-Q of Euronet Worldwide, Inc. (the “Company”) for the period ended June 30, 2024 as filed with the Securities and Exchange Commission on the date hereof (the “Report”), the undersigned hereby certifies, pursuant to 18 U.S.C. Section 1350, as adopted pursuant to Section 906 of the Sarbanes-Oxley Act of 2002, that:</w:t>
      </w:r>
    </w:p>
    <w:p>
      <w:pPr>
        <w:pStyle w:val="TextBody"/>
        <w:bidi w:val="0"/>
        <w:spacing w:lineRule="auto" w:line="288" w:before="0" w:after="0"/>
        <w:ind w:left="0" w:right="0" w:hanging="0"/>
        <w:jc w:val="both"/>
        <w:rPr/>
      </w:pPr>
      <w:r>
        <w:rPr/>
        <w:t> </w:t>
      </w:r>
    </w:p>
    <w:p>
      <w:pPr>
        <w:pStyle w:val="TextBody"/>
        <w:widowControl/>
        <w:bidi w:val="0"/>
        <w:spacing w:lineRule="auto" w:line="288" w:before="0" w:after="0"/>
        <w:ind w:left="300" w:right="0" w:hanging="0"/>
        <w:jc w:val="both"/>
        <w:rPr>
          <w:rFonts w:ascii="times new roman;times" w:hAnsi="times new roman;times"/>
          <w:sz w:val="20"/>
        </w:rPr>
      </w:pPr>
      <w:r>
        <w:rPr>
          <w:rFonts w:ascii="times new roman;times" w:hAnsi="times new roman;times"/>
          <w:sz w:val="20"/>
        </w:rPr>
        <w:t xml:space="preserve">1) </w:t>
      </w:r>
      <w:r>
        <w:rPr>
          <w:rFonts w:ascii="times new roman;times" w:hAnsi="times new roman;times"/>
          <w:b w:val="false"/>
          <w:color w:val="000000"/>
          <w:spacing w:val="0"/>
          <w:sz w:val="20"/>
        </w:rPr>
        <w:t>the Report fully complies with the requirements of Section 13(a) or 15(d) of the Securities Exchange Act of 1934, as amended; and</w:t>
      </w:r>
    </w:p>
    <w:p>
      <w:pPr>
        <w:pStyle w:val="TextBody"/>
        <w:bidi w:val="0"/>
        <w:spacing w:lineRule="auto" w:line="288" w:before="0" w:after="0"/>
        <w:ind w:left="0" w:right="0" w:hanging="0"/>
        <w:jc w:val="both"/>
        <w:rPr/>
      </w:pPr>
      <w:r>
        <w:rPr/>
        <w:t> </w:t>
      </w:r>
    </w:p>
    <w:p>
      <w:pPr>
        <w:pStyle w:val="TextBody"/>
        <w:widowControl/>
        <w:bidi w:val="0"/>
        <w:spacing w:lineRule="auto" w:line="288" w:before="0" w:after="0"/>
        <w:ind w:left="30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2) the information contained in the Report fairly presents, in all material respects, the financial condition and results of operations of the Company.</w:t>
      </w:r>
    </w:p>
    <w:p>
      <w:pPr>
        <w:pStyle w:val="TextBody"/>
        <w:bidi w:val="0"/>
        <w:spacing w:lineRule="auto" w:line="288" w:before="0" w:after="0"/>
        <w:ind w:left="0" w:right="0" w:hanging="0"/>
        <w:jc w:val="left"/>
        <w:rPr/>
      </w:pPr>
      <w:r>
        <w:rPr/>
      </w:r>
    </w:p>
    <w:tbl>
      <w:tblPr>
        <w:tblW w:w="5000" w:type="pct"/>
        <w:jc w:val="left"/>
        <w:tblInd w:w="0" w:type="dxa"/>
        <w:tblLayout w:type="fixed"/>
        <w:tblCellMar>
          <w:top w:w="0" w:type="dxa"/>
          <w:left w:w="0" w:type="dxa"/>
          <w:bottom w:w="0" w:type="dxa"/>
          <w:right w:w="0" w:type="dxa"/>
        </w:tblCellMar>
      </w:tblPr>
      <w:tblGrid>
        <w:gridCol w:w="9918"/>
        <w:gridCol w:w="287"/>
      </w:tblGrid>
      <w:tr>
        <w:trPr/>
        <w:tc>
          <w:tcPr>
            <w:tcW w:w="9918" w:type="dxa"/>
            <w:tcBorders/>
            <w:vAlign w:val="center"/>
          </w:tcPr>
          <w:p>
            <w:pPr>
              <w:pStyle w:val="TableContents"/>
              <w:bidi w:val="0"/>
              <w:spacing w:before="0" w:after="0"/>
              <w:ind w:left="0" w:right="0" w:hanging="0"/>
              <w:jc w:val="left"/>
              <w:rPr/>
            </w:pPr>
            <w:r>
              <w:rPr/>
              <w:t> </w:t>
            </w:r>
          </w:p>
        </w:tc>
        <w:tc>
          <w:tcPr>
            <w:tcW w:w="287" w:type="dxa"/>
            <w:tcBorders/>
            <w:vAlign w:val="center"/>
          </w:tcPr>
          <w:p>
            <w:pPr>
              <w:pStyle w:val="TableContents"/>
              <w:bidi w:val="0"/>
              <w:spacing w:before="0" w:after="0"/>
              <w:ind w:left="0" w:right="0" w:hanging="0"/>
              <w:jc w:val="left"/>
              <w:rPr/>
            </w:pPr>
            <w:r>
              <w:rPr/>
              <w:t> </w:t>
            </w:r>
          </w:p>
        </w:tc>
      </w:tr>
      <w:tr>
        <w:trPr/>
        <w:tc>
          <w:tcPr>
            <w:tcW w:w="9918" w:type="dxa"/>
            <w:tcBorders/>
            <w:vAlign w:val="center"/>
          </w:tcPr>
          <w:p>
            <w:pPr>
              <w:pStyle w:val="TableContents"/>
              <w:bidi w:val="0"/>
              <w:spacing w:before="0" w:after="0"/>
              <w:ind w:left="0" w:right="0" w:hanging="0"/>
              <w:jc w:val="center"/>
              <w:rPr/>
            </w:pPr>
            <w:r>
              <w:rPr/>
              <w:t>/s/ MICHAEL J. BROWN</w:t>
            </w:r>
          </w:p>
        </w:tc>
        <w:tc>
          <w:tcPr>
            <w:tcW w:w="287" w:type="dxa"/>
            <w:tcBorders/>
            <w:vAlign w:val="center"/>
          </w:tcPr>
          <w:p>
            <w:pPr>
              <w:pStyle w:val="TableContents"/>
              <w:bidi w:val="0"/>
              <w:spacing w:before="0" w:after="0"/>
              <w:ind w:left="0" w:right="0" w:hanging="0"/>
              <w:jc w:val="left"/>
              <w:rPr/>
            </w:pPr>
            <w:r>
              <w:rPr/>
              <w:t> </w:t>
            </w:r>
          </w:p>
        </w:tc>
      </w:tr>
      <w:tr>
        <w:trPr/>
        <w:tc>
          <w:tcPr>
            <w:tcW w:w="9918" w:type="dxa"/>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Michael J. Brown</w:t>
            </w:r>
          </w:p>
        </w:tc>
        <w:tc>
          <w:tcPr>
            <w:tcW w:w="287" w:type="dxa"/>
            <w:tcBorders/>
            <w:vAlign w:val="center"/>
          </w:tcPr>
          <w:p>
            <w:pPr>
              <w:pStyle w:val="TableContents"/>
              <w:bidi w:val="0"/>
              <w:spacing w:before="0" w:after="0"/>
              <w:ind w:left="0" w:right="0" w:hanging="0"/>
              <w:jc w:val="left"/>
              <w:rPr/>
            </w:pPr>
            <w:r>
              <w:rPr/>
              <w:t> </w:t>
            </w:r>
          </w:p>
        </w:tc>
      </w:tr>
      <w:tr>
        <w:trPr/>
        <w:tc>
          <w:tcPr>
            <w:tcW w:w="9918" w:type="dxa"/>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Chief Executive Officer</w:t>
            </w:r>
          </w:p>
        </w:tc>
        <w:tc>
          <w:tcPr>
            <w:tcW w:w="287" w:type="dxa"/>
            <w:tcBorders/>
            <w:vAlign w:val="center"/>
          </w:tcPr>
          <w:p>
            <w:pPr>
              <w:pStyle w:val="TableContents"/>
              <w:bidi w:val="0"/>
              <w:spacing w:before="0" w:after="0"/>
              <w:ind w:left="0" w:right="0" w:hanging="0"/>
              <w:jc w:val="left"/>
              <w:rPr/>
            </w:pPr>
            <w:r>
              <w:rPr/>
              <w:t> </w:t>
            </w:r>
          </w:p>
        </w:tc>
      </w:tr>
    </w:tbl>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August 2, 2024</w:t>
      </w:r>
    </w:p>
    <w:p>
      <w:pPr>
        <w:pStyle w:val="TextBody"/>
        <w:bidi w:val="0"/>
        <w:spacing w:lineRule="auto" w:line="288" w:before="0" w:after="0"/>
        <w:ind w:left="0" w:right="0" w:hanging="0"/>
        <w:jc w:val="center"/>
        <w:rPr/>
      </w:pPr>
      <w:r>
        <w:rPr/>
      </w:r>
    </w:p>
    <w:p>
      <w:pPr>
        <w:pStyle w:val="TextBody"/>
        <w:bidi w:val="0"/>
        <w:spacing w:lineRule="auto" w:line="288" w:before="0" w:after="0"/>
        <w:ind w:left="0" w:right="0" w:hanging="0"/>
        <w:jc w:val="right"/>
        <w:rPr>
          <w:rFonts w:ascii="times new roman;times" w:hAnsi="times new roman;times"/>
          <w:b/>
          <w:sz w:val="20"/>
        </w:rPr>
      </w:pPr>
      <w:bookmarkStart w:id="61" w:name="ex322_4.htm"/>
      <w:bookmarkStart w:id="62" w:name="ksex322_4"/>
      <w:bookmarkEnd w:id="61"/>
      <w:bookmarkEnd w:id="62"/>
      <w:r>
        <w:rPr>
          <w:rFonts w:ascii="times new roman;times" w:hAnsi="times new roman;times"/>
          <w:b/>
          <w:sz w:val="20"/>
        </w:rPr>
        <w:t>EXHIBIT 32.2</w:t>
      </w:r>
      <w:r>
        <w:br w:type="page"/>
      </w:r>
    </w:p>
    <w:p>
      <w:pPr>
        <w:pStyle w:val="TextBody"/>
        <w:bidi w:val="0"/>
        <w:spacing w:lineRule="auto" w:line="288" w:before="0" w:after="0"/>
        <w:ind w:left="0" w:right="0" w:hanging="0"/>
        <w:jc w:val="center"/>
        <w:rPr>
          <w:rFonts w:ascii="times new roman;times" w:hAnsi="times new roman;times"/>
          <w:b/>
          <w:sz w:val="20"/>
        </w:rPr>
      </w:pPr>
      <w:r>
        <w:rPr>
          <w:rFonts w:ascii="times new roman;times" w:hAnsi="times new roman;times"/>
          <w:b/>
          <w:sz w:val="20"/>
        </w:rPr>
        <w:t>CERTIFICATION PURSUANT TO</w:t>
      </w:r>
    </w:p>
    <w:p>
      <w:pPr>
        <w:pStyle w:val="TextBody"/>
        <w:bidi w:val="0"/>
        <w:spacing w:lineRule="auto" w:line="288" w:before="0" w:after="0"/>
        <w:ind w:left="0" w:right="0" w:hanging="0"/>
        <w:jc w:val="center"/>
        <w:rPr>
          <w:rFonts w:ascii="times new roman;times" w:hAnsi="times new roman;times"/>
          <w:b/>
          <w:sz w:val="20"/>
        </w:rPr>
      </w:pPr>
      <w:r>
        <w:rPr>
          <w:rFonts w:ascii="times new roman;times" w:hAnsi="times new roman;times"/>
          <w:b/>
          <w:sz w:val="20"/>
        </w:rPr>
        <w:t>18 U.S.C. SECTION 1350,</w:t>
      </w:r>
    </w:p>
    <w:p>
      <w:pPr>
        <w:pStyle w:val="TextBody"/>
        <w:bidi w:val="0"/>
        <w:spacing w:lineRule="auto" w:line="288" w:before="0" w:after="0"/>
        <w:ind w:left="0" w:right="0" w:hanging="0"/>
        <w:jc w:val="center"/>
        <w:rPr>
          <w:rFonts w:ascii="times new roman;times" w:hAnsi="times new roman;times"/>
          <w:b/>
          <w:sz w:val="20"/>
        </w:rPr>
      </w:pPr>
      <w:r>
        <w:rPr>
          <w:rFonts w:ascii="times new roman;times" w:hAnsi="times new roman;times"/>
          <w:b/>
          <w:sz w:val="20"/>
        </w:rPr>
        <w:t>AS ADOPTED PURSUANT TO</w:t>
      </w:r>
    </w:p>
    <w:p>
      <w:pPr>
        <w:pStyle w:val="TextBody"/>
        <w:bidi w:val="0"/>
        <w:spacing w:lineRule="auto" w:line="288" w:before="0" w:after="0"/>
        <w:ind w:left="0" w:right="0" w:hanging="0"/>
        <w:jc w:val="center"/>
        <w:rPr>
          <w:rFonts w:ascii="times new roman;times" w:hAnsi="times new roman;times"/>
          <w:b/>
          <w:sz w:val="20"/>
        </w:rPr>
      </w:pPr>
      <w:r>
        <w:rPr>
          <w:rFonts w:ascii="times new roman;times" w:hAnsi="times new roman;times"/>
          <w:b/>
          <w:sz w:val="20"/>
        </w:rPr>
        <w:t>SECTION 906 OF THE SARBANES-OXLEY ACT OF 2002</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In connection with the Quarterly Report on Form 10-Q of Euronet Worldwide, Inc. (the “Company”) for the period ended June 30, 2024 as filed with the Securities and Exchange Commission on the date hereof (the “Report”), the undersigned hereby certifies, pursuant to 18 U.S.C. Section 1350, as adopted pursuant to Section 906 of the Sarbanes-Oxley Act of 2002, that:</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widowControl/>
        <w:bidi w:val="0"/>
        <w:spacing w:lineRule="auto" w:line="288" w:before="0" w:after="0"/>
        <w:ind w:left="300" w:right="0" w:hanging="0"/>
        <w:jc w:val="both"/>
        <w:rPr>
          <w:rFonts w:ascii="times new roman;times" w:hAnsi="times new roman;times"/>
          <w:sz w:val="20"/>
        </w:rPr>
      </w:pPr>
      <w:r>
        <w:rPr>
          <w:rFonts w:ascii="times new roman;times" w:hAnsi="times new roman;times"/>
          <w:sz w:val="20"/>
        </w:rPr>
        <w:t xml:space="preserve">1) </w:t>
      </w:r>
      <w:r>
        <w:rPr>
          <w:rFonts w:ascii="times new roman;times" w:hAnsi="times new roman;times"/>
          <w:b w:val="false"/>
          <w:color w:val="000000"/>
          <w:spacing w:val="0"/>
          <w:sz w:val="20"/>
        </w:rPr>
        <w:t>the Report fully complies with the requirements of Section 13(a) or 15(d) of the Securities Exchange Act of 1934, as amended; and</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widowControl/>
        <w:bidi w:val="0"/>
        <w:spacing w:lineRule="auto" w:line="288" w:before="0" w:after="0"/>
        <w:ind w:left="300" w:right="0" w:hanging="0"/>
        <w:jc w:val="both"/>
        <w:rPr>
          <w:rFonts w:ascii="times new roman;times" w:hAnsi="times new roman;times"/>
          <w:sz w:val="20"/>
        </w:rPr>
      </w:pPr>
      <w:r>
        <w:rPr>
          <w:rFonts w:ascii="times new roman;times" w:hAnsi="times new roman;times"/>
          <w:sz w:val="20"/>
        </w:rPr>
        <w:t xml:space="preserve">2) </w:t>
      </w:r>
      <w:r>
        <w:rPr>
          <w:rFonts w:ascii="times new roman;times" w:hAnsi="times new roman;times"/>
          <w:b w:val="false"/>
          <w:color w:val="000000"/>
          <w:spacing w:val="0"/>
          <w:sz w:val="20"/>
        </w:rPr>
        <w:t>the information contained in the Report fairly presents, in all material respects, the financial condition and results of operations of the Company.</w:t>
      </w:r>
    </w:p>
    <w:p>
      <w:pPr>
        <w:pStyle w:val="TextBody"/>
        <w:widowControl/>
        <w:bidi w:val="0"/>
        <w:spacing w:lineRule="auto" w:line="288" w:before="0" w:after="0"/>
        <w:ind w:left="0" w:right="0" w:hanging="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r>
    </w:p>
    <w:tbl>
      <w:tblPr>
        <w:tblW w:w="5000" w:type="pct"/>
        <w:jc w:val="left"/>
        <w:tblInd w:w="0" w:type="dxa"/>
        <w:tblLayout w:type="fixed"/>
        <w:tblCellMar>
          <w:top w:w="0" w:type="dxa"/>
          <w:left w:w="0" w:type="dxa"/>
          <w:bottom w:w="0" w:type="dxa"/>
          <w:right w:w="0" w:type="dxa"/>
        </w:tblCellMar>
      </w:tblPr>
      <w:tblGrid>
        <w:gridCol w:w="9833"/>
        <w:gridCol w:w="372"/>
      </w:tblGrid>
      <w:tr>
        <w:trPr/>
        <w:tc>
          <w:tcPr>
            <w:tcW w:w="9833" w:type="dxa"/>
            <w:tcBorders/>
            <w:vAlign w:val="center"/>
          </w:tcPr>
          <w:p>
            <w:pPr>
              <w:pStyle w:val="TableContents"/>
              <w:bidi w:val="0"/>
              <w:spacing w:before="0" w:after="0"/>
              <w:ind w:left="0" w:right="0" w:hanging="0"/>
              <w:jc w:val="left"/>
              <w:rPr/>
            </w:pPr>
            <w:r>
              <w:rPr/>
              <w:t> </w:t>
            </w:r>
          </w:p>
        </w:tc>
        <w:tc>
          <w:tcPr>
            <w:tcW w:w="372" w:type="dxa"/>
            <w:tcBorders/>
            <w:vAlign w:val="center"/>
          </w:tcPr>
          <w:p>
            <w:pPr>
              <w:pStyle w:val="TableContents"/>
              <w:bidi w:val="0"/>
              <w:spacing w:before="0" w:after="0"/>
              <w:ind w:left="0" w:right="0" w:hanging="0"/>
              <w:jc w:val="left"/>
              <w:rPr/>
            </w:pPr>
            <w:r>
              <w:rPr/>
              <w:t> </w:t>
            </w:r>
          </w:p>
        </w:tc>
      </w:tr>
      <w:tr>
        <w:trPr/>
        <w:tc>
          <w:tcPr>
            <w:tcW w:w="9833" w:type="dxa"/>
            <w:tcBorders/>
            <w:vAlign w:val="center"/>
          </w:tcPr>
          <w:p>
            <w:pPr>
              <w:pStyle w:val="TableContents"/>
              <w:bidi w:val="0"/>
              <w:spacing w:before="0" w:after="0"/>
              <w:ind w:left="0" w:right="0" w:hanging="0"/>
              <w:jc w:val="center"/>
              <w:rPr>
                <w:rFonts w:ascii="times new roman;times" w:hAnsi="times new roman;times"/>
                <w:sz w:val="20"/>
              </w:rPr>
            </w:pPr>
            <w:r>
              <w:rPr>
                <w:rFonts w:ascii="times new roman;times" w:hAnsi="times new roman;times"/>
                <w:sz w:val="20"/>
              </w:rPr>
              <w:t>/s/ RICK L. WELLER</w:t>
            </w:r>
          </w:p>
        </w:tc>
        <w:tc>
          <w:tcPr>
            <w:tcW w:w="372" w:type="dxa"/>
            <w:tcBorders/>
            <w:vAlign w:val="center"/>
          </w:tcPr>
          <w:p>
            <w:pPr>
              <w:pStyle w:val="TableContents"/>
              <w:bidi w:val="0"/>
              <w:spacing w:before="0" w:after="0"/>
              <w:ind w:left="0" w:right="0" w:hanging="0"/>
              <w:jc w:val="left"/>
              <w:rPr/>
            </w:pPr>
            <w:r>
              <w:rPr/>
              <w:t> </w:t>
            </w:r>
          </w:p>
        </w:tc>
      </w:tr>
      <w:tr>
        <w:trPr/>
        <w:tc>
          <w:tcPr>
            <w:tcW w:w="9833" w:type="dxa"/>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Rick L. Weller</w:t>
            </w:r>
          </w:p>
        </w:tc>
        <w:tc>
          <w:tcPr>
            <w:tcW w:w="372" w:type="dxa"/>
            <w:tcBorders/>
            <w:vAlign w:val="center"/>
          </w:tcPr>
          <w:p>
            <w:pPr>
              <w:pStyle w:val="TableContents"/>
              <w:bidi w:val="0"/>
              <w:spacing w:before="0" w:after="0"/>
              <w:ind w:left="0" w:right="0" w:hanging="0"/>
              <w:jc w:val="left"/>
              <w:rPr/>
            </w:pPr>
            <w:r>
              <w:rPr/>
              <w:t> </w:t>
            </w:r>
          </w:p>
        </w:tc>
      </w:tr>
      <w:tr>
        <w:trPr/>
        <w:tc>
          <w:tcPr>
            <w:tcW w:w="9833" w:type="dxa"/>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Chief Financial Officer</w:t>
            </w:r>
          </w:p>
        </w:tc>
        <w:tc>
          <w:tcPr>
            <w:tcW w:w="372" w:type="dxa"/>
            <w:tcBorders/>
            <w:vAlign w:val="center"/>
          </w:tcPr>
          <w:p>
            <w:pPr>
              <w:pStyle w:val="TableContents"/>
              <w:bidi w:val="0"/>
              <w:spacing w:before="0" w:after="0"/>
              <w:ind w:left="0" w:right="0" w:hanging="0"/>
              <w:jc w:val="left"/>
              <w:rPr/>
            </w:pPr>
            <w:r>
              <w:rPr/>
              <w:t> </w:t>
            </w:r>
          </w:p>
        </w:tc>
      </w:tr>
    </w:tbl>
    <w:p>
      <w:pPr>
        <w:pStyle w:val="TextBody"/>
        <w:bidi w:val="0"/>
        <w:spacing w:lineRule="auto" w:line="288" w:before="0" w:after="0"/>
        <w:ind w:left="0" w:right="0" w:hanging="0"/>
        <w:jc w:val="left"/>
        <w:rPr/>
      </w:pPr>
      <w:r>
        <w:rPr/>
      </w:r>
    </w:p>
    <w:p>
      <w:pPr>
        <w:pStyle w:val="TextBody"/>
        <w:bidi w:val="0"/>
        <w:spacing w:lineRule="auto" w:line="288" w:before="0" w:after="283"/>
        <w:jc w:val="left"/>
        <w:rPr>
          <w:rFonts w:ascii="times new roman;times" w:hAnsi="times new roman;times"/>
          <w:sz w:val="20"/>
        </w:rPr>
      </w:pPr>
      <w:r>
        <w:rPr>
          <w:rFonts w:ascii="times new roman;times" w:hAnsi="times new roman;times"/>
          <w:sz w:val="20"/>
        </w:rPr>
        <w:t>August 2, 2024</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inherit">
    <w:charset w:val="01"/>
    <w:family w:val="auto"/>
    <w:pitch w:val="default"/>
  </w:font>
  <w:font w:name="times new roman">
    <w:charset w:val="01"/>
    <w:family w:val="auto"/>
    <w:pitch w:val="default"/>
  </w:font>
  <w:font w:name="Wingdings">
    <w:charset w:val="02"/>
    <w:family w:val="auto"/>
    <w:pitch w:val="default"/>
  </w:font>
  <w:font w:name="Times New Roman">
    <w:altName w:val="serif"/>
    <w:charset w:val="01"/>
    <w:family w:val="auto"/>
    <w:pitch w:val="default"/>
  </w:font>
  <w:font w:name="Century Gothic">
    <w:altName w:val="sans-serif"/>
    <w:charset w:val="01"/>
    <w:family w:val="auto"/>
    <w:pitch w:val="default"/>
  </w:font>
  <w:font w:name="Aptos">
    <w:altName w:val="sans-serif"/>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suff w:val="nothing"/>
      <w:lvlText w:val=""/>
      <w:lvlJc w:val="left"/>
      <w:pPr>
        <w:tabs>
          <w:tab w:val="num" w:pos="709"/>
        </w:tabs>
        <w:ind w:left="709" w:hanging="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character" w:styleId="VisitedInternetLink">
    <w:name w:val="FollowedHyperlink"/>
    <w:rPr>
      <w:color w:val="80000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 TargetMode="External"/><Relationship Id="rId3" Type="http://schemas.openxmlformats.org/officeDocument/2006/relationships/hyperlink" Target="#" TargetMode="External"/><Relationship Id="rId4" Type="http://schemas.openxmlformats.org/officeDocument/2006/relationships/hyperlink" Target="#" TargetMode="External"/><Relationship Id="rId5" Type="http://schemas.openxmlformats.org/officeDocument/2006/relationships/hyperlink" Target="#" TargetMode="External"/><Relationship Id="rId6" Type="http://schemas.openxmlformats.org/officeDocument/2006/relationships/hyperlink" Target="#" TargetMode="External"/><Relationship Id="rId7" Type="http://schemas.openxmlformats.org/officeDocument/2006/relationships/hyperlink" Target="#" TargetMode="External"/><Relationship Id="rId8" Type="http://schemas.openxmlformats.org/officeDocument/2006/relationships/hyperlink" Target="#" TargetMode="External"/><Relationship Id="rId9" Type="http://schemas.openxmlformats.org/officeDocument/2006/relationships/hyperlink" Target="#" TargetMode="External"/><Relationship Id="rId10" Type="http://schemas.openxmlformats.org/officeDocument/2006/relationships/hyperlink" Target="#" TargetMode="External"/><Relationship Id="rId11" Type="http://schemas.openxmlformats.org/officeDocument/2006/relationships/numbering" Target="numbering.xm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23752</Words>
  <Characters>127829</Characters>
  <CharactersWithSpaces>149974</CharactersWithSpaces>
  <Paragraphs>4473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