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87" w:lineRule="exact"/>
        <w:rPr>
          <w:sz w:val="24"/>
          <w:szCs w:val="24"/>
          <w:color w:val="auto"/>
        </w:rPr>
      </w:pPr>
    </w:p>
    <w:p>
      <w:pPr>
        <w:ind w:left="520" w:hanging="20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QUARTERLY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38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quarterly period ended September 30, 2021</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80" w:lineRule="exact"/>
        <w:rPr>
          <w:sz w:val="24"/>
          <w:szCs w:val="24"/>
          <w:color w:val="auto"/>
        </w:rPr>
      </w:pPr>
    </w:p>
    <w:p>
      <w:pPr>
        <w:ind w:left="520" w:hanging="20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8"/>
          <w:szCs w:val="18"/>
          <w:color w:val="auto"/>
        </w:rPr>
        <w:t>TRANSITION REPORT PURSUANT TO SECTION 13 OR 15(d) OF THE SECURITIES EXCHANGE ACT OF 1934</w:t>
      </w:r>
    </w:p>
    <w:p>
      <w:pPr>
        <w:spacing w:after="0" w:line="212" w:lineRule="exact"/>
        <w:rPr>
          <w:sz w:val="24"/>
          <w:szCs w:val="24"/>
          <w:color w:val="auto"/>
        </w:rPr>
      </w:pPr>
    </w:p>
    <w:p>
      <w:pPr>
        <w:ind w:left="3900"/>
        <w:spacing w:after="0"/>
        <w:tabs>
          <w:tab w:leader="none" w:pos="61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001-31648</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EURONET WORLDWIDE, INC.</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Delaware</w:t>
            </w:r>
          </w:p>
        </w:tc>
        <w:tc>
          <w:tcPr>
            <w:tcW w:w="4660" w:type="dxa"/>
            <w:vAlign w:val="bottom"/>
          </w:tcPr>
          <w:p>
            <w:pPr>
              <w:jc w:val="right"/>
              <w:ind w:right="779"/>
              <w:spacing w:after="0"/>
              <w:rPr>
                <w:sz w:val="20"/>
                <w:szCs w:val="20"/>
                <w:color w:val="auto"/>
              </w:rPr>
            </w:pPr>
            <w:r>
              <w:rPr>
                <w:rFonts w:ascii="Arial" w:cs="Arial" w:eastAsia="Arial" w:hAnsi="Arial"/>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Arial" w:cs="Arial" w:eastAsia="Arial" w:hAnsi="Arial"/>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Arial" w:cs="Arial" w:eastAsia="Arial" w:hAnsi="Arial"/>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66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(Zip Code)</w:t>
            </w:r>
          </w:p>
        </w:tc>
      </w:tr>
      <w:tr>
        <w:trPr>
          <w:trHeight w:val="297"/>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Arial" w:cs="Arial" w:eastAsia="Arial" w:hAnsi="Arial"/>
                <w:sz w:val="16"/>
                <w:szCs w:val="16"/>
                <w:b w:val="1"/>
                <w:bCs w:val="1"/>
                <w:color w:val="auto"/>
              </w:rPr>
              <w:t>(913) 327-4200</w:t>
            </w: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56"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Arial" w:cs="Arial" w:eastAsia="Arial" w:hAnsi="Arial"/>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Arial" w:cs="Arial" w:eastAsia="Arial" w:hAnsi="Arial"/>
                <w:sz w:val="16"/>
                <w:szCs w:val="16"/>
                <w:b w:val="1"/>
                <w:bCs w:val="1"/>
                <w:color w:val="auto"/>
                <w:w w:val="90"/>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7"/>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Arial" w:cs="Arial" w:eastAsia="Arial" w:hAnsi="Arial"/>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5"/>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58" w:lineRule="exact"/>
        <w:rPr>
          <w:sz w:val="24"/>
          <w:szCs w:val="24"/>
          <w:color w:val="auto"/>
        </w:rPr>
      </w:pPr>
    </w:p>
    <w:p>
      <w:pPr>
        <w:ind w:right="20"/>
        <w:spacing w:after="0" w:line="22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ind w:right="26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83"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00" w:type="dxa"/>
            <w:vAlign w:val="bottom"/>
          </w:tcPr>
          <w:p>
            <w:pPr>
              <w:ind w:left="500"/>
              <w:spacing w:after="0"/>
              <w:rPr>
                <w:sz w:val="20"/>
                <w:szCs w:val="20"/>
                <w:color w:val="auto"/>
              </w:rPr>
            </w:pPr>
            <w:r>
              <w:rPr>
                <w:rFonts w:ascii="Arial" w:cs="Arial" w:eastAsia="Arial" w:hAnsi="Arial"/>
                <w:sz w:val="16"/>
                <w:szCs w:val="16"/>
                <w:color w:val="auto"/>
              </w:rPr>
              <w:t>o</w:t>
            </w:r>
          </w:p>
        </w:tc>
        <w:tc>
          <w:tcPr>
            <w:tcW w:w="47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7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580"/>
        <w:spacing w:after="0" w:line="27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right="300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October 27, 2021, Euronet Worldwide, Inc. had 52,856,023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08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20" w:type="dxa"/>
            <w:vAlign w:val="bottom"/>
            <w:gridSpan w:val="11"/>
          </w:tcPr>
          <w:p>
            <w:pPr>
              <w:ind w:left="440"/>
              <w:spacing w:after="0"/>
              <w:rPr>
                <w:sz w:val="20"/>
                <w:szCs w:val="20"/>
                <w:color w:val="auto"/>
              </w:rPr>
            </w:pPr>
            <w:r>
              <w:rPr>
                <w:rFonts w:ascii="Arial" w:cs="Arial" w:eastAsia="Arial" w:hAnsi="Arial"/>
                <w:sz w:val="18"/>
                <w:szCs w:val="18"/>
                <w:b w:val="1"/>
                <w:bCs w:val="1"/>
                <w:color w:val="auto"/>
              </w:rPr>
              <w:t>EURONET WORLDWIDE, INC. AND SUBSIDIARIES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gridSpan w:val="10"/>
          </w:tcPr>
          <w:p>
            <w:pPr>
              <w:ind w:left="160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38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380" w:type="dxa"/>
            <w:vAlign w:val="bottom"/>
            <w:gridSpan w:val="19"/>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2021 and December 31, 2020</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gridSpan w:val="19"/>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Nine Months Ended September 30, 2021 and 2020</w:t>
              </w:r>
            </w:hyperlink>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87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Three and Nine Months Ended September 30, 2021 and 2020</w:t>
              </w:r>
            </w:hyperlink>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gridSpan w:val="19"/>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 for the Three and Nine Months Ended September 30, 2021 and 2020</w:t>
              </w:r>
            </w:hyperlink>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70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for the Nine Months Ended September 30, 2021 and 2020</w:t>
              </w:r>
            </w:hyperlink>
          </w:p>
        </w:tc>
        <w:tc>
          <w:tcPr>
            <w:tcW w:w="2260" w:type="dxa"/>
            <w:vAlign w:val="bottom"/>
            <w:tcBorders>
              <w:bottom w:val="single" w:sz="8" w:color="CCEEFF"/>
            </w:tcBorders>
            <w:gridSpan w:val="4"/>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gridSpan w:val="19"/>
          </w:tcPr>
          <w:p>
            <w:pPr>
              <w:ind w:lef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the Unaudited Consolidated Financial Statements</w:t>
              </w:r>
            </w:hyperlink>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2.</w:t>
              </w:r>
            </w:hyperlink>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64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tcBorders>
              <w:bottom w:val="single" w:sz="8" w:color="CCEEFF"/>
            </w:tcBorders>
            <w:gridSpan w:val="5"/>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380" w:type="dxa"/>
            <w:vAlign w:val="bottom"/>
            <w:gridSpan w:val="19"/>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20" w:type="dxa"/>
            <w:vAlign w:val="bottom"/>
            <w:shd w:val="clear" w:color="auto" w:fill="CCEEFF"/>
          </w:tcPr>
          <w:p>
            <w:pPr>
              <w:spacing w:after="0" w:line="17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4.</w:t>
              </w:r>
            </w:hyperlink>
          </w:p>
        </w:tc>
        <w:tc>
          <w:tcPr>
            <w:tcW w:w="380" w:type="dxa"/>
            <w:vAlign w:val="bottom"/>
            <w:gridSpan w:val="2"/>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380" w:type="dxa"/>
            <w:vAlign w:val="bottom"/>
            <w:gridSpan w:val="22"/>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PART II—OTHER INFORMATION</w:t>
              </w:r>
            </w:hyperlink>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vMerge w:val="restart"/>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20" w:type="dxa"/>
            <w:vAlign w:val="bottom"/>
            <w:shd w:val="clear" w:color="auto" w:fill="CCEEFF"/>
          </w:tcPr>
          <w:p>
            <w:pPr>
              <w:spacing w:after="0" w:line="17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1.</w:t>
              </w:r>
            </w:hyperlink>
          </w:p>
        </w:tc>
        <w:tc>
          <w:tcPr>
            <w:tcW w:w="380" w:type="dxa"/>
            <w:vAlign w:val="bottom"/>
            <w:gridSpan w:val="2"/>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9380" w:type="dxa"/>
            <w:vAlign w:val="bottom"/>
            <w:gridSpan w:val="19"/>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20" w:type="dxa"/>
            <w:vAlign w:val="bottom"/>
            <w:shd w:val="clear" w:color="auto" w:fill="CCEEFF"/>
          </w:tcPr>
          <w:p>
            <w:pPr>
              <w:spacing w:after="0" w:line="17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2.</w:t>
              </w:r>
            </w:hyperlink>
          </w:p>
        </w:tc>
        <w:tc>
          <w:tcPr>
            <w:tcW w:w="380" w:type="dxa"/>
            <w:vAlign w:val="bottom"/>
            <w:gridSpan w:val="2"/>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20" w:type="dxa"/>
            <w:vAlign w:val="bottom"/>
          </w:tcPr>
          <w:p>
            <w:pPr>
              <w:spacing w:after="0" w:line="202"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ITEM 6.</w:t>
              </w:r>
            </w:hyperlink>
          </w:p>
        </w:tc>
        <w:tc>
          <w:tcPr>
            <w:tcW w:w="380" w:type="dxa"/>
            <w:vAlign w:val="bottom"/>
            <w:gridSpan w:val="2"/>
          </w:tcPr>
          <w:p>
            <w:pPr>
              <w:spacing w:after="0"/>
              <w:rPr>
                <w:sz w:val="17"/>
                <w:szCs w:val="17"/>
                <w:color w:val="auto"/>
              </w:rPr>
            </w:pPr>
          </w:p>
        </w:tc>
        <w:tc>
          <w:tcPr>
            <w:tcW w:w="9380" w:type="dxa"/>
            <w:vAlign w:val="bottom"/>
            <w:gridSpan w:val="19"/>
          </w:tcPr>
          <w:p>
            <w:pPr>
              <w:ind w:left="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0" w:type="dxa"/>
            <w:vAlign w:val="bottom"/>
            <w:vMerge w:val="continue"/>
          </w:tcPr>
          <w:p>
            <w:pPr>
              <w:spacing w:after="0"/>
              <w:rPr>
                <w:sz w:val="18"/>
                <w:szCs w:val="18"/>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5"/>
        </w:trPr>
        <w:tc>
          <w:tcPr>
            <w:tcW w:w="40" w:type="dxa"/>
            <w:vAlign w:val="bottom"/>
            <w:tcBorders>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2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1,420,255</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ATM cash</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669,686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411,054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928,740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of credit losses of $4,504 and $5,926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152,564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117,517</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235,209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272,900</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3,038,291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3,365,935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165,327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162,074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$517,319 and $490,429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350,727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378,441</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646,178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665,821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intangible assets, net of accumulated amortization of $180,100 and $175,210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121,883</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Other assets, net of accumulated amortization of $60,908 and $55,710</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223,557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232,557</w:t>
            </w:r>
          </w:p>
        </w:tc>
        <w:tc>
          <w:tcPr>
            <w:tcW w:w="0" w:type="dxa"/>
            <w:vAlign w:val="bottom"/>
          </w:tcPr>
          <w:p>
            <w:pPr>
              <w:spacing w:after="0"/>
              <w:rPr>
                <w:sz w:val="1"/>
                <w:szCs w:val="1"/>
                <w:color w:val="auto"/>
              </w:rPr>
            </w:pPr>
          </w:p>
        </w:tc>
      </w:tr>
      <w:tr>
        <w:trPr>
          <w:trHeight w:val="209"/>
        </w:trPr>
        <w:tc>
          <w:tcPr>
            <w:tcW w:w="856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4,526,318</w:t>
            </w:r>
          </w:p>
        </w:tc>
        <w:tc>
          <w:tcPr>
            <w:tcW w:w="6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4,926,711</w:t>
            </w:r>
          </w:p>
        </w:tc>
        <w:tc>
          <w:tcPr>
            <w:tcW w:w="60" w:type="dxa"/>
            <w:vAlign w:val="bottom"/>
            <w:tcBorders>
              <w:top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928,740</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168,792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369,283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404,021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52,436</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36,359</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73,360</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1,642,834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1,855,441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1,197,495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1,437,589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106,502</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38,666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37,875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43,401</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3,034,861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3,480,808</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shares issued 63,483,092 and 63,366,010</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1,260,283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1,228,446</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Treasury stock, at cost, shares issued 10,627,621 and 10,631,961</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(703,136)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(703,032)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1,087,007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1,013,155</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(154,048)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(94,214)</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1,491,376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1,445,622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1,491,457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1,445,903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4,526,318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2900"/>
              <w:spacing w:after="0"/>
              <w:rPr>
                <w:sz w:val="20"/>
                <w:szCs w:val="20"/>
                <w:color w:val="auto"/>
              </w:rPr>
            </w:pPr>
            <w:r>
              <w:rPr>
                <w:rFonts w:ascii="Arial" w:cs="Arial" w:eastAsia="Arial" w:hAnsi="Arial"/>
                <w:sz w:val="18"/>
                <w:szCs w:val="18"/>
                <w:color w:val="auto"/>
                <w:w w:val="92"/>
              </w:rPr>
              <w:t>See accompanying notes to the unaudited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55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8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3"/>
        </w:trPr>
        <w:tc>
          <w:tcPr>
            <w:tcW w:w="60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816,560</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2,183,916</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1,776,061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407,598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1,389,770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1,117,065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119,421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101,577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356,160</w:t>
            </w:r>
          </w:p>
        </w:tc>
        <w:tc>
          <w:tcPr>
            <w:tcW w:w="2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293,769</w:t>
            </w:r>
          </w:p>
        </w:tc>
        <w:tc>
          <w:tcPr>
            <w:tcW w:w="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182,193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169,333</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106,021</w:t>
            </w:r>
          </w:p>
        </w:tc>
        <w:tc>
          <w:tcPr>
            <w:tcW w:w="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100,729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93,470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702,066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598,279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2,028,852</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1,779,658</w:t>
            </w:r>
          </w:p>
        </w:tc>
        <w:tc>
          <w:tcPr>
            <w:tcW w:w="40" w:type="dxa"/>
            <w:vAlign w:val="bottom"/>
          </w:tcPr>
          <w:p>
            <w:pPr>
              <w:spacing w:after="0"/>
              <w:rPr>
                <w:sz w:val="20"/>
                <w:szCs w:val="20"/>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6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114,494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155,064</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(28,718)</w:t>
            </w:r>
          </w:p>
        </w:tc>
        <w:tc>
          <w:tcPr>
            <w:tcW w:w="2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(27,594)</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loss,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(17,679)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gains, net</w:t>
            </w:r>
          </w:p>
        </w:tc>
        <w:tc>
          <w:tcPr>
            <w:tcW w:w="2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4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(40,199)</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(43,678)</w:t>
            </w:r>
          </w:p>
        </w:tc>
      </w:tr>
      <w:tr>
        <w:trPr>
          <w:trHeight w:val="20"/>
        </w:trPr>
        <w:tc>
          <w:tcPr>
            <w:tcW w:w="6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96,440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55,366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114,865</w:t>
            </w:r>
          </w:p>
        </w:tc>
        <w:tc>
          <w:tcPr>
            <w:tcW w:w="2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(47,275)</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(41,140)</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(26,423)</w:t>
            </w:r>
          </w:p>
        </w:tc>
      </w:tr>
      <w:tr>
        <w:trPr>
          <w:trHeight w:val="20"/>
        </w:trPr>
        <w:tc>
          <w:tcPr>
            <w:tcW w:w="6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73,714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40,315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73,725</w:t>
            </w:r>
          </w:p>
        </w:tc>
        <w:tc>
          <w:tcPr>
            <w:tcW w:w="2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(73,698)</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7"/>
        </w:trPr>
        <w:tc>
          <w:tcPr>
            <w:tcW w:w="6060" w:type="dxa"/>
            <w:vAlign w:val="bottom"/>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73,882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40,249</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73,852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(73,634)</w:t>
            </w:r>
          </w:p>
        </w:tc>
      </w:tr>
      <w:tr>
        <w:trPr>
          <w:trHeight w:val="257"/>
        </w:trPr>
        <w:tc>
          <w:tcPr>
            <w:tcW w:w="60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6"/>
              </w:rPr>
              <w:t>Earnings (loss) per share attributable to Euronet Worldwide, Inc. stockholders: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r>
      <w:tr>
        <w:trPr>
          <w:trHeight w:val="290"/>
        </w:trPr>
        <w:tc>
          <w:tcPr>
            <w:tcW w:w="60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(1.40)</w:t>
            </w:r>
          </w:p>
        </w:tc>
      </w:tr>
      <w:tr>
        <w:trPr>
          <w:trHeight w:val="257"/>
        </w:trPr>
        <w:tc>
          <w:tcPr>
            <w:tcW w:w="60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52,829,386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52,294,522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52,799,199</w:t>
            </w:r>
          </w:p>
        </w:tc>
        <w:tc>
          <w:tcPr>
            <w:tcW w:w="2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52,712,030</w:t>
            </w:r>
          </w:p>
        </w:tc>
        <w:tc>
          <w:tcPr>
            <w:tcW w:w="40" w:type="dxa"/>
            <w:vAlign w:val="bottom"/>
            <w:shd w:val="clear" w:color="auto" w:fill="CCEEFF"/>
          </w:tcPr>
          <w:p>
            <w:pPr>
              <w:spacing w:after="0"/>
              <w:rPr>
                <w:sz w:val="22"/>
                <w:szCs w:val="22"/>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250"/>
        </w:trPr>
        <w:tc>
          <w:tcPr>
            <w:tcW w:w="60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53,853,675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53,201,971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53,933,226</w:t>
            </w:r>
          </w:p>
        </w:tc>
        <w:tc>
          <w:tcPr>
            <w:tcW w:w="2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0"/>
              </w:rPr>
              <w:t>52,712,030</w:t>
            </w:r>
          </w:p>
        </w:tc>
        <w:tc>
          <w:tcPr>
            <w:tcW w:w="40" w:type="dxa"/>
            <w:vAlign w:val="bottom"/>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3"/>
        </w:trPr>
        <w:tc>
          <w:tcPr>
            <w:tcW w:w="59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22"/>
                <w:szCs w:val="2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73,714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40,315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73,725</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(73,698)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(29,692)</w:t>
            </w:r>
          </w:p>
        </w:tc>
        <w:tc>
          <w:tcPr>
            <w:tcW w:w="4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47,006</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(59,907)</w:t>
            </w:r>
          </w:p>
        </w:tc>
        <w:tc>
          <w:tcPr>
            <w:tcW w:w="3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19,360</w:t>
            </w:r>
          </w:p>
        </w:tc>
      </w:tr>
      <w:tr>
        <w:trPr>
          <w:trHeight w:val="27"/>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44,022</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87,321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13,818</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(54,338)</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3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7"/>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57"/>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 attributable to Euronet Worldwide, Inc.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44,218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87,188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14,018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(54,327)</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Shares Outstanding</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Borders>
              <w:bottom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54,220,854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1,190,058</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80" w:type="dxa"/>
            <w:vAlign w:val="bottom"/>
          </w:tcPr>
          <w:p>
            <w:pPr>
              <w:jc w:val="right"/>
              <w:spacing w:after="0"/>
              <w:rPr>
                <w:sz w:val="20"/>
                <w:szCs w:val="20"/>
                <w:color w:val="auto"/>
              </w:rPr>
            </w:pPr>
            <w:r>
              <w:rPr>
                <w:rFonts w:ascii="Arial" w:cs="Arial" w:eastAsia="Arial" w:hAnsi="Arial"/>
                <w:sz w:val="18"/>
                <w:szCs w:val="18"/>
                <w:color w:val="auto"/>
              </w:rPr>
              <w:t>80,519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1,701</w:t>
            </w:r>
          </w:p>
        </w:tc>
        <w:tc>
          <w:tcPr>
            <w:tcW w:w="1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6,338</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(2,095,683)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52,205,690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1,198,097</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(703,716)</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80" w:type="dxa"/>
            <w:vAlign w:val="bottom"/>
          </w:tcPr>
          <w:p>
            <w:pPr>
              <w:jc w:val="right"/>
              <w:spacing w:after="0"/>
              <w:rPr>
                <w:sz w:val="20"/>
                <w:szCs w:val="20"/>
                <w:color w:val="auto"/>
              </w:rPr>
            </w:pPr>
            <w:r>
              <w:rPr>
                <w:rFonts w:ascii="Arial" w:cs="Arial" w:eastAsia="Arial" w:hAnsi="Arial"/>
                <w:sz w:val="18"/>
                <w:szCs w:val="18"/>
                <w:color w:val="auto"/>
              </w:rPr>
              <w:t>82,841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3,763</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3,125</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Balance as of June 30, 2020</w:t>
            </w:r>
          </w:p>
        </w:tc>
        <w:tc>
          <w:tcPr>
            <w:tcW w:w="1280" w:type="dxa"/>
            <w:vAlign w:val="bottom"/>
          </w:tcPr>
          <w:p>
            <w:pPr>
              <w:jc w:val="right"/>
              <w:spacing w:after="0"/>
              <w:rPr>
                <w:sz w:val="20"/>
                <w:szCs w:val="20"/>
                <w:color w:val="auto"/>
              </w:rPr>
            </w:pPr>
            <w:r>
              <w:rPr>
                <w:rFonts w:ascii="Arial" w:cs="Arial" w:eastAsia="Arial" w:hAnsi="Arial"/>
                <w:sz w:val="18"/>
                <w:szCs w:val="18"/>
                <w:color w:val="auto"/>
              </w:rPr>
              <w:t>52,288,531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1,204,985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(703,657</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6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5,037</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Balance as of September 30, 2020</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52,310,135</w:t>
            </w:r>
          </w:p>
        </w:tc>
        <w:tc>
          <w:tcPr>
            <w:tcW w:w="120" w:type="dxa"/>
            <w:vAlign w:val="bottom"/>
            <w:shd w:val="clear" w:color="auto" w:fill="CCEEFF"/>
          </w:tcPr>
          <w:p>
            <w:pPr>
              <w:spacing w:after="0"/>
              <w:rPr>
                <w:sz w:val="14"/>
                <w:szCs w:val="14"/>
                <w:color w:val="auto"/>
              </w:rPr>
            </w:pPr>
          </w:p>
        </w:tc>
        <w:tc>
          <w:tcPr>
            <w:tcW w:w="40" w:type="dxa"/>
            <w:vAlign w:val="bottom"/>
            <w:vMerge w:val="restart"/>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1,259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1,210,709</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spacing w:after="0"/>
              <w:rPr>
                <w:sz w:val="14"/>
                <w:szCs w:val="14"/>
                <w:color w:val="auto"/>
              </w:rPr>
            </w:pPr>
          </w:p>
        </w:tc>
        <w:tc>
          <w:tcPr>
            <w:tcW w:w="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95"/>
        </w:trPr>
        <w:tc>
          <w:tcPr>
            <w:tcW w:w="6160" w:type="dxa"/>
            <w:vAlign w:val="bottom"/>
            <w:vMerge w:val="continue"/>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9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(703,604</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16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Shares Outstanding</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Borders>
              <w:bottom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52,734,049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1,228,446</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(703,032)</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62,436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3,335</w:t>
            </w:r>
          </w:p>
        </w:tc>
        <w:tc>
          <w:tcPr>
            <w:tcW w:w="1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8,492</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Balance as of March 31, 2021</w:t>
            </w:r>
          </w:p>
        </w:tc>
        <w:tc>
          <w:tcPr>
            <w:tcW w:w="1280" w:type="dxa"/>
            <w:vAlign w:val="bottom"/>
          </w:tcPr>
          <w:p>
            <w:pPr>
              <w:jc w:val="right"/>
              <w:spacing w:after="0"/>
              <w:rPr>
                <w:sz w:val="20"/>
                <w:szCs w:val="20"/>
                <w:color w:val="auto"/>
              </w:rPr>
            </w:pPr>
            <w:r>
              <w:rPr>
                <w:rFonts w:ascii="Arial" w:cs="Arial" w:eastAsia="Arial" w:hAnsi="Arial"/>
                <w:sz w:val="18"/>
                <w:szCs w:val="18"/>
                <w:color w:val="auto"/>
              </w:rPr>
              <w:t>52,796,485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1,240,273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(703,514)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10,984</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2021</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52,822,254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1,252,456</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(703,247</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7"/>
        </w:trPr>
        <w:tc>
          <w:tcPr>
            <w:tcW w:w="6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6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33,217</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6,805</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69"/>
        </w:trPr>
        <w:tc>
          <w:tcPr>
            <w:tcW w:w="6160" w:type="dxa"/>
            <w:vAlign w:val="bottom"/>
            <w:vMerge w:val="restart"/>
          </w:tcPr>
          <w:p>
            <w:pPr>
              <w:ind w:left="40"/>
              <w:spacing w:after="0"/>
              <w:rPr>
                <w:sz w:val="20"/>
                <w:szCs w:val="20"/>
                <w:color w:val="auto"/>
              </w:rPr>
            </w:pPr>
            <w:r>
              <w:rPr>
                <w:rFonts w:ascii="Arial" w:cs="Arial" w:eastAsia="Arial" w:hAnsi="Arial"/>
                <w:sz w:val="18"/>
                <w:szCs w:val="18"/>
                <w:color w:val="auto"/>
              </w:rPr>
              <w:t>Balance as of September 30, 2021</w:t>
            </w:r>
          </w:p>
        </w:tc>
        <w:tc>
          <w:tcPr>
            <w:tcW w:w="14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52,855,471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1,270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1,260,283</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16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9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(703,136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EURONET WORLDWIDE,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114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3"/>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1,016,554</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(164,890)</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1,579,342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(59,777)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(59,818)</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1,018,475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(224,667)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1,289,272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(115,804)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(115,733)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32,145</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32,172</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60" w:type="dxa"/>
            <w:vAlign w:val="bottom"/>
          </w:tcPr>
          <w:p>
            <w:pPr>
              <w:ind w:left="60"/>
              <w:spacing w:after="0"/>
              <w:rPr>
                <w:sz w:val="20"/>
                <w:szCs w:val="20"/>
                <w:color w:val="auto"/>
              </w:rPr>
            </w:pPr>
            <w:r>
              <w:rPr>
                <w:rFonts w:ascii="Arial" w:cs="Arial" w:eastAsia="Arial" w:hAnsi="Arial"/>
                <w:sz w:val="18"/>
                <w:szCs w:val="18"/>
                <w:color w:val="auto"/>
              </w:rPr>
              <w:t>Balance as of June 30, 2020</w:t>
            </w:r>
          </w:p>
        </w:tc>
        <w:tc>
          <w:tcPr>
            <w:tcW w:w="1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902,671</w:t>
            </w: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(192,522)</w:t>
            </w: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1,212,660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40,249</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40,315</w:t>
            </w:r>
          </w:p>
        </w:tc>
        <w:tc>
          <w:tcPr>
            <w:tcW w:w="0" w:type="dxa"/>
            <w:vAlign w:val="bottom"/>
          </w:tcPr>
          <w:p>
            <w:pPr>
              <w:spacing w:after="0"/>
              <w:rPr>
                <w:sz w:val="1"/>
                <w:szCs w:val="1"/>
                <w:color w:val="auto"/>
              </w:rPr>
            </w:pPr>
          </w:p>
        </w:tc>
      </w:tr>
      <w:tr>
        <w:trPr>
          <w:trHeight w:val="243"/>
        </w:trPr>
        <w:tc>
          <w:tcPr>
            <w:tcW w:w="6260" w:type="dxa"/>
            <w:vAlign w:val="bottom"/>
          </w:tcPr>
          <w:p>
            <w:pPr>
              <w:ind w:left="6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46,939</w:t>
            </w:r>
          </w:p>
        </w:tc>
        <w:tc>
          <w:tcPr>
            <w:tcW w:w="2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47,006</w:t>
            </w:r>
          </w:p>
        </w:tc>
        <w:tc>
          <w:tcPr>
            <w:tcW w:w="0" w:type="dxa"/>
            <w:vAlign w:val="bottom"/>
          </w:tcPr>
          <w:p>
            <w:pPr>
              <w:spacing w:after="0"/>
              <w:rPr>
                <w:sz w:val="1"/>
                <w:szCs w:val="1"/>
                <w:color w:val="auto"/>
              </w:rPr>
            </w:pPr>
          </w:p>
        </w:tc>
      </w:tr>
      <w:tr>
        <w:trPr>
          <w:trHeight w:val="243"/>
        </w:trPr>
        <w:tc>
          <w:tcPr>
            <w:tcW w:w="6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 issued under employee stock plans</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6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bottom w:val="single" w:sz="8" w:color="CCEEFF"/>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Balance as of September 30, 2020</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942,920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(145,583</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1,305,758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114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3"/>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1,013,155</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(94,214)</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281</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1,445,903</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(8,665)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(8,621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(42,845)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(42,901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2,854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8,492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tcPr>
          <w:p>
            <w:pPr>
              <w:ind w:left="40"/>
              <w:spacing w:after="0"/>
              <w:rPr>
                <w:sz w:val="20"/>
                <w:szCs w:val="20"/>
                <w:color w:val="auto"/>
              </w:rPr>
            </w:pPr>
            <w:r>
              <w:rPr>
                <w:rFonts w:ascii="Arial" w:cs="Arial" w:eastAsia="Arial" w:hAnsi="Arial"/>
                <w:sz w:val="18"/>
                <w:szCs w:val="18"/>
                <w:color w:val="auto"/>
              </w:rPr>
              <w:t>Balance as of March 31, 2021</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1,004,490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(137,059)</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1,405,727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12,675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2021</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1,013,125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(124,384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277</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1,439,496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73,882</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2"/>
                <w:szCs w:val="22"/>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73,714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(29,664)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2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6,805</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Balance as of September 30, 2021</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1,087,007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(154,048)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1,491,457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13335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10"/>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(73,698)</w:t>
            </w: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93,470</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14,500</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106,021</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13,996</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(26,625)</w:t>
            </w: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232,380</w:t>
            </w: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119,698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(25,917)</w:t>
            </w: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(127,291)</w:t>
            </w: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(4,540)</w:t>
            </w: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r>
      <w:tr>
        <w:trPr>
          <w:trHeight w:val="216"/>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(19,658)</w:t>
            </w:r>
          </w:p>
        </w:tc>
      </w:tr>
      <w:tr>
        <w:trPr>
          <w:trHeight w:val="210"/>
        </w:trPr>
        <w:tc>
          <w:tcPr>
            <w:tcW w:w="8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220,416</w:t>
            </w: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(71,396)</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r>
      <w:tr>
        <w:trPr>
          <w:trHeight w:val="216"/>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10"/>
        </w:trPr>
        <w:tc>
          <w:tcPr>
            <w:tcW w:w="8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(77,073)</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(240,838)</w:t>
            </w:r>
          </w:p>
        </w:tc>
      </w:tr>
      <w:tr>
        <w:trPr>
          <w:trHeight w:val="230"/>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2,018,600</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(3,756,300)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(2,018,600)</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borrowing (repayments) from short-term debt obligations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16"/>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w:t>
            </w:r>
          </w:p>
        </w:tc>
      </w:tr>
      <w:tr>
        <w:trPr>
          <w:trHeight w:val="263"/>
        </w:trPr>
        <w:tc>
          <w:tcPr>
            <w:tcW w:w="8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(244,069)</w:t>
            </w:r>
          </w:p>
        </w:tc>
      </w:tr>
      <w:tr>
        <w:trPr>
          <w:trHeight w:val="210"/>
        </w:trPr>
        <w:tc>
          <w:tcPr>
            <w:tcW w:w="8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(82,667)</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32,042</w:t>
            </w:r>
          </w:p>
        </w:tc>
      </w:tr>
      <w:tr>
        <w:trPr>
          <w:trHeight w:val="210"/>
        </w:trPr>
        <w:tc>
          <w:tcPr>
            <w:tcW w:w="8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 cash and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(68,684)</w:t>
            </w:r>
          </w:p>
        </w:tc>
      </w:tr>
      <w:tr>
        <w:trPr>
          <w:trHeight w:val="209"/>
        </w:trPr>
        <w:tc>
          <w:tcPr>
            <w:tcW w:w="854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2,099,508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1,817,379</w:t>
            </w:r>
          </w:p>
        </w:tc>
      </w:tr>
      <w:tr>
        <w:trPr>
          <w:trHeight w:val="175"/>
        </w:trPr>
        <w:tc>
          <w:tcPr>
            <w:tcW w:w="85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250"/>
        </w:trPr>
        <w:tc>
          <w:tcPr>
            <w:tcW w:w="8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2,033,938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1,748,695</w:t>
            </w:r>
          </w:p>
        </w:tc>
      </w:tr>
      <w:tr>
        <w:trPr>
          <w:trHeight w:val="156"/>
        </w:trPr>
        <w:tc>
          <w:tcPr>
            <w:tcW w:w="8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16,653</w:t>
            </w:r>
          </w:p>
        </w:tc>
      </w:tr>
      <w:tr>
        <w:trPr>
          <w:trHeight w:val="202"/>
        </w:trPr>
        <w:tc>
          <w:tcPr>
            <w:tcW w:w="8540" w:type="dxa"/>
            <w:vAlign w:val="bottom"/>
          </w:tcPr>
          <w:p>
            <w:pPr>
              <w:ind w:left="40"/>
              <w:spacing w:after="0" w:line="201" w:lineRule="exact"/>
              <w:rPr>
                <w:sz w:val="20"/>
                <w:szCs w:val="20"/>
                <w:color w:val="auto"/>
              </w:rPr>
            </w:pPr>
            <w:r>
              <w:rPr>
                <w:rFonts w:ascii="Arial" w:cs="Arial" w:eastAsia="Arial" w:hAnsi="Arial"/>
                <w:sz w:val="18"/>
                <w:szCs w:val="18"/>
                <w:color w:val="auto"/>
              </w:rPr>
              <w:t>Income taxes paid during the period</w:t>
            </w:r>
          </w:p>
        </w:tc>
        <w:tc>
          <w:tcPr>
            <w:tcW w:w="260" w:type="dxa"/>
            <w:vAlign w:val="bottom"/>
          </w:tcPr>
          <w:p>
            <w:pPr>
              <w:jc w:val="right"/>
              <w:ind w:right="70"/>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28,752</w:t>
            </w:r>
          </w:p>
        </w:tc>
        <w:tc>
          <w:tcPr>
            <w:tcW w:w="380" w:type="dxa"/>
            <w:vAlign w:val="bottom"/>
            <w:gridSpan w:val="2"/>
          </w:tcPr>
          <w:p>
            <w:pPr>
              <w:jc w:val="right"/>
              <w:ind w:right="107"/>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50,300</w:t>
            </w:r>
          </w:p>
        </w:tc>
      </w:tr>
      <w:tr>
        <w:trPr>
          <w:trHeight w:val="230"/>
        </w:trPr>
        <w:tc>
          <w:tcPr>
            <w:tcW w:w="8540" w:type="dxa"/>
            <w:vAlign w:val="bottom"/>
          </w:tcPr>
          <w:p>
            <w:pPr>
              <w:ind w:left="290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540" w:type="dxa"/>
            <w:vAlign w:val="bottom"/>
          </w:tcPr>
          <w:p>
            <w:pPr>
              <w:ind w:left="55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9"/>
        </w:trPr>
        <w:tc>
          <w:tcPr>
            <w:tcW w:w="8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audited consolidated financial statements of the Company for the year ended December 31, 2020, including the notes thereto, set forth in the Company’s 2020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Euronet’s Electronic Funds Transfer ("EFT") Processing Segment normally experiences its heaviest demand for dynamic currency conversion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2020, the Financial Accounting Standards Board ("FASB") issued ASU 2020-06, </w:t>
      </w:r>
      <w:r>
        <w:rPr>
          <w:rFonts w:ascii="Arial" w:cs="Arial" w:eastAsia="Arial" w:hAnsi="Arial"/>
          <w:sz w:val="17"/>
          <w:szCs w:val="17"/>
          <w:i w:val="1"/>
          <w:iCs w:val="1"/>
          <w:color w:val="auto"/>
        </w:rPr>
        <w:t>"Accounting for Convertible Instruments and Contracts in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w:t>
      </w:r>
      <w:r>
        <w:rPr>
          <w:rFonts w:ascii="Arial" w:cs="Arial" w:eastAsia="Arial" w:hAnsi="Arial"/>
          <w:sz w:val="17"/>
          <w:szCs w:val="17"/>
          <w:color w:val="auto"/>
        </w:rPr>
        <w:t>which simplifies the accounting for convertible instruments by eliminating certain accounting models when the conversion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new guidance is effective for annual periods beginning after December 15, 2021, including interim periods within those fiscal years. The Company is currently evaluating the impact the adoption of ASU 2020-06 will have on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PENDING 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the Company entered into an agreement to purchase the Piraeus Bank Merchant Acquiring business of Piraeus Bank for €300 million, or approximately $360 million. The proposed arrangement will include separate commercial agreements for a long-term strategic partnership with Piraeus Bank for collaborative product distribution, processing and customer referrals. The acquisition will expand the Company’s omnichannel payments strategy and position the Company in Greece’s growing market for merchant acquiring services. The closing is targeted for late 2021 and is subject to regulatory approvals, finalization of the commercial agreements, and customary closing conditions. The Company expects to finance the purchase price using cash on hand.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SETTLEMENT ASSETS AND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Cash received by Euronet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the Company.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3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Settlement cash and cash equivalents</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259,727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188,191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restricted cash</w:t>
            </w:r>
          </w:p>
        </w:tc>
        <w:tc>
          <w:tcPr>
            <w:tcW w:w="3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w w:val="96"/>
              </w:rPr>
              <w:t>Accounts receivable, net of credit losses of $31,220 and $35,800</w:t>
            </w:r>
          </w:p>
        </w:tc>
        <w:tc>
          <w:tcPr>
            <w:tcW w:w="3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478,760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641,955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234,055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settlement assets</w:t>
            </w:r>
          </w:p>
        </w:tc>
        <w:tc>
          <w:tcPr>
            <w:tcW w:w="3500" w:type="dxa"/>
            <w:vAlign w:val="bottom"/>
            <w:tcBorders>
              <w:bottom w:val="single" w:sz="8" w:color="CCEEFF"/>
            </w:tcBorders>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928,740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1,140,875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3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Trade account payables</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319,193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571,175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609,547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8"/>
                <w:szCs w:val="18"/>
                <w:color w:val="auto"/>
              </w:rPr>
              <w:t>Total settlement obligations</w:t>
            </w:r>
          </w:p>
        </w:tc>
        <w:tc>
          <w:tcPr>
            <w:tcW w:w="3500" w:type="dxa"/>
            <w:vAlign w:val="bottom"/>
            <w:gridSpan w:val="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928,740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1,140,875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40" w:type="dxa"/>
            <w:vAlign w:val="bottom"/>
            <w:vMerge w:val="restart"/>
          </w:tcPr>
          <w:p>
            <w:pPr>
              <w:jc w:val="right"/>
              <w:ind w:right="2890"/>
              <w:spacing w:after="0"/>
              <w:rPr>
                <w:sz w:val="20"/>
                <w:szCs w:val="20"/>
                <w:color w:val="auto"/>
              </w:rPr>
            </w:pPr>
            <w:r>
              <w:rPr>
                <w:rFonts w:ascii="Arial" w:cs="Arial" w:eastAsia="Arial" w:hAnsi="Arial"/>
                <w:sz w:val="18"/>
                <w:szCs w:val="18"/>
                <w:color w:val="auto"/>
              </w:rPr>
              <w:t>8</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20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2"/>
        </w:trPr>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3"/>
                <w:szCs w:val="13"/>
                <w:color w:val="auto"/>
              </w:rPr>
            </w:pPr>
          </w:p>
        </w:tc>
        <w:tc>
          <w:tcPr>
            <w:tcW w:w="114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0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r>
      <w:tr>
        <w:trPr>
          <w:trHeight w:val="249"/>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1,008,183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786,081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34,301</w:t>
            </w: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665,641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259,727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188,191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272,467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282,188</w:t>
            </w:r>
          </w:p>
        </w:tc>
        <w:tc>
          <w:tcPr>
            <w:tcW w:w="4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49,168</w:t>
            </w: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2,033,938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2,099,508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1,748,695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1,817,379</w:t>
            </w:r>
          </w:p>
        </w:tc>
        <w:tc>
          <w:tcPr>
            <w:tcW w:w="40" w:type="dxa"/>
            <w:vAlign w:val="bottom"/>
          </w:tcPr>
          <w:p>
            <w:pPr>
              <w:spacing w:after="0"/>
              <w:rPr>
                <w:sz w:val="22"/>
                <w:szCs w:val="22"/>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 if such conversion would be 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8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200" w:type="dxa"/>
            <w:vAlign w:val="bottom"/>
          </w:tcPr>
          <w:p>
            <w:pPr>
              <w:spacing w:after="0"/>
              <w:rPr>
                <w:sz w:val="14"/>
                <w:szCs w:val="14"/>
                <w:color w:val="auto"/>
              </w:rPr>
            </w:pPr>
          </w:p>
        </w:tc>
        <w:tc>
          <w:tcPr>
            <w:tcW w:w="28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90"/>
        </w:trPr>
        <w:tc>
          <w:tcPr>
            <w:tcW w:w="62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100" w:type="dxa"/>
            <w:vAlign w:val="bottom"/>
          </w:tcPr>
          <w:p>
            <w:pPr>
              <w:jc w:val="right"/>
              <w:spacing w:after="0"/>
              <w:rPr>
                <w:sz w:val="20"/>
                <w:szCs w:val="20"/>
                <w:color w:val="auto"/>
              </w:rPr>
            </w:pPr>
            <w:r>
              <w:rPr>
                <w:rFonts w:ascii="Arial" w:cs="Arial" w:eastAsia="Arial" w:hAnsi="Arial"/>
                <w:sz w:val="18"/>
                <w:szCs w:val="18"/>
                <w:color w:val="auto"/>
              </w:rPr>
              <w:t>52,829,386</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52,294,522</w:t>
            </w:r>
          </w:p>
        </w:tc>
        <w:tc>
          <w:tcPr>
            <w:tcW w:w="3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52,799,199</w:t>
            </w:r>
          </w:p>
        </w:tc>
        <w:tc>
          <w:tcPr>
            <w:tcW w:w="1000" w:type="dxa"/>
            <w:vAlign w:val="bottom"/>
          </w:tcPr>
          <w:p>
            <w:pPr>
              <w:jc w:val="right"/>
              <w:spacing w:after="0"/>
              <w:rPr>
                <w:sz w:val="20"/>
                <w:szCs w:val="20"/>
                <w:color w:val="auto"/>
              </w:rPr>
            </w:pPr>
            <w:r>
              <w:rPr>
                <w:rFonts w:ascii="Arial" w:cs="Arial" w:eastAsia="Arial" w:hAnsi="Arial"/>
                <w:sz w:val="18"/>
                <w:szCs w:val="18"/>
                <w:color w:val="auto"/>
              </w:rPr>
              <w:t>52,712,030</w:t>
            </w:r>
          </w:p>
        </w:tc>
        <w:tc>
          <w:tcPr>
            <w:tcW w:w="10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7"/>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1,024,289</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907,449</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1,134,027</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20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53,853,675</w:t>
            </w:r>
          </w:p>
        </w:tc>
        <w:tc>
          <w:tcPr>
            <w:tcW w:w="3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53,201,971</w:t>
            </w:r>
          </w:p>
        </w:tc>
        <w:tc>
          <w:tcPr>
            <w:tcW w:w="3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53,933,226</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52,712,030</w:t>
            </w:r>
          </w:p>
        </w:tc>
        <w:tc>
          <w:tcPr>
            <w:tcW w:w="100" w:type="dxa"/>
            <w:vAlign w:val="bottom"/>
          </w:tcPr>
          <w:p>
            <w:pPr>
              <w:spacing w:after="0"/>
              <w:rPr>
                <w:sz w:val="22"/>
                <w:szCs w:val="22"/>
                <w:color w:val="auto"/>
              </w:rPr>
            </w:pPr>
          </w:p>
        </w:tc>
      </w:tr>
      <w:tr>
        <w:trPr>
          <w:trHeight w:val="20"/>
        </w:trPr>
        <w:tc>
          <w:tcPr>
            <w:tcW w:w="6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 includes all stock options and restricted stock that are dilutive to the Company's weighted average common shares outstanding during the period. The calculation of diluted earnings (loss) per share excludes stock options or shares of restricted stock that are anti-dilutive to the Company’s weighted average common shares outstanding of approximately 770,000 and 751,000 for the three and nine months ended September 30, 2021, respectively, and approximately 1,122,000 and 1,887,000 for the three and nine months ended September 30, 2020, respectively.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issued Convertible Senior Notes ("Convertible Notes") due March 2049 on March 18, 2019. The Company's Convertible Notes currently have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were included in the calculation of diluted earnings (loss) per share if their inclusion was dilutive. The dilutive effect increases the more the market price exceeds the conversion price. The Convertible Notes would only have a dilutive effect if the market price per share of common stock exceeds the conversion price of $188.73 per share. The market price per share of common stock was $127.28 on September 30, 2021 and $91.10 on September 30, 2020,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xml:space="preserve"> there was no dilutive effect of the assumed conversion of the debentures for the three and nine months ended September 30, 2021 and 2020. See Note 9, Debt Obligations, to the consolidated financial statements for more information about the Convertible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11, 2019, in connection with the issuance of the Convertible Notes, the Board of Directors authorized a repurchase program of $120 million in value of the Company's common stock through March 11, 2021. On February 26, 2020, the Company put a repurchase program in place to repurchase up to $250 million in value, but not more than 5.0 million shares of common stock through February 28, 2022. For the three and nine months ended September 30, 2021, there were no repurchases of stock under the repurchase programs. Repurchases under the current program may take place in the open market or in privately negotiated transactions, including derivative transactions, and may be made under a Rule 10b5-1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Accumulated other comprehensive income (loss) consists entirely of foreign currency translation adjustments. The Company recorded a foreign currency translation loss of $29.7 million and $59.9 million for the three and nine months ended September 30, 2021, respectively, and a gain of $47.0 million and $19.4 million for the three and nine months ended September 30, 2020, respectively. There were no reclassifications of foreign currency translation into the consolidated statements of operations for the three and nine months ended September 30, 2021 and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 months ended September 30, 2021 is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Acquired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Intangible</w:t>
            </w:r>
          </w:p>
        </w:tc>
        <w:tc>
          <w:tcPr>
            <w:tcW w:w="20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9"/>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121,883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665,821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787,704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Decreases: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(17,388)</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(2,257)</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(19,643)</w:t>
            </w: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(21,900)</w:t>
            </w:r>
          </w:p>
        </w:tc>
        <w:tc>
          <w:tcPr>
            <w:tcW w:w="0" w:type="dxa"/>
            <w:vAlign w:val="bottom"/>
          </w:tcPr>
          <w:p>
            <w:pPr>
              <w:spacing w:after="0"/>
              <w:rPr>
                <w:sz w:val="1"/>
                <w:szCs w:val="1"/>
                <w:color w:val="auto"/>
              </w:rPr>
            </w:pPr>
          </w:p>
        </w:tc>
      </w:tr>
      <w:tr>
        <w:trPr>
          <w:trHeight w:val="209"/>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2021</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102,238</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646,178</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748,416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goodwill balance of $646.2 million as of September 30, 2021, $393.9 million relates to the Money Transfer Segment, $131.0 million relates to the epay Segment and the remaining $121.3 million relates to the EFT Processing Segment. Estimated amortization expense on acquired intangible assets with finite lives as of September 30, 2021, is expected to total $5.6 million for the remainder of 2021, $21.2 million for 2022, $16.3 million for 2023, $9.6 million for 2024, $6.3 million for 2025 and $6.2 million for 2026.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19"/>
        </w:trPr>
        <w:tc>
          <w:tcPr>
            <w:tcW w:w="8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10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r>
      <w:tr>
        <w:trPr>
          <w:trHeight w:val="171"/>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331,713</w:t>
            </w:r>
          </w:p>
        </w:tc>
        <w:tc>
          <w:tcPr>
            <w:tcW w:w="20" w:type="dxa"/>
            <w:vAlign w:val="bottom"/>
            <w:shd w:val="clear" w:color="auto" w:fill="CCEEFF"/>
          </w:tcPr>
          <w:p>
            <w:pPr>
              <w:spacing w:after="0"/>
              <w:rPr>
                <w:sz w:val="19"/>
                <w:szCs w:val="19"/>
                <w:color w:val="auto"/>
              </w:rPr>
            </w:pP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65,905</w:t>
            </w:r>
          </w:p>
        </w:tc>
        <w:tc>
          <w:tcPr>
            <w:tcW w:w="20" w:type="dxa"/>
            <w:vAlign w:val="bottom"/>
          </w:tcPr>
          <w:p>
            <w:pPr>
              <w:spacing w:after="0"/>
              <w:rPr>
                <w:sz w:val="21"/>
                <w:szCs w:val="21"/>
                <w:color w:val="auto"/>
              </w:rPr>
            </w:pPr>
          </w:p>
        </w:tc>
      </w:tr>
      <w:tr>
        <w:trPr>
          <w:trHeight w:val="257"/>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finance lease obligations</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6,403</w:t>
            </w:r>
          </w:p>
        </w:tc>
        <w:tc>
          <w:tcPr>
            <w:tcW w:w="20" w:type="dxa"/>
            <w:vAlign w:val="bottom"/>
            <w:shd w:val="clear" w:color="auto" w:fill="CCEEFF"/>
          </w:tcPr>
          <w:p>
            <w:pPr>
              <w:spacing w:after="0"/>
              <w:rPr>
                <w:sz w:val="22"/>
                <w:szCs w:val="22"/>
                <w:color w:val="auto"/>
              </w:rPr>
            </w:pPr>
          </w:p>
        </w:tc>
      </w:tr>
      <w:tr>
        <w:trPr>
          <w:trHeight w:val="210"/>
        </w:trPr>
        <w:tc>
          <w:tcPr>
            <w:tcW w:w="8700" w:type="dxa"/>
            <w:vAlign w:val="bottom"/>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369,283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404,021</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UNEARNED REVENUES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deferred revenues when cash payments are received or due in advance of its performance. The decrease in the deferred revenue balance for the nine months ended September 30, 2021 is driven by $39.7 million of cash payments received in the current year for which the Company has not yet satisfied the performance obligations, offset by $45.4 million of revenues recognized that were included in the deferred revenue balance as of December 31, 2020.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w w:val="97"/>
              </w:rPr>
              <w:t>As of</w:t>
            </w: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2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Revolving credit agreement</w:t>
            </w:r>
          </w:p>
        </w:tc>
        <w:tc>
          <w:tcPr>
            <w:tcW w:w="780" w:type="dxa"/>
            <w:vAlign w:val="bottom"/>
            <w:gridSpan w:val="3"/>
          </w:tcPr>
          <w:p>
            <w:pPr>
              <w:jc w:val="right"/>
              <w:ind w:right="23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53,200</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270,400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464,161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452,228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1.375% Senior Notes, due 2026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694,860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732,840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debt obligations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1,213,275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1,456,318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(17,932)</w:t>
            </w:r>
          </w:p>
        </w:tc>
        <w:tc>
          <w:tcPr>
            <w:tcW w:w="0" w:type="dxa"/>
            <w:vAlign w:val="bottom"/>
          </w:tcPr>
          <w:p>
            <w:pPr>
              <w:spacing w:after="0"/>
              <w:rPr>
                <w:sz w:val="1"/>
                <w:szCs w:val="1"/>
                <w:color w:val="auto"/>
              </w:rPr>
            </w:pPr>
          </w:p>
        </w:tc>
      </w:tr>
      <w:tr>
        <w:trPr>
          <w:trHeight w:val="209"/>
        </w:trPr>
        <w:tc>
          <w:tcPr>
            <w:tcW w:w="82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1,198,480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1,197,495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i w:val="1"/>
                <w:iCs w:val="1"/>
                <w:color w:val="auto"/>
              </w:rPr>
              <w:t>Credit Facility</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On October 17, 2018, the Company entered into an unsecured revolving credit agreement (the "Credit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Facility")</w:t>
            </w:r>
          </w:p>
        </w:tc>
        <w:tc>
          <w:tcPr>
            <w:tcW w:w="2260" w:type="dxa"/>
            <w:vAlign w:val="bottom"/>
            <w:gridSpan w:val="6"/>
          </w:tcPr>
          <w:p>
            <w:pPr>
              <w:ind w:left="60"/>
              <w:spacing w:after="0"/>
              <w:rPr>
                <w:sz w:val="20"/>
                <w:szCs w:val="20"/>
                <w:color w:val="auto"/>
              </w:rPr>
            </w:pPr>
            <w:r>
              <w:rPr>
                <w:rFonts w:ascii="Arial" w:cs="Arial" w:eastAsia="Arial" w:hAnsi="Arial"/>
                <w:sz w:val="18"/>
                <w:szCs w:val="18"/>
                <w:color w:val="auto"/>
              </w:rPr>
              <w:t>for $1.0 billion that expires</w:t>
            </w:r>
          </w:p>
        </w:tc>
        <w:tc>
          <w:tcPr>
            <w:tcW w:w="0" w:type="dxa"/>
            <w:vAlign w:val="bottom"/>
          </w:tcPr>
          <w:p>
            <w:pPr>
              <w:spacing w:after="0"/>
              <w:rPr>
                <w:sz w:val="1"/>
                <w:szCs w:val="1"/>
                <w:color w:val="auto"/>
              </w:rPr>
            </w:pPr>
          </w:p>
        </w:tc>
      </w:tr>
    </w:tbl>
    <w:p>
      <w:pPr>
        <w:jc w:val="both"/>
        <w:spacing w:after="0" w:line="251" w:lineRule="auto"/>
        <w:rPr>
          <w:sz w:val="20"/>
          <w:szCs w:val="20"/>
          <w:color w:val="auto"/>
        </w:rPr>
      </w:pPr>
      <w:r>
        <w:rPr>
          <w:rFonts w:ascii="Arial" w:cs="Arial" w:eastAsia="Arial" w:hAnsi="Arial"/>
          <w:sz w:val="18"/>
          <w:szCs w:val="18"/>
          <w:color w:val="auto"/>
        </w:rPr>
        <w:t>on October 17, 2023. In May 2021, an additional lender joined the Credit Facility which increased the revolving commitment by $30 million.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 The Credit Facility contains customary affirmative and negative covenants, events of default and financial covenants. The Company was in compliance with all debt covenants as of September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Contractual interest expense for the Convertible Notes was $1.0 million and $3.0 million for the three and nine months ended September 30, 2021, respectively, and $1.0 million and $3.0 million for the three and nine months ended September 30, 2020, respectively. Accretion expense for the Convertible Notes was $4.0 million and $11.9 million for the three and nine months ended September 30, 2021, respectively, and $3.8 million and $11.4 million for the three and nine months ended September 30, 2020, respectively. The effective interest rate was 4.4% for the three and nine months ended September 30, 2021. As of September 30, 2021, the unamortized discount was $60.8 million and will be amortized through March 2025.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1.375% </w:t>
      </w:r>
      <w:r>
        <w:rPr>
          <w:rFonts w:ascii="Arial" w:cs="Arial" w:eastAsia="Arial" w:hAnsi="Arial"/>
          <w:sz w:val="18"/>
          <w:szCs w:val="18"/>
          <w:i w:val="1"/>
          <w:iCs w:val="1"/>
          <w:color w:val="auto"/>
        </w:rPr>
        <w:t>Senior Notes due</w:t>
      </w:r>
      <w:r>
        <w:rPr>
          <w:rFonts w:ascii="Arial" w:cs="Arial" w:eastAsia="Arial" w:hAnsi="Arial"/>
          <w:sz w:val="18"/>
          <w:szCs w:val="18"/>
          <w:color w:val="auto"/>
        </w:rPr>
        <w:t xml:space="preserve"> 2026</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in May 2026 (the “Senior Notes”). The Senior Notes accrue interest at a rate of 1.375% per year, payable annually in arrears commencing May 22, 2020, until maturity or earlier redemption. As of September 30, 2021, the Company has outstanding €600 million ($694.9 million) principal amount of the Senior Notes. In addition, the Company may redeem some or all of these notes on or after February 22, 2026 at their principal amount plus any accrued and unpaid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September 30, 2021 and December 31, 2020, borrowings under these arrangements were $1.1 million and $0.9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either the relatively short duration of the contract term or the effects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are reflected concurrently in earnings for both the derivative instrument and the transaction and have an offsetting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$275 million and $246 million as of September 30, 2021 and December 31, 2020, respectively. The foreign currency forward contracts consist primarily in Australian dollars, Canadian dollars, British pounds sterling, euro and Mexican pesos.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$46 million and $454 million as of September 30, 2021 and December 31, 2020, respectively, primarily in euro.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$20.1 million and $58.5 million for the three and nine months ended September 30, 2021, respectively, and $14.4 million and $45.7 million for the three and nine months ended September 30, 2020, respectively. All of the derivative contracts used in the Company's xe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equivalent U.S. dollar notional amount of foreign currency derivative customer contracts held by the Company in its xe operations as of September 30, 2021 and December 31, 2020 was approximately $1.1 billion and $1.3 billion, respectively. The significant majority of customer contracts are written in major currencies such as the euro, U.S. dollar, British pounds sterling, Australian dollar and New Zealand dollar.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80" w:type="dxa"/>
            <w:vAlign w:val="bottom"/>
            <w:tcBorders>
              <w:bottom w:val="single" w:sz="8" w:color="auto"/>
            </w:tcBorders>
            <w:gridSpan w:val="5"/>
          </w:tcPr>
          <w:p>
            <w:pPr>
              <w:ind w:left="138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bottom w:val="single" w:sz="8" w:color="auto"/>
            </w:tcBorders>
            <w:gridSpan w:val="5"/>
          </w:tcPr>
          <w:p>
            <w:pPr>
              <w:ind w:left="16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5"/>
          </w:tcPr>
          <w:p>
            <w:pPr>
              <w:ind w:left="520"/>
              <w:spacing w:after="0"/>
              <w:rPr>
                <w:sz w:val="20"/>
                <w:szCs w:val="20"/>
                <w:color w:val="auto"/>
              </w:rPr>
            </w:pPr>
            <w:r>
              <w:rPr>
                <w:rFonts w:ascii="Arial" w:cs="Arial" w:eastAsia="Arial" w:hAnsi="Arial"/>
                <w:sz w:val="14"/>
                <w:szCs w:val="14"/>
                <w:b w:val="1"/>
                <w:bCs w:val="1"/>
                <w:color w:val="auto"/>
              </w:rPr>
              <w:t>Fair Value</w:t>
            </w:r>
          </w:p>
        </w:tc>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tcPr>
          <w:p>
            <w:pPr>
              <w:jc w:val="right"/>
              <w:ind w:right="6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Balance Sheet Location</w:t>
            </w:r>
          </w:p>
        </w:tc>
        <w:tc>
          <w:tcPr>
            <w:tcW w:w="6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2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28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w w:val="91"/>
              </w:rPr>
              <w:t>Foreign currency exchange contracts</w:t>
            </w:r>
          </w:p>
        </w:tc>
        <w:tc>
          <w:tcPr>
            <w:tcW w:w="1640" w:type="dxa"/>
            <w:vAlign w:val="bottom"/>
          </w:tcPr>
          <w:p>
            <w:pPr>
              <w:ind w:left="100"/>
              <w:spacing w:after="0"/>
              <w:rPr>
                <w:sz w:val="20"/>
                <w:szCs w:val="20"/>
                <w:color w:val="auto"/>
              </w:rPr>
            </w:pPr>
            <w:r>
              <w:rPr>
                <w:rFonts w:ascii="Arial" w:cs="Arial" w:eastAsia="Arial" w:hAnsi="Arial"/>
                <w:sz w:val="18"/>
                <w:szCs w:val="18"/>
                <w:color w:val="auto"/>
                <w:w w:val="93"/>
              </w:rPr>
              <w:t>Other current assets</w:t>
            </w:r>
          </w:p>
        </w:tc>
        <w:tc>
          <w:tcPr>
            <w:tcW w:w="28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31,160</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80,879</w:t>
            </w: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(25,498)</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gross and net fair value of derivative assets and liabilities as of September 30, 2021 and December 31, 2020 (in thousands):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4"/>
          </w:tcPr>
          <w:p>
            <w:pPr>
              <w:jc w:val="right"/>
              <w:ind w:right="219"/>
              <w:spacing w:after="0" w:line="149" w:lineRule="exact"/>
              <w:rPr>
                <w:sz w:val="20"/>
                <w:szCs w:val="20"/>
                <w:color w:val="auto"/>
              </w:rPr>
            </w:pPr>
            <w:r>
              <w:rPr>
                <w:rFonts w:ascii="Arial" w:cs="Arial" w:eastAsia="Arial" w:hAnsi="Arial"/>
                <w:sz w:val="14"/>
                <w:szCs w:val="14"/>
                <w:b w:val="1"/>
                <w:bCs w:val="1"/>
                <w:color w:val="auto"/>
                <w:w w:val="96"/>
              </w:rPr>
              <w:t>Gross Amounts Not Offset in the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14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1"/>
              </w:rPr>
              <w:t>Net Amounts</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Consolidated Balance Sheet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Cash Collateral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Recognized Assets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79"/>
              <w:spacing w:after="0"/>
              <w:rPr>
                <w:sz w:val="20"/>
                <w:szCs w:val="20"/>
                <w:color w:val="auto"/>
              </w:rPr>
            </w:pPr>
            <w:r>
              <w:rPr>
                <w:rFonts w:ascii="Arial" w:cs="Arial" w:eastAsia="Arial" w:hAnsi="Arial"/>
                <w:sz w:val="14"/>
                <w:szCs w:val="14"/>
                <w:b w:val="1"/>
                <w:bCs w:val="1"/>
                <w:color w:val="auto"/>
              </w:rPr>
              <w:t>Received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459"/>
        </w:trPr>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33,208</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8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 in the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Net Amounts</w:t>
            </w:r>
          </w:p>
        </w:tc>
        <w:tc>
          <w:tcPr>
            <w:tcW w:w="16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Consolidated Balance Sheet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Gross Amounts of</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Cash Collateral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Liabilities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4"/>
                <w:szCs w:val="14"/>
                <w:color w:val="auto"/>
              </w:rPr>
            </w:pPr>
          </w:p>
        </w:tc>
        <w:tc>
          <w:tcPr>
            <w:tcW w:w="1080" w:type="dxa"/>
            <w:vAlign w:val="bottom"/>
          </w:tcPr>
          <w:p>
            <w:pPr>
              <w:jc w:val="right"/>
              <w:ind w:right="162"/>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4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48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Operations for the three and nine months ended September 30, 2021 and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gridSpan w:val="10"/>
          </w:tcPr>
          <w:p>
            <w:pPr>
              <w:jc w:val="center"/>
              <w:ind w:right="139"/>
              <w:spacing w:after="0"/>
              <w:rPr>
                <w:sz w:val="20"/>
                <w:szCs w:val="20"/>
                <w:color w:val="auto"/>
              </w:rPr>
            </w:pPr>
            <w:r>
              <w:rPr>
                <w:rFonts w:ascii="Arial" w:cs="Arial" w:eastAsia="Arial" w:hAnsi="Arial"/>
                <w:sz w:val="14"/>
                <w:szCs w:val="14"/>
                <w:b w:val="1"/>
                <w:bCs w:val="1"/>
                <w:color w:val="auto"/>
                <w:w w:val="93"/>
              </w:rPr>
              <w:t>Amount of Gain (Loss) Recognized in Income on Derivative Contracts (a)</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0"/>
                <w:szCs w:val="10"/>
                <w:color w:val="auto"/>
              </w:rPr>
            </w:pPr>
          </w:p>
        </w:tc>
        <w:tc>
          <w:tcPr>
            <w:tcW w:w="244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Location of Gain (Loss) Recognized in Income on</w:t>
            </w: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45"/>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vMerge w:val="restart"/>
          </w:tcPr>
          <w:p>
            <w:pPr>
              <w:jc w:val="right"/>
              <w:ind w:right="46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71"/>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 Contracts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w w:val="93"/>
              </w:rPr>
              <w:t>Foreign currency exchange contracts -</w:t>
            </w:r>
          </w:p>
        </w:tc>
        <w:tc>
          <w:tcPr>
            <w:tcW w:w="80" w:type="dxa"/>
            <w:vAlign w:val="bottom"/>
            <w:shd w:val="clear" w:color="auto" w:fill="CCEEFF"/>
          </w:tcPr>
          <w:p>
            <w:pPr>
              <w:spacing w:after="0"/>
              <w:rPr>
                <w:sz w:val="16"/>
                <w:szCs w:val="16"/>
                <w:color w:val="auto"/>
              </w:rPr>
            </w:pPr>
          </w:p>
        </w:tc>
        <w:tc>
          <w:tcPr>
            <w:tcW w:w="31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Foreign currency exchange gain (loss),</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80" w:type="dxa"/>
            <w:vAlign w:val="bottom"/>
            <w:shd w:val="clear" w:color="auto" w:fill="CCEEFF"/>
          </w:tcPr>
          <w:p>
            <w:pPr>
              <w:spacing w:after="0"/>
              <w:rPr>
                <w:sz w:val="20"/>
                <w:szCs w:val="20"/>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388 $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1,835 $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-83185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-254635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-254635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September 30, 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31,160</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0" w:type="dxa"/>
            <w:vAlign w:val="bottom"/>
          </w:tcPr>
          <w:p>
            <w:pPr>
              <w:spacing w:after="0"/>
              <w:rPr>
                <w:sz w:val="1"/>
                <w:szCs w:val="1"/>
                <w:color w:val="auto"/>
              </w:rPr>
            </w:pPr>
          </w:p>
        </w:tc>
      </w:tr>
      <w:tr>
        <w:trPr>
          <w:trHeight w:val="398"/>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80,879</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and Senior Notes using quoted prices in inactive markets for identical liabilities (Level 2). </w:t>
      </w:r>
      <w:r>
        <w:rPr>
          <w:rFonts w:ascii="Arial" w:cs="Arial" w:eastAsia="Arial" w:hAnsi="Arial"/>
          <w:sz w:val="17"/>
          <w:szCs w:val="17"/>
          <w:color w:val="252525"/>
        </w:rPr>
        <w:t>As of September 30, 2021,</w:t>
      </w:r>
      <w:r>
        <w:rPr>
          <w:rFonts w:ascii="Arial" w:cs="Arial" w:eastAsia="Arial" w:hAnsi="Arial"/>
          <w:sz w:val="17"/>
          <w:szCs w:val="17"/>
          <w:color w:val="auto"/>
        </w:rPr>
        <w:t xml:space="preserve"> the fair values of the Convertible Notes and Senior Notes were $603.1 million and $710.3 million, respectively, with carrying values of $464.2 million and $694.9 million,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359" w:lineRule="exact"/>
        <w:rPr>
          <w:sz w:val="20"/>
          <w:szCs w:val="20"/>
          <w:color w:val="auto"/>
        </w:rPr>
      </w:pPr>
    </w:p>
    <w:p>
      <w:pPr>
        <w:jc w:val="both"/>
        <w:ind w:left="540" w:hanging="168"/>
        <w:spacing w:after="0" w:line="296"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Asia Pacific, the United States and Africa. The Company provides comprehensive electronic payment solutions consisting of ATM cash withdrawal services, ATM network participation, outsourced ATM and POS management solutions, credit and debit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61" w:lineRule="exact"/>
        <w:rPr>
          <w:rFonts w:ascii="Arial" w:cs="Arial" w:eastAsia="Arial" w:hAnsi="Arial"/>
          <w:sz w:val="16"/>
          <w:szCs w:val="16"/>
          <w:color w:val="auto"/>
        </w:rPr>
      </w:pPr>
    </w:p>
    <w:p>
      <w:pPr>
        <w:ind w:left="540" w:right="20" w:hanging="168"/>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170" w:lineRule="exact"/>
        <w:rPr>
          <w:rFonts w:ascii="Arial" w:cs="Arial" w:eastAsia="Arial" w:hAnsi="Arial"/>
          <w:sz w:val="18"/>
          <w:szCs w:val="18"/>
          <w:color w:val="auto"/>
        </w:rPr>
      </w:pPr>
    </w:p>
    <w:p>
      <w:pPr>
        <w:jc w:val="both"/>
        <w:ind w:left="540" w:hanging="168"/>
        <w:spacing w:after="0" w:line="272"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nine months ended September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b w:val="1"/>
                <w:bCs w:val="1"/>
                <w:color w:val="auto"/>
              </w:rPr>
              <w:t>For the Three Months Ended September 30,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7"/>
              </w:rPr>
              <w:t>Processing</w:t>
            </w: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227,129</w:t>
            </w: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238,319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353,451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816,560</w:t>
            </w:r>
          </w:p>
        </w:tc>
        <w:tc>
          <w:tcPr>
            <w:tcW w:w="0" w:type="dxa"/>
            <w:vAlign w:val="bottom"/>
          </w:tcPr>
          <w:p>
            <w:pPr>
              <w:spacing w:after="0"/>
              <w:rPr>
                <w:sz w:val="1"/>
                <w:szCs w:val="1"/>
                <w:color w:val="auto"/>
              </w:rPr>
            </w:pPr>
          </w:p>
        </w:tc>
      </w:tr>
      <w:tr>
        <w:trPr>
          <w:trHeight w:val="237"/>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106,321</w:t>
            </w: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180,206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484,438</w:t>
            </w:r>
          </w:p>
        </w:tc>
        <w:tc>
          <w:tcPr>
            <w:tcW w:w="0" w:type="dxa"/>
            <w:vAlign w:val="bottom"/>
          </w:tcPr>
          <w:p>
            <w:pPr>
              <w:spacing w:after="0"/>
              <w:rPr>
                <w:sz w:val="1"/>
                <w:szCs w:val="1"/>
                <w:color w:val="auto"/>
              </w:rPr>
            </w:pPr>
          </w:p>
        </w:tc>
      </w:tr>
      <w:tr>
        <w:trPr>
          <w:trHeight w:val="243"/>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Salaries and benefits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23,665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20,104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119,421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11,301</w:t>
            </w: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64,298</w:t>
            </w:r>
          </w:p>
        </w:tc>
        <w:tc>
          <w:tcPr>
            <w:tcW w:w="0" w:type="dxa"/>
            <w:vAlign w:val="bottom"/>
          </w:tcPr>
          <w:p>
            <w:pPr>
              <w:spacing w:after="0"/>
              <w:rPr>
                <w:sz w:val="1"/>
                <w:szCs w:val="1"/>
                <w:color w:val="auto"/>
              </w:rPr>
            </w:pPr>
          </w:p>
        </w:tc>
      </w:tr>
      <w:tr>
        <w:trPr>
          <w:trHeight w:val="243"/>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22,640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33,909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163,927</w:t>
            </w: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212,365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702,066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00" w:type="dxa"/>
            <w:vAlign w:val="bottom"/>
            <w:gridSpan w:val="3"/>
          </w:tcPr>
          <w:p>
            <w:pPr>
              <w:ind w:left="600"/>
              <w:spacing w:after="0"/>
              <w:rPr>
                <w:sz w:val="20"/>
                <w:szCs w:val="20"/>
                <w:color w:val="auto"/>
              </w:rPr>
            </w:pPr>
            <w:r>
              <w:rPr>
                <w:rFonts w:ascii="Arial" w:cs="Arial" w:eastAsia="Arial" w:hAnsi="Arial"/>
                <w:sz w:val="18"/>
                <w:szCs w:val="18"/>
                <w:color w:val="auto"/>
              </w:rPr>
              <w:t>Operating income (expense)</w:t>
            </w:r>
          </w:p>
        </w:tc>
        <w:tc>
          <w:tcPr>
            <w:tcW w:w="100" w:type="dxa"/>
            <w:vAlign w:val="bottom"/>
            <w:gridSpan w:val="2"/>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63,202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25,954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37,505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(12,167)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114,494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2"/>
          </w:tcPr>
          <w:p>
            <w:pPr>
              <w:ind w:left="240"/>
              <w:spacing w:after="0"/>
              <w:rPr>
                <w:sz w:val="20"/>
                <w:szCs w:val="20"/>
                <w:color w:val="auto"/>
              </w:rPr>
            </w:pPr>
            <w:r>
              <w:rPr>
                <w:rFonts w:ascii="Arial" w:cs="Arial" w:eastAsia="Arial" w:hAnsi="Arial"/>
                <w:sz w:val="14"/>
                <w:szCs w:val="14"/>
                <w:b w:val="1"/>
                <w:bCs w:val="1"/>
                <w:color w:val="auto"/>
              </w:rPr>
              <w:t>For the Three Months Ended September 30, 2020</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144,062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198,939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323,092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664,351</w:t>
            </w:r>
          </w:p>
        </w:tc>
        <w:tc>
          <w:tcPr>
            <w:tcW w:w="0" w:type="dxa"/>
            <w:vAlign w:val="bottom"/>
          </w:tcPr>
          <w:p>
            <w:pPr>
              <w:spacing w:after="0"/>
              <w:rPr>
                <w:sz w:val="1"/>
                <w:szCs w:val="1"/>
                <w:color w:val="auto"/>
              </w:rPr>
            </w:pPr>
          </w:p>
        </w:tc>
      </w:tr>
      <w:tr>
        <w:trPr>
          <w:trHeight w:val="237"/>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82,626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407,598</w:t>
            </w:r>
          </w:p>
        </w:tc>
        <w:tc>
          <w:tcPr>
            <w:tcW w:w="0" w:type="dxa"/>
            <w:vAlign w:val="bottom"/>
          </w:tcPr>
          <w:p>
            <w:pPr>
              <w:spacing w:after="0"/>
              <w:rPr>
                <w:sz w:val="1"/>
                <w:szCs w:val="1"/>
                <w:color w:val="auto"/>
              </w:rPr>
            </w:pPr>
          </w:p>
        </w:tc>
      </w:tr>
      <w:tr>
        <w:trPr>
          <w:trHeight w:val="243"/>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Salaries and benefits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25,182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101,577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55,225</w:t>
            </w:r>
          </w:p>
        </w:tc>
        <w:tc>
          <w:tcPr>
            <w:tcW w:w="0" w:type="dxa"/>
            <w:vAlign w:val="bottom"/>
          </w:tcPr>
          <w:p>
            <w:pPr>
              <w:spacing w:after="0"/>
              <w:rPr>
                <w:sz w:val="1"/>
                <w:szCs w:val="1"/>
                <w:color w:val="auto"/>
              </w:rPr>
            </w:pPr>
          </w:p>
        </w:tc>
      </w:tr>
      <w:tr>
        <w:trPr>
          <w:trHeight w:val="243"/>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32,412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gridSpan w:val="3"/>
          </w:tcPr>
          <w:p>
            <w:pPr>
              <w:ind w:left="38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137,901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176,690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275,466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598,279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100" w:type="dxa"/>
            <w:vAlign w:val="bottom"/>
            <w:tcBorders>
              <w:right w:val="single" w:sz="8" w:color="CCEEFF"/>
            </w:tcBorders>
            <w:gridSpan w:val="2"/>
            <w:shd w:val="clear" w:color="auto" w:fill="CCEEFF"/>
          </w:tcPr>
          <w:p>
            <w:pPr>
              <w:spacing w:after="0"/>
              <w:rPr>
                <w:sz w:val="22"/>
                <w:szCs w:val="22"/>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80" w:type="dxa"/>
            <w:vAlign w:val="bottom"/>
            <w:tcBorders>
              <w:left w:val="single" w:sz="8" w:color="CCEEFF"/>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22,249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66,072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b w:val="1"/>
                <w:bCs w:val="1"/>
                <w:color w:val="auto"/>
              </w:rPr>
              <w:t>For the Nine Months Ended September 30, 2021</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epay</w:t>
            </w:r>
          </w:p>
        </w:tc>
        <w:tc>
          <w:tcPr>
            <w:tcW w:w="120" w:type="dxa"/>
            <w:vAlign w:val="bottom"/>
            <w:gridSpan w:val="2"/>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427,687</w:t>
            </w:r>
          </w:p>
        </w:tc>
        <w:tc>
          <w:tcPr>
            <w:tcW w:w="8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724,540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1,037,659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2,183,916</w:t>
            </w:r>
          </w:p>
        </w:tc>
        <w:tc>
          <w:tcPr>
            <w:tcW w:w="0" w:type="dxa"/>
            <w:vAlign w:val="bottom"/>
          </w:tcPr>
          <w:p>
            <w:pPr>
              <w:spacing w:after="0"/>
              <w:rPr>
                <w:sz w:val="1"/>
                <w:szCs w:val="1"/>
                <w:color w:val="auto"/>
              </w:rPr>
            </w:pPr>
          </w:p>
        </w:tc>
      </w:tr>
      <w:tr>
        <w:trPr>
          <w:trHeight w:val="237"/>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258,614</w:t>
            </w:r>
          </w:p>
        </w:tc>
        <w:tc>
          <w:tcPr>
            <w:tcW w:w="8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547,828</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1,389,770</w:t>
            </w:r>
          </w:p>
        </w:tc>
        <w:tc>
          <w:tcPr>
            <w:tcW w:w="0" w:type="dxa"/>
            <w:vAlign w:val="bottom"/>
          </w:tcPr>
          <w:p>
            <w:pPr>
              <w:spacing w:after="0"/>
              <w:rPr>
                <w:sz w:val="1"/>
                <w:szCs w:val="1"/>
                <w:color w:val="auto"/>
              </w:rPr>
            </w:pPr>
          </w:p>
        </w:tc>
      </w:tr>
      <w:tr>
        <w:trPr>
          <w:trHeight w:val="243"/>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Salaries and benefits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71,334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59,248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188,535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37,043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356,160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33,062</w:t>
            </w:r>
          </w:p>
        </w:tc>
        <w:tc>
          <w:tcPr>
            <w:tcW w:w="8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182,193</w:t>
            </w:r>
          </w:p>
        </w:tc>
        <w:tc>
          <w:tcPr>
            <w:tcW w:w="0" w:type="dxa"/>
            <w:vAlign w:val="bottom"/>
          </w:tcPr>
          <w:p>
            <w:pPr>
              <w:spacing w:after="0"/>
              <w:rPr>
                <w:sz w:val="1"/>
                <w:szCs w:val="1"/>
                <w:color w:val="auto"/>
              </w:rPr>
            </w:pPr>
          </w:p>
        </w:tc>
      </w:tr>
      <w:tr>
        <w:trPr>
          <w:trHeight w:val="243"/>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66,907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100,729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429,917</w:t>
            </w:r>
          </w:p>
        </w:tc>
        <w:tc>
          <w:tcPr>
            <w:tcW w:w="8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642,194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2,028,852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00" w:type="dxa"/>
            <w:vAlign w:val="bottom"/>
            <w:gridSpan w:val="3"/>
          </w:tcPr>
          <w:p>
            <w:pPr>
              <w:ind w:left="600"/>
              <w:spacing w:after="0"/>
              <w:rPr>
                <w:sz w:val="20"/>
                <w:szCs w:val="20"/>
                <w:color w:val="auto"/>
              </w:rPr>
            </w:pPr>
            <w:r>
              <w:rPr>
                <w:rFonts w:ascii="Arial" w:cs="Arial" w:eastAsia="Arial" w:hAnsi="Arial"/>
                <w:sz w:val="18"/>
                <w:szCs w:val="18"/>
                <w:color w:val="auto"/>
              </w:rPr>
              <w:t>Operating (loss) income</w:t>
            </w:r>
          </w:p>
        </w:tc>
        <w:tc>
          <w:tcPr>
            <w:tcW w:w="20" w:type="dxa"/>
            <w:vAlign w:val="bottom"/>
          </w:tcPr>
          <w:p>
            <w:pPr>
              <w:spacing w:after="0"/>
              <w:rPr>
                <w:sz w:val="22"/>
                <w:szCs w:val="22"/>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82,346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(42,042)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155,064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14"/>
          </w:tcPr>
          <w:p>
            <w:pPr>
              <w:ind w:left="280"/>
              <w:spacing w:after="0"/>
              <w:rPr>
                <w:sz w:val="20"/>
                <w:szCs w:val="20"/>
                <w:color w:val="auto"/>
              </w:rPr>
            </w:pPr>
            <w:r>
              <w:rPr>
                <w:rFonts w:ascii="Arial" w:cs="Arial" w:eastAsia="Arial" w:hAnsi="Arial"/>
                <w:sz w:val="14"/>
                <w:szCs w:val="14"/>
                <w:b w:val="1"/>
                <w:bCs w:val="1"/>
                <w:color w:val="auto"/>
              </w:rPr>
              <w:t>For the Nine Months Ended September 30, 2020</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Money</w:t>
            </w:r>
          </w:p>
        </w:tc>
        <w:tc>
          <w:tcPr>
            <w:tcW w:w="1440" w:type="dxa"/>
            <w:vAlign w:val="bottom"/>
            <w:gridSpan w:val="7"/>
          </w:tcPr>
          <w:p>
            <w:pPr>
              <w:ind w:left="40"/>
              <w:spacing w:after="0" w:line="153" w:lineRule="exact"/>
              <w:rPr>
                <w:sz w:val="20"/>
                <w:szCs w:val="20"/>
                <w:color w:val="auto"/>
              </w:rPr>
            </w:pPr>
            <w:r>
              <w:rPr>
                <w:rFonts w:ascii="Arial" w:cs="Arial" w:eastAsia="Arial" w:hAnsi="Arial"/>
                <w:sz w:val="14"/>
                <w:szCs w:val="14"/>
                <w:b w:val="1"/>
                <w:bCs w:val="1"/>
                <w:color w:val="auto"/>
              </w:rPr>
              <w:t>Corporate Services,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4"/>
                <w:szCs w:val="14"/>
                <w:b w:val="1"/>
                <w:bCs w:val="1"/>
                <w:color w:val="auto"/>
                <w:w w:val="97"/>
              </w:rPr>
              <w:t>Processing</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Transfer</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368,375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559,413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852,189</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1,776,061</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232,627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464,216</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1,117,065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68,562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46,996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154,958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23,253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293,769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108,355</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169,333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84,160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6"/>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106,021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61,772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25,793</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93,470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413,855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502,676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837,482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25,645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1,779,658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Operating (loss) income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56,737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14,707</w:t>
            </w:r>
          </w:p>
        </w:tc>
        <w:tc>
          <w:tcPr>
            <w:tcW w:w="140" w:type="dxa"/>
            <w:vAlign w:val="bottom"/>
            <w:tcBorders>
              <w:right w:val="single" w:sz="8" w:color="CCEEFF"/>
            </w:tcBorders>
            <w:shd w:val="clear" w:color="auto" w:fill="CCEEFF"/>
          </w:tcPr>
          <w:p>
            <w:pPr>
              <w:spacing w:after="0"/>
              <w:rPr>
                <w:sz w:val="14"/>
                <w:szCs w:val="14"/>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4"/>
                <w:szCs w:val="14"/>
                <w:color w:val="auto"/>
              </w:rPr>
            </w:pPr>
          </w:p>
        </w:tc>
        <w:tc>
          <w:tcPr>
            <w:tcW w:w="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94"/>
        </w:trPr>
        <w:tc>
          <w:tcPr>
            <w:tcW w:w="4440" w:type="dxa"/>
            <w:vAlign w:val="bottom"/>
            <w:gridSpan w:val="2"/>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060" w:type="dxa"/>
            <w:vAlign w:val="bottom"/>
            <w:gridSpan w:val="2"/>
            <w:shd w:val="clear" w:color="auto" w:fill="CCEEFF"/>
          </w:tcPr>
          <w:p>
            <w:pPr>
              <w:jc w:val="right"/>
              <w:ind w:right="1"/>
              <w:spacing w:after="0" w:line="95" w:lineRule="exact"/>
              <w:rPr>
                <w:sz w:val="20"/>
                <w:szCs w:val="20"/>
                <w:color w:val="auto"/>
              </w:rPr>
            </w:pPr>
            <w:r>
              <w:rPr>
                <w:rFonts w:ascii="Arial" w:cs="Arial" w:eastAsia="Arial" w:hAnsi="Arial"/>
                <w:sz w:val="10"/>
                <w:szCs w:val="10"/>
                <w:color w:val="auto"/>
              </w:rPr>
              <w:t>(45,480</w:t>
            </w:r>
          </w:p>
        </w:tc>
        <w:tc>
          <w:tcPr>
            <w:tcW w:w="10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10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(29,561</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0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(3,597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6"/>
          </w:tcPr>
          <w:p>
            <w:pPr>
              <w:spacing w:after="0"/>
              <w:rPr>
                <w:sz w:val="20"/>
                <w:szCs w:val="20"/>
                <w:color w:val="auto"/>
              </w:rPr>
            </w:pPr>
            <w:r>
              <w:rPr>
                <w:rFonts w:ascii="Arial" w:cs="Arial" w:eastAsia="Arial" w:hAnsi="Arial"/>
                <w:sz w:val="18"/>
                <w:szCs w:val="18"/>
                <w:color w:val="auto"/>
                <w:w w:val="91"/>
              </w:rPr>
              <w:t>The following table presents the Company’s total assets by reportable segment:</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jc w:val="right"/>
              <w:ind w:right="800"/>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25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7"/>
          </w:tcPr>
          <w:p>
            <w:pPr>
              <w:ind w:left="40"/>
              <w:spacing w:after="0"/>
              <w:rPr>
                <w:sz w:val="20"/>
                <w:szCs w:val="20"/>
                <w:color w:val="auto"/>
              </w:rPr>
            </w:pPr>
            <w:r>
              <w:rPr>
                <w:rFonts w:ascii="Arial" w:cs="Arial" w:eastAsia="Arial" w:hAnsi="Arial"/>
                <w:sz w:val="14"/>
                <w:szCs w:val="14"/>
                <w:b w:val="1"/>
                <w:bCs w:val="1"/>
                <w:color w:val="auto"/>
              </w:rPr>
              <w:t>September 30, 2021</w:t>
            </w: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50"/>
        </w:trPr>
        <w:tc>
          <w:tcPr>
            <w:tcW w:w="444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1,834,405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1,541,610</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912,934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1,135,204</w:t>
            </w:r>
          </w:p>
        </w:tc>
        <w:tc>
          <w:tcPr>
            <w:tcW w:w="0" w:type="dxa"/>
            <w:vAlign w:val="bottom"/>
          </w:tcPr>
          <w:p>
            <w:pPr>
              <w:spacing w:after="0"/>
              <w:rPr>
                <w:sz w:val="1"/>
                <w:szCs w:val="1"/>
                <w:color w:val="auto"/>
              </w:rPr>
            </w:pPr>
          </w:p>
        </w:tc>
      </w:tr>
      <w:tr>
        <w:trPr>
          <w:trHeight w:val="27"/>
        </w:trPr>
        <w:tc>
          <w:tcPr>
            <w:tcW w:w="4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1,625,178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1,755,651</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153,801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494,246</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4,526,318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4,926,711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rPr>
              <w:t>For the Three Months Ended September 30, 2021</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10"/>
          </w:tcPr>
          <w:p>
            <w:pPr>
              <w:jc w:val="right"/>
              <w:ind w:right="513"/>
              <w:spacing w:after="0"/>
              <w:rPr>
                <w:sz w:val="20"/>
                <w:szCs w:val="20"/>
                <w:color w:val="auto"/>
              </w:rPr>
            </w:pPr>
            <w:r>
              <w:rPr>
                <w:rFonts w:ascii="Arial" w:cs="Arial" w:eastAsia="Arial" w:hAnsi="Arial"/>
                <w:sz w:val="14"/>
                <w:szCs w:val="14"/>
                <w:b w:val="1"/>
                <w:bCs w:val="1"/>
                <w:color w:val="auto"/>
              </w:rPr>
              <w:t>For the Nine Months Ended September 30, 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3"/>
                <w:szCs w:val="13"/>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Money</w:t>
            </w:r>
          </w:p>
        </w:tc>
        <w:tc>
          <w:tcPr>
            <w:tcW w:w="380" w:type="dxa"/>
            <w:vAlign w:val="bottom"/>
          </w:tcPr>
          <w:p>
            <w:pPr>
              <w:spacing w:after="0"/>
              <w:rPr>
                <w:sz w:val="13"/>
                <w:szCs w:val="13"/>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Money</w:t>
            </w:r>
          </w:p>
        </w:tc>
        <w:tc>
          <w:tcPr>
            <w:tcW w:w="180" w:type="dxa"/>
            <w:vAlign w:val="bottom"/>
          </w:tcPr>
          <w:p>
            <w:pPr>
              <w:spacing w:after="0"/>
              <w:rPr>
                <w:sz w:val="13"/>
                <w:szCs w:val="13"/>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183,163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150,465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145,813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479,441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303,134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475,933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1,207,325</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23"/>
                <w:szCs w:val="2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35,876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169,473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221,690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46,010</w:t>
            </w:r>
          </w:p>
        </w:tc>
        <w:tc>
          <w:tcPr>
            <w:tcW w:w="22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104,318</w:t>
            </w:r>
          </w:p>
        </w:tc>
        <w:tc>
          <w:tcPr>
            <w:tcW w:w="1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492,099</w:t>
            </w: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642,427</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27,381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24,588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91,272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78,110</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111,998</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79,581</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269,689</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3"/>
                <w:szCs w:val="2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12,675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26,496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32,291</w:t>
            </w:r>
          </w:p>
        </w:tc>
        <w:tc>
          <w:tcPr>
            <w:tcW w:w="1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37,721</w:t>
            </w: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70,445</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227,129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238,319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353,451</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816,560</w:t>
            </w:r>
          </w:p>
        </w:tc>
        <w:tc>
          <w:tcPr>
            <w:tcW w:w="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427,687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724,540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1,037,659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2,183,916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September 30, 2020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10"/>
          </w:tcPr>
          <w:p>
            <w:pPr>
              <w:jc w:val="right"/>
              <w:ind w:right="513"/>
              <w:spacing w:after="0"/>
              <w:rPr>
                <w:sz w:val="20"/>
                <w:szCs w:val="20"/>
                <w:color w:val="auto"/>
              </w:rPr>
            </w:pPr>
            <w:r>
              <w:rPr>
                <w:rFonts w:ascii="Arial" w:cs="Arial" w:eastAsia="Arial" w:hAnsi="Arial"/>
                <w:sz w:val="14"/>
                <w:szCs w:val="14"/>
                <w:b w:val="1"/>
                <w:bCs w:val="1"/>
                <w:color w:val="auto"/>
              </w:rPr>
              <w:t>For the Nine Months Ended September 30,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3"/>
                <w:szCs w:val="13"/>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epay</w:t>
            </w:r>
          </w:p>
        </w:tc>
        <w:tc>
          <w:tcPr>
            <w:tcW w:w="1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Money</w:t>
            </w:r>
          </w:p>
        </w:tc>
        <w:tc>
          <w:tcPr>
            <w:tcW w:w="320" w:type="dxa"/>
            <w:vAlign w:val="bottom"/>
          </w:tcPr>
          <w:p>
            <w:pPr>
              <w:spacing w:after="0"/>
              <w:rPr>
                <w:sz w:val="13"/>
                <w:szCs w:val="13"/>
                <w:color w:val="auto"/>
              </w:rPr>
            </w:pPr>
          </w:p>
        </w:tc>
        <w:tc>
          <w:tcPr>
            <w:tcW w:w="6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EFT</w:t>
            </w:r>
          </w:p>
        </w:tc>
        <w:tc>
          <w:tcPr>
            <w:tcW w:w="200" w:type="dxa"/>
            <w:vAlign w:val="bottom"/>
          </w:tcPr>
          <w:p>
            <w:pPr>
              <w:spacing w:after="0"/>
              <w:rPr>
                <w:sz w:val="13"/>
                <w:szCs w:val="13"/>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Money</w:t>
            </w:r>
          </w:p>
        </w:tc>
        <w:tc>
          <w:tcPr>
            <w:tcW w:w="180" w:type="dxa"/>
            <w:vAlign w:val="bottom"/>
          </w:tcPr>
          <w:p>
            <w:pPr>
              <w:spacing w:after="0"/>
              <w:rPr>
                <w:sz w:val="13"/>
                <w:szCs w:val="13"/>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7"/>
              </w:rPr>
              <w:t>Processing</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Transfer</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107,182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131,330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127,399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365,911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251,583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936,871</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14,318</w:t>
            </w:r>
          </w:p>
        </w:tc>
        <w:tc>
          <w:tcPr>
            <w:tcW w:w="22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32,645</w:t>
            </w:r>
          </w:p>
        </w:tc>
        <w:tc>
          <w:tcPr>
            <w:tcW w:w="18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152,195</w:t>
            </w:r>
          </w:p>
        </w:tc>
        <w:tc>
          <w:tcPr>
            <w:tcW w:w="32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199,158</w:t>
            </w:r>
          </w:p>
        </w:tc>
        <w:tc>
          <w:tcPr>
            <w:tcW w:w="14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42,461</w:t>
            </w:r>
          </w:p>
        </w:tc>
        <w:tc>
          <w:tcPr>
            <w:tcW w:w="2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102,603</w:t>
            </w:r>
          </w:p>
        </w:tc>
        <w:tc>
          <w:tcPr>
            <w:tcW w:w="1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422,980</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568,044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22,562</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26,679</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34,036</w:t>
            </w:r>
          </w:p>
        </w:tc>
        <w:tc>
          <w:tcPr>
            <w:tcW w:w="3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83,277</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74,327</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69,916</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91,116</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235,359</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8,285</w:t>
            </w:r>
          </w:p>
        </w:tc>
        <w:tc>
          <w:tcPr>
            <w:tcW w:w="18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9,462</w:t>
            </w:r>
          </w:p>
        </w:tc>
        <w:tc>
          <w:tcPr>
            <w:tcW w:w="32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17,747</w:t>
            </w:r>
          </w:p>
        </w:tc>
        <w:tc>
          <w:tcPr>
            <w:tcW w:w="14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18,793</w:t>
            </w:r>
          </w:p>
        </w:tc>
        <w:tc>
          <w:tcPr>
            <w:tcW w:w="1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20,906</w:t>
            </w: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39,703</w:t>
            </w:r>
          </w:p>
        </w:tc>
        <w:tc>
          <w:tcPr>
            <w:tcW w:w="0" w:type="dxa"/>
            <w:vAlign w:val="bottom"/>
          </w:tcPr>
          <w:p>
            <w:pPr>
              <w:spacing w:after="0"/>
              <w:rPr>
                <w:sz w:val="1"/>
                <w:szCs w:val="1"/>
                <w:color w:val="auto"/>
              </w:rPr>
            </w:pPr>
          </w:p>
        </w:tc>
      </w:tr>
      <w:tr>
        <w:trPr>
          <w:trHeight w:val="27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(1,742)</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144,062</w:t>
            </w:r>
          </w:p>
        </w:tc>
        <w:tc>
          <w:tcPr>
            <w:tcW w:w="16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198,939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323,092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664,351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368,375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559,413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852,189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1,776,061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effective income tax rate was 23.6% and 35.8% for the three and nine months ended September 30, 2021, respectively, compared to 27.2% and (55.9)% for the three and nine months ended September 30, 2020, respectively. Our effective income tax rate for the three and nine months ended September 30, 2021 was higher than the applicable statutory income tax rate of 21% as a result of certain foreign earnings being subject to higher local statutory tax rates, the non-recognition of tax benefits from losses in certain foreign countries where we have a limited history of profitable earnings and as a result of an increase in the valuation allowance in certain jurisdictions relating to the reversal of tax benefits recognized in the first quarter of 2021 for continuing net operating losses. Our effective income tax rate for the three and nine months ended September 30, 2020 was different than the applicable statutory income tax rate of 21% primarily due to the non-deductible goodwill impairment charge during the second quarter of 2020 and as a result of an increase in the valuation allowance in certain jurisdictions relating to the reversal of tax benefits recognized in the first and second quarters of 2020 for net operating losses in those jurisdictions which have a limited history of profitable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Company had $85.3 million of stand-by letters of credit/bank guarantees issued on its behalf, of which $57.9 million are outstanding under the Credit Facility. The remaining stand-by letters of credit/bank guarantees are collateralized by $3.7 million of cash deposits held by the respective issuing banks.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2021, the Company had granted off balance sheet guarantees for cash in various ATM networks amounting to $11.4 million over the terms of the cash supply agreements and performance guarantees amounting to approximately $39.4 million over the terms of agreements with the customers.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47" w:lineRule="exact"/>
        <w:rPr>
          <w:sz w:val="20"/>
          <w:szCs w:val="20"/>
          <w:color w:val="auto"/>
        </w:rPr>
      </w:pPr>
    </w:p>
    <w:p>
      <w:pPr>
        <w:jc w:val="both"/>
        <w:ind w:left="580" w:right="60"/>
        <w:spacing w:after="0" w:line="286" w:lineRule="auto"/>
        <w:rPr>
          <w:sz w:val="20"/>
          <w:szCs w:val="20"/>
          <w:color w:val="auto"/>
        </w:rPr>
      </w:pPr>
      <w:r>
        <w:rPr>
          <w:rFonts w:ascii="Arial" w:cs="Arial" w:eastAsia="Arial" w:hAnsi="Arial"/>
          <w:sz w:val="17"/>
          <w:szCs w:val="17"/>
          <w:color w:val="auto"/>
        </w:rPr>
        <w:t>In connection with contracts with financial institutions in the EFT Processing Segment, the Company is responsible for damage to ATMs and theft of ATM network cash. As of September 30, 2021, the balance of such cash used in the Company's ATM networks for which the Company was responsible was approximately $719 million.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-394970</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5" w:lineRule="exact"/>
        <w:rPr>
          <w:sz w:val="20"/>
          <w:szCs w:val="20"/>
          <w:color w:val="auto"/>
        </w:rPr>
      </w:pPr>
    </w:p>
    <w:p>
      <w:pPr>
        <w:jc w:val="both"/>
        <w:ind w:left="580" w:right="40"/>
        <w:spacing w:after="0" w:line="311" w:lineRule="auto"/>
        <w:rPr>
          <w:sz w:val="20"/>
          <w:szCs w:val="20"/>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-405765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93" w:lineRule="auto"/>
        <w:rPr>
          <w:sz w:val="20"/>
          <w:szCs w:val="20"/>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-807085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4"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5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8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2021 or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non-cancelable operating leases (with initial lease terms in excess of one year) as of September 30, 2021 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As of September 30, 2021</w:t>
            </w:r>
          </w:p>
        </w:tc>
        <w:tc>
          <w:tcPr>
            <w:tcW w:w="100" w:type="dxa"/>
            <w:vAlign w:val="bottom"/>
          </w:tcPr>
          <w:p>
            <w:pPr>
              <w:spacing w:after="0"/>
              <w:rPr>
                <w:sz w:val="16"/>
                <w:szCs w:val="16"/>
                <w:color w:val="auto"/>
              </w:rPr>
            </w:pPr>
          </w:p>
        </w:tc>
      </w:tr>
      <w:tr>
        <w:trPr>
          <w:trHeight w:val="250"/>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Operating Leases (1)</w:t>
            </w:r>
          </w:p>
        </w:tc>
      </w:tr>
      <w:tr>
        <w:trPr>
          <w:trHeight w:val="216"/>
        </w:trPr>
        <w:tc>
          <w:tcPr>
            <w:tcW w:w="6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Remainder of 2021</w:t>
            </w:r>
          </w:p>
        </w:tc>
        <w:tc>
          <w:tcPr>
            <w:tcW w:w="3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Arial" w:cs="Arial" w:eastAsia="Arial" w:hAnsi="Arial"/>
                <w:sz w:val="18"/>
                <w:szCs w:val="18"/>
                <w:color w:val="auto"/>
              </w:rPr>
              <w:t>2022</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45,386</w:t>
            </w:r>
          </w:p>
        </w:tc>
      </w:tr>
      <w:tr>
        <w:trPr>
          <w:trHeight w:val="216"/>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w:t>
            </w:r>
          </w:p>
        </w:tc>
      </w:tr>
      <w:tr>
        <w:trPr>
          <w:trHeight w:val="216"/>
        </w:trPr>
        <w:tc>
          <w:tcPr>
            <w:tcW w:w="6220" w:type="dxa"/>
            <w:vAlign w:val="bottom"/>
          </w:tcPr>
          <w:p>
            <w:pPr>
              <w:ind w:left="40"/>
              <w:spacing w:after="0"/>
              <w:rPr>
                <w:sz w:val="20"/>
                <w:szCs w:val="20"/>
                <w:color w:val="auto"/>
              </w:rPr>
            </w:pPr>
            <w:r>
              <w:rPr>
                <w:rFonts w:ascii="Arial" w:cs="Arial" w:eastAsia="Arial" w:hAnsi="Arial"/>
                <w:sz w:val="18"/>
                <w:szCs w:val="18"/>
                <w:color w:val="auto"/>
              </w:rPr>
              <w:t>2024</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25,704</w:t>
            </w:r>
          </w:p>
        </w:tc>
      </w:tr>
      <w:tr>
        <w:trPr>
          <w:trHeight w:val="216"/>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18,363</w:t>
            </w:r>
          </w:p>
        </w:tc>
      </w:tr>
      <w:tr>
        <w:trPr>
          <w:trHeight w:val="216"/>
        </w:trPr>
        <w:tc>
          <w:tcPr>
            <w:tcW w:w="62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34,972</w:t>
            </w:r>
          </w:p>
        </w:tc>
      </w:tr>
      <w:tr>
        <w:trPr>
          <w:trHeight w:val="209"/>
        </w:trPr>
        <w:tc>
          <w:tcPr>
            <w:tcW w:w="6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(2,438)</w:t>
            </w:r>
          </w:p>
        </w:tc>
      </w:tr>
      <w:tr>
        <w:trPr>
          <w:trHeight w:val="210"/>
        </w:trPr>
        <w:tc>
          <w:tcPr>
            <w:tcW w:w="6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660" w:hanging="328"/>
        <w:spacing w:after="0" w:line="293"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lease payments reflect the Company's current fixed obligations under the operating lease agreements. Certain ATM site leases contain termination options that grant the Company the option to terminate the lease prior to the stated term of the agreement. The Company includes the future minimum lease payments for these ATM site leases only to the extent that the termination option is not reasonably certain to be exercised.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recognized in the Consolidated Statements of Operations is summarized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2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Lease Expense</w:t>
            </w:r>
          </w:p>
        </w:tc>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460" w:type="dxa"/>
            <w:vAlign w:val="bottom"/>
            <w:vMerge w:val="continue"/>
          </w:tcPr>
          <w:p>
            <w:pPr>
              <w:spacing w:after="0"/>
              <w:rPr>
                <w:sz w:val="12"/>
                <w:szCs w:val="12"/>
                <w:color w:val="auto"/>
              </w:rPr>
            </w:pP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Statement Classification</w:t>
            </w:r>
          </w:p>
        </w:tc>
        <w:tc>
          <w:tcPr>
            <w:tcW w:w="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Selling, general and administrative and Direct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3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operating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Short-term and variable lease</w:t>
            </w:r>
          </w:p>
        </w:tc>
        <w:tc>
          <w:tcPr>
            <w:tcW w:w="3900" w:type="dxa"/>
            <w:vAlign w:val="bottom"/>
            <w:gridSpan w:val="2"/>
          </w:tcPr>
          <w:p>
            <w:pPr>
              <w:jc w:val="center"/>
              <w:spacing w:after="0"/>
              <w:rPr>
                <w:sz w:val="20"/>
                <w:szCs w:val="20"/>
                <w:color w:val="auto"/>
              </w:rPr>
            </w:pPr>
            <w:r>
              <w:rPr>
                <w:rFonts w:ascii="Arial" w:cs="Arial" w:eastAsia="Arial" w:hAnsi="Arial"/>
                <w:sz w:val="18"/>
                <w:szCs w:val="18"/>
                <w:color w:val="auto"/>
                <w:w w:val="91"/>
              </w:rPr>
              <w:t>Selling, general and administrative and Direct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40"/>
              <w:spacing w:after="0"/>
              <w:rPr>
                <w:sz w:val="20"/>
                <w:szCs w:val="20"/>
                <w:color w:val="auto"/>
              </w:rPr>
            </w:pPr>
            <w:r>
              <w:rPr>
                <w:rFonts w:ascii="Arial" w:cs="Arial" w:eastAsia="Arial" w:hAnsi="Arial"/>
                <w:sz w:val="18"/>
                <w:szCs w:val="18"/>
                <w:color w:val="auto"/>
              </w:rPr>
              <w:t>expense</w:t>
            </w:r>
          </w:p>
        </w:tc>
        <w:tc>
          <w:tcPr>
            <w:tcW w:w="3900" w:type="dxa"/>
            <w:vAlign w:val="bottom"/>
            <w:gridSpan w:val="2"/>
          </w:tcPr>
          <w:p>
            <w:pPr>
              <w:jc w:val="center"/>
              <w:spacing w:after="0"/>
              <w:rPr>
                <w:sz w:val="20"/>
                <w:szCs w:val="20"/>
                <w:color w:val="auto"/>
              </w:rPr>
            </w:pPr>
            <w:r>
              <w:rPr>
                <w:rFonts w:ascii="Arial" w:cs="Arial" w:eastAsia="Arial" w:hAnsi="Arial"/>
                <w:sz w:val="18"/>
                <w:szCs w:val="18"/>
                <w:color w:val="auto"/>
                <w:w w:val="90"/>
              </w:rPr>
              <w:t>operating costs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expense</w:t>
            </w:r>
          </w:p>
        </w:tc>
        <w:tc>
          <w:tcPr>
            <w:tcW w:w="3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116,317</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about lease amounts recognized in the consolidated financial statements is summarized as follows: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(years)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As of September</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30, 2021</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5.0</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2.26%</w:t>
      </w:r>
    </w:p>
    <w:p>
      <w:pPr>
        <w:spacing w:after="0" w:line="834" w:lineRule="exact"/>
        <w:rPr>
          <w:sz w:val="20"/>
          <w:szCs w:val="20"/>
          <w:color w:val="auto"/>
        </w:rPr>
      </w:pPr>
    </w:p>
    <w:p>
      <w:pPr>
        <w:sectPr>
          <w:pgSz w:w="11900" w:h="16838" w:orient="portrait"/>
          <w:cols w:equalWidth="0" w:num="2">
            <w:col w:w="9420" w:space="720"/>
            <w:col w:w="1100"/>
          </w:cols>
          <w:pgMar w:left="320" w:top="125"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non-cash information on lease liabilities arising from obtaining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Included in Net cash provided by operating activities on the Company's Consolidated Statements of Cash Flows.</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1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2"/>
                <w:szCs w:val="12"/>
                <w:color w:val="auto"/>
              </w:rPr>
            </w:pP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1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9"/>
        </w:trPr>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38,763</w:t>
            </w:r>
          </w:p>
        </w:tc>
        <w:tc>
          <w:tcPr>
            <w:tcW w:w="12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66,402</w:t>
            </w:r>
          </w:p>
        </w:tc>
        <w:tc>
          <w:tcPr>
            <w:tcW w:w="0" w:type="dxa"/>
            <w:vAlign w:val="bottom"/>
          </w:tcPr>
          <w:p>
            <w:pPr>
              <w:spacing w:after="0"/>
              <w:rPr>
                <w:sz w:val="1"/>
                <w:szCs w:val="1"/>
                <w:color w:val="auto"/>
              </w:rPr>
            </w:pPr>
          </w:p>
        </w:tc>
      </w:tr>
      <w:tr>
        <w:trPr>
          <w:trHeight w:val="540"/>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57,580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64,149</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840" w:space="720"/>
            <w:col w:w="268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impact of the COVID-19 pandemic on our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effects in Europe of the U.K.'s departure from the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2020.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157" w:lineRule="exact"/>
        <w:rPr>
          <w:sz w:val="20"/>
          <w:szCs w:val="20"/>
          <w:color w:val="auto"/>
        </w:rPr>
      </w:pPr>
    </w:p>
    <w:p>
      <w:pPr>
        <w:jc w:val="both"/>
        <w:ind w:left="540"/>
        <w:spacing w:after="0" w:line="275" w:lineRule="auto"/>
        <w:rPr>
          <w:sz w:val="20"/>
          <w:szCs w:val="20"/>
          <w:color w:val="auto"/>
        </w:rPr>
      </w:pPr>
      <w:r>
        <w:rPr>
          <w:rFonts w:ascii="Arial" w:cs="Arial" w:eastAsia="Arial" w:hAnsi="Arial"/>
          <w:sz w:val="17"/>
          <w:szCs w:val="17"/>
          <w:color w:val="auto"/>
        </w:rPr>
        <w:t>The EFT Processing Segment, which processes transactions for a network of 45,520 active ATMs and approximately 400,000 POS terminals across Europe, the Middle East, Asia Pacific, the United States and Africa.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-662940</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739,000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-518795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 w:lineRule="exact"/>
        <w:rPr>
          <w:sz w:val="20"/>
          <w:szCs w:val="20"/>
          <w:color w:val="auto"/>
        </w:rPr>
      </w:pPr>
    </w:p>
    <w:p>
      <w:pPr>
        <w:jc w:val="both"/>
        <w:ind w:left="540"/>
        <w:spacing w:after="0" w:line="270" w:lineRule="auto"/>
        <w:rPr>
          <w:sz w:val="20"/>
          <w:szCs w:val="20"/>
          <w:color w:val="auto"/>
        </w:rPr>
      </w:pPr>
      <w:r>
        <w:rPr>
          <w:rFonts w:ascii="Arial" w:cs="Arial" w:eastAsia="Arial" w:hAnsi="Arial"/>
          <w:sz w:val="17"/>
          <w:szCs w:val="17"/>
          <w:color w:val="auto"/>
        </w:rPr>
        <w:t>The Money Transfer Segment, which provides global consumer-to-consumer money transfer services, primarily under the brand names Ria, AFEX, IME and xe and global account-to-account money transfer services under the brand name xe. We offer services under the brand names Ria, AFEX and IME through a network of sending agents, Company-owned stores (primarily in North America, Europe and Malaysia) and our websites (riamoneytransfer.com and online.imeremit.com), disbursing money transfers through a worldwide correspondent network that includes approximately 507,000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 sized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-1208405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0"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73%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28% and 20% of total consolidated revenues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and nine months ended September 30, 2021, respectively,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29% and 33% of total consolidated revenues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2021, respectively,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compared with other electronic products has decreased over time, and digital media content now produces approximately 67% of epay Segment revenues. Other electronic content offered by this segment includes digital content such as music, games and software, as well as other products, including mobile wallets, prepaid long distance calling card plans, prepaid Internet plans, prepaid debit cards, gift cards, vouchers, transport payments, lottery payments, bill payment and money transfer.</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43% and 47% of total consolidated revenues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2021,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IME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2023.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260" w:lineRule="exact"/>
        <w:rPr>
          <w:sz w:val="20"/>
          <w:szCs w:val="20"/>
          <w:color w:val="auto"/>
        </w:rPr>
      </w:pPr>
    </w:p>
    <w:p>
      <w:pPr>
        <w:jc w:val="both"/>
        <w:ind w:left="540"/>
        <w:spacing w:after="0" w:line="289" w:lineRule="auto"/>
        <w:rPr>
          <w:sz w:val="20"/>
          <w:szCs w:val="20"/>
          <w:color w:val="auto"/>
        </w:rPr>
      </w:pPr>
      <w:r>
        <w:rPr>
          <w:rFonts w:ascii="Arial" w:cs="Arial" w:eastAsia="Arial" w:hAnsi="Arial"/>
          <w:sz w:val="16"/>
          <w:szCs w:val="16"/>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-654685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34" w:lineRule="auto"/>
        <w:rPr>
          <w:sz w:val="20"/>
          <w:szCs w:val="20"/>
          <w:color w:val="auto"/>
        </w:rPr>
      </w:pPr>
      <w:r>
        <w:rPr>
          <w:rFonts w:ascii="Arial" w:cs="Arial" w:eastAsia="Arial" w:hAnsi="Arial"/>
          <w:sz w:val="18"/>
          <w:szCs w:val="18"/>
          <w:color w:val="auto"/>
        </w:rPr>
        <w:t>such as Visa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Mastercard</w:t>
      </w:r>
      <w:r>
        <w:rPr>
          <w:rFonts w:ascii="Arial" w:cs="Arial" w:eastAsia="Arial" w:hAnsi="Arial"/>
          <w:sz w:val="30"/>
          <w:szCs w:val="30"/>
          <w:color w:val="auto"/>
          <w:vertAlign w:val="superscript"/>
        </w:rPr>
        <w:t>®</w:t>
      </w:r>
      <w:r>
        <w:rPr>
          <w:rFonts w:ascii="Arial" w:cs="Arial" w:eastAsia="Arial" w:hAnsi="Arial"/>
          <w:sz w:val="18"/>
          <w:szCs w:val="18"/>
          <w:color w:val="auto"/>
        </w:rPr>
        <w:t>, that govern ATM interchange fees, direct access fees and other restrictions. Our profitability is dependent on the laws and regulations that govern DCC transactions, specifically in the E.U., as well as the laws and regulations of each country that we operate in that may impact the volume of cross-border and cross-currency transactions. The timing and amount of revenues in the EFT Processing Segment is uncertain and unpredictable due to inherent limitations in managing our estate of ATMs, which is dependent on contracts that cover large numbers of ATMs, which are complicated by legal and regulatory considerations of local countries, as well as our customers' decisions whether to outsource ATMs.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both"/>
        <w:ind w:left="540"/>
        <w:spacing w:after="0" w:line="272" w:lineRule="auto"/>
        <w:rPr>
          <w:sz w:val="20"/>
          <w:szCs w:val="20"/>
          <w:color w:val="auto"/>
        </w:rPr>
      </w:pPr>
      <w:r>
        <w:rPr>
          <w:rFonts w:ascii="Arial" w:cs="Arial" w:eastAsia="Arial" w:hAnsi="Arial"/>
          <w:sz w:val="17"/>
          <w:szCs w:val="17"/>
          <w:color w:val="auto"/>
        </w:rPr>
        <w:t>The epay Segment opportunities include renewing existing and negotiating new agreements in target markets in which we operate, primarily with mobile operators, digital content providers, financial institutions and retailers. The overall growth rate in the prepaid mobile phone and digital media content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-1217295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3" w:lineRule="exact"/>
        <w:rPr>
          <w:sz w:val="20"/>
          <w:szCs w:val="20"/>
          <w:color w:val="auto"/>
        </w:rPr>
      </w:pPr>
    </w:p>
    <w:p>
      <w:pPr>
        <w:jc w:val="both"/>
        <w:ind w:left="540"/>
        <w:spacing w:after="0" w:line="274" w:lineRule="auto"/>
        <w:rPr>
          <w:sz w:val="20"/>
          <w:szCs w:val="20"/>
          <w:color w:val="auto"/>
        </w:rPr>
      </w:pPr>
      <w:r>
        <w:rPr>
          <w:rFonts w:ascii="Arial" w:cs="Arial" w:eastAsia="Arial" w:hAnsi="Arial"/>
          <w:sz w:val="17"/>
          <w:szCs w:val="17"/>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-1226820</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outbreak of the COVID-19 (coronavirus) pandemic has resulted in varying degrees of border and business closures, travel restrictions and other social distancing orders in most of the countries where we operate during the three and nine months ended September 30, 2021 and 2020. These types of orders were first put into effect in late February 2020 or early March 2020. As the number and rate of new cases has fluctuated in various locations around the global, the closures, restrictions and other social distancing orders have been modified, rescinded and/or re-imposed. Although vaccines for COVID-19 are widely available in the U.S. and the European Union, their availability is still limited in many parts of the world where we operate. In addition, the rate of acceptance and long term effectiveness of the vaccines, especially against new variants, are still unknown.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we have a higher mix of digital distribution or a higher concentration of retailers that are deemed essential and have remained open during the pandemic. The Money Transfer Segment continues to be impacted by the pandemic-related restrictions in certain markets that limit customers' ability to access our network of company-owned stores and agents.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driven impacts, we implemented several key measures to offset the impact across the business, including re-negotiating certain third party contracts, reducing travel, decreasing capital expenditures, and increasing the number of seasonal ATM deactivations (placing them in dormancy status, terminating, or re-negotiating) in more sites and more markets.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by segment for the three and nine months ended September 30, 2021 and 2020 are summarized in the tables below:</w:t>
      </w:r>
    </w:p>
    <w:p>
      <w:pPr>
        <w:sectPr>
          <w:pgSz w:w="11900" w:h="16838" w:orient="portrait"/>
          <w:cols w:equalWidth="0" w:num="1">
            <w:col w:w="11240"/>
          </w:cols>
          <w:pgMar w:left="320" w:top="125" w:right="339" w:bottom="1440" w:gutter="0" w:footer="0" w:header="0"/>
        </w:sect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Revenues for the Three Months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456"/>
              <w:spacing w:after="0" w:line="149"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Year-over-Year Change</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104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4"/>
                <w:szCs w:val="14"/>
                <w:color w:val="auto"/>
              </w:rPr>
              <w:t>(dollar amounts in thousands)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EFT Processing</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227,129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144,062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83,067</w:t>
            </w: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epay</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238,319</w:t>
            </w:r>
          </w:p>
        </w:tc>
        <w:tc>
          <w:tcPr>
            <w:tcW w:w="2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198,939</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39,380</w:t>
            </w:r>
          </w:p>
        </w:tc>
        <w:tc>
          <w:tcPr>
            <w:tcW w:w="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Money Transfer</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353,451</w:t>
            </w:r>
          </w:p>
        </w:tc>
        <w:tc>
          <w:tcPr>
            <w:tcW w:w="2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323,092</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30,359</w:t>
            </w:r>
          </w:p>
        </w:tc>
        <w:tc>
          <w:tcPr>
            <w:tcW w:w="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818,899</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666,093</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152,806</w:t>
            </w:r>
          </w:p>
        </w:tc>
        <w:tc>
          <w:tcPr>
            <w:tcW w:w="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Corporate Services, Eliminations</w:t>
            </w:r>
          </w:p>
        </w:tc>
        <w:tc>
          <w:tcPr>
            <w:tcW w:w="180" w:type="dxa"/>
            <w:vAlign w:val="bottom"/>
          </w:tcPr>
          <w:p>
            <w:pPr>
              <w:spacing w:after="0"/>
              <w:rPr>
                <w:sz w:val="22"/>
                <w:szCs w:val="22"/>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(2,339</w:t>
            </w:r>
            <w:r>
              <w:rPr>
                <w:rFonts w:ascii="Arial" w:cs="Arial" w:eastAsia="Arial" w:hAnsi="Arial"/>
                <w:sz w:val="35"/>
                <w:szCs w:val="35"/>
                <w:color w:val="auto"/>
                <w:vertAlign w:val="superscript"/>
              </w:rPr>
              <w:t>)</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tcPr>
          <w:p>
            <w:pPr>
              <w:ind w:left="160"/>
              <w:spacing w:after="0"/>
              <w:rPr>
                <w:sz w:val="20"/>
                <w:szCs w:val="20"/>
                <w:color w:val="auto"/>
              </w:rPr>
            </w:pPr>
            <w:r>
              <w:rPr>
                <w:rFonts w:ascii="Arial" w:cs="Arial" w:eastAsia="Arial" w:hAnsi="Arial"/>
                <w:sz w:val="18"/>
                <w:szCs w:val="18"/>
                <w:color w:val="auto"/>
              </w:rPr>
              <w:t>and Other</w:t>
            </w:r>
          </w:p>
        </w:tc>
        <w:tc>
          <w:tcPr>
            <w:tcW w:w="18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(1,742)</w:t>
            </w:r>
          </w:p>
        </w:tc>
        <w:tc>
          <w:tcPr>
            <w:tcW w:w="14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816,560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664,351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152,209</w:t>
            </w:r>
          </w:p>
        </w:tc>
        <w:tc>
          <w:tcPr>
            <w:tcW w:w="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740" w:type="dxa"/>
            <w:vAlign w:val="bottom"/>
          </w:tcPr>
          <w:p>
            <w:pPr>
              <w:spacing w:after="0"/>
              <w:rPr>
                <w:sz w:val="21"/>
                <w:szCs w:val="21"/>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Operating Income (Expense) for</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the Three Months Ended</w:t>
            </w:r>
          </w:p>
        </w:tc>
        <w:tc>
          <w:tcPr>
            <w:tcW w:w="140" w:type="dxa"/>
            <w:vAlign w:val="bottom"/>
          </w:tcPr>
          <w:p>
            <w:pPr>
              <w:spacing w:after="0"/>
              <w:rPr>
                <w:sz w:val="12"/>
                <w:szCs w:val="12"/>
                <w:color w:val="auto"/>
              </w:rPr>
            </w:pPr>
          </w:p>
        </w:tc>
        <w:tc>
          <w:tcPr>
            <w:tcW w:w="200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6"/>
                <w:szCs w:val="16"/>
                <w:color w:val="auto"/>
              </w:rPr>
            </w:pPr>
          </w:p>
        </w:tc>
        <w:tc>
          <w:tcPr>
            <w:tcW w:w="20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7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4"/>
                <w:szCs w:val="14"/>
                <w:color w:val="auto"/>
              </w:rPr>
              <w:t>(dollar amounts in thousands)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EFT Processing</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63,202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57,041</w:t>
            </w:r>
          </w:p>
        </w:tc>
        <w:tc>
          <w:tcPr>
            <w:tcW w:w="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epay</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25,954</w:t>
            </w:r>
          </w:p>
        </w:tc>
        <w:tc>
          <w:tcPr>
            <w:tcW w:w="2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22,249</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3,705</w:t>
            </w:r>
          </w:p>
        </w:tc>
        <w:tc>
          <w:tcPr>
            <w:tcW w:w="80" w:type="dxa"/>
            <w:vAlign w:val="bottom"/>
          </w:tcPr>
          <w:p>
            <w:pPr>
              <w:spacing w:after="0"/>
              <w:rPr>
                <w:sz w:val="23"/>
                <w:szCs w:val="23"/>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Money Transfer</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37,505</w:t>
            </w:r>
          </w:p>
        </w:tc>
        <w:tc>
          <w:tcPr>
            <w:tcW w:w="2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47,626</w:t>
            </w: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(10,121)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126,661</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76,036</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50,625</w:t>
            </w:r>
          </w:p>
        </w:tc>
        <w:tc>
          <w:tcPr>
            <w:tcW w:w="8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Corporate Services, Eliminations</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60"/>
              <w:spacing w:after="0"/>
              <w:rPr>
                <w:sz w:val="20"/>
                <w:szCs w:val="20"/>
                <w:color w:val="auto"/>
              </w:rPr>
            </w:pPr>
            <w:r>
              <w:rPr>
                <w:rFonts w:ascii="Arial" w:cs="Arial" w:eastAsia="Arial" w:hAnsi="Arial"/>
                <w:sz w:val="18"/>
                <w:szCs w:val="18"/>
                <w:color w:val="auto"/>
              </w:rPr>
              <w:t>and Other</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(12,167)</w:t>
            </w:r>
          </w:p>
        </w:tc>
        <w:tc>
          <w:tcPr>
            <w:tcW w:w="2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(9,964)</w:t>
            </w: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(2,203)</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114,494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66,072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48,422</w:t>
            </w:r>
          </w:p>
        </w:tc>
        <w:tc>
          <w:tcPr>
            <w:tcW w:w="80" w:type="dxa"/>
            <w:vAlign w:val="bottom"/>
          </w:tcPr>
          <w:p>
            <w:pPr>
              <w:spacing w:after="0"/>
              <w:rPr>
                <w:sz w:val="22"/>
                <w:szCs w:val="2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4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2"/>
              </w:rPr>
              <w:t>Revenues for the Nine Months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left="537"/>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Increase</w:t>
            </w:r>
          </w:p>
        </w:tc>
        <w:tc>
          <w:tcPr>
            <w:tcW w:w="1020" w:type="dxa"/>
            <w:vAlign w:val="bottom"/>
            <w:tcBorders>
              <w:top w:val="single" w:sz="8" w:color="auto"/>
            </w:tcBorders>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427,687</w:t>
            </w:r>
          </w:p>
        </w:tc>
        <w:tc>
          <w:tcPr>
            <w:tcW w:w="60" w:type="dxa"/>
            <w:vAlign w:val="bottom"/>
          </w:tcPr>
          <w:p>
            <w:pPr>
              <w:spacing w:after="0"/>
              <w:rPr>
                <w:sz w:val="23"/>
                <w:szCs w:val="23"/>
                <w:color w:val="auto"/>
              </w:rPr>
            </w:pPr>
          </w:p>
        </w:tc>
        <w:tc>
          <w:tcPr>
            <w:tcW w:w="180" w:type="dxa"/>
            <w:vAlign w:val="bottom"/>
          </w:tcPr>
          <w:p>
            <w:pPr>
              <w:jc w:val="right"/>
              <w:ind w:right="56"/>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368,375</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59,312</w:t>
            </w:r>
          </w:p>
        </w:tc>
        <w:tc>
          <w:tcPr>
            <w:tcW w:w="6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724,540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559,413</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165,127</w:t>
            </w:r>
          </w:p>
        </w:tc>
        <w:tc>
          <w:tcPr>
            <w:tcW w:w="6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1,037,659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852,189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185,470</w:t>
            </w:r>
          </w:p>
        </w:tc>
        <w:tc>
          <w:tcPr>
            <w:tcW w:w="6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2,189,886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1,779,977</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409,909</w:t>
            </w:r>
          </w:p>
        </w:tc>
        <w:tc>
          <w:tcPr>
            <w:tcW w:w="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(5,970)</w:t>
            </w:r>
          </w:p>
        </w:tc>
        <w:tc>
          <w:tcPr>
            <w:tcW w:w="18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(3,916)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2,183,916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jc w:val="right"/>
              <w:ind w:right="56"/>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1,776,061</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407,855</w:t>
            </w:r>
          </w:p>
        </w:tc>
        <w:tc>
          <w:tcPr>
            <w:tcW w:w="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Operating (Loss) Income for</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the Nine Months Ended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1"/>
              </w:rPr>
              <w:t>Increase</w:t>
            </w:r>
          </w:p>
        </w:tc>
        <w:tc>
          <w:tcPr>
            <w:tcW w:w="10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6"/>
              <w:spacing w:after="0"/>
              <w:rPr>
                <w:sz w:val="20"/>
                <w:szCs w:val="20"/>
                <w:color w:val="auto"/>
              </w:rPr>
            </w:pPr>
            <w:r>
              <w:rPr>
                <w:rFonts w:ascii="Arial" w:cs="Arial" w:eastAsia="Arial" w:hAnsi="Arial"/>
                <w:sz w:val="18"/>
                <w:szCs w:val="18"/>
                <w:color w:val="auto"/>
              </w:rPr>
              <w:t>(2,230)$</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(45,480)$</w:t>
            </w:r>
          </w:p>
        </w:tc>
        <w:tc>
          <w:tcPr>
            <w:tcW w:w="860" w:type="dxa"/>
            <w:vAlign w:val="bottom"/>
          </w:tcPr>
          <w:p>
            <w:pPr>
              <w:jc w:val="right"/>
              <w:spacing w:after="0"/>
              <w:rPr>
                <w:sz w:val="20"/>
                <w:szCs w:val="20"/>
                <w:color w:val="auto"/>
              </w:rPr>
            </w:pPr>
            <w:r>
              <w:rPr>
                <w:rFonts w:ascii="Arial" w:cs="Arial" w:eastAsia="Arial" w:hAnsi="Arial"/>
                <w:sz w:val="18"/>
                <w:szCs w:val="18"/>
                <w:color w:val="auto"/>
              </w:rPr>
              <w:t>43,250</w:t>
            </w:r>
          </w:p>
        </w:tc>
        <w:tc>
          <w:tcPr>
            <w:tcW w:w="6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82,346</w:t>
            </w:r>
          </w:p>
        </w:tc>
        <w:tc>
          <w:tcPr>
            <w:tcW w:w="180" w:type="dxa"/>
            <w:vAlign w:val="bottom"/>
          </w:tcPr>
          <w:p>
            <w:pPr>
              <w:spacing w:after="0"/>
              <w:rPr>
                <w:sz w:val="23"/>
                <w:szCs w:val="23"/>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56,737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25,609</w:t>
            </w:r>
          </w:p>
        </w:tc>
        <w:tc>
          <w:tcPr>
            <w:tcW w:w="6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116,990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14,707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102,283</w:t>
            </w:r>
          </w:p>
        </w:tc>
        <w:tc>
          <w:tcPr>
            <w:tcW w:w="6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197,106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25,964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171,142</w:t>
            </w:r>
          </w:p>
        </w:tc>
        <w:tc>
          <w:tcPr>
            <w:tcW w:w="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(42,042)</w:t>
            </w:r>
          </w:p>
        </w:tc>
        <w:tc>
          <w:tcPr>
            <w:tcW w:w="18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(29,561)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(12,481)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155,064</w:t>
            </w:r>
          </w:p>
        </w:tc>
        <w:tc>
          <w:tcPr>
            <w:tcW w:w="60" w:type="dxa"/>
            <w:vAlign w:val="bottom"/>
          </w:tcPr>
          <w:p>
            <w:pPr>
              <w:spacing w:after="0"/>
              <w:rPr>
                <w:sz w:val="22"/>
                <w:szCs w:val="22"/>
                <w:color w:val="auto"/>
              </w:rPr>
            </w:pPr>
          </w:p>
        </w:tc>
        <w:tc>
          <w:tcPr>
            <w:tcW w:w="18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(3,597)$</w:t>
            </w:r>
          </w:p>
        </w:tc>
        <w:tc>
          <w:tcPr>
            <w:tcW w:w="860" w:type="dxa"/>
            <w:vAlign w:val="bottom"/>
          </w:tcPr>
          <w:p>
            <w:pPr>
              <w:jc w:val="right"/>
              <w:spacing w:after="0"/>
              <w:rPr>
                <w:sz w:val="20"/>
                <w:szCs w:val="20"/>
                <w:color w:val="auto"/>
              </w:rPr>
            </w:pPr>
            <w:r>
              <w:rPr>
                <w:rFonts w:ascii="Arial" w:cs="Arial" w:eastAsia="Arial" w:hAnsi="Arial"/>
                <w:sz w:val="18"/>
                <w:szCs w:val="18"/>
                <w:color w:val="auto"/>
              </w:rPr>
              <w:t>158,661</w:t>
            </w:r>
          </w:p>
        </w:tc>
        <w:tc>
          <w:tcPr>
            <w:tcW w:w="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80"/>
            <w:col w:w="4100"/>
          </w:cols>
          <w:pgMar w:left="320" w:top="125"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Average Translation Rate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Average Translation Rate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300" w:type="dxa"/>
            <w:vAlign w:val="bottom"/>
            <w:gridSpan w:val="7"/>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Three Months Ended September</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2"/>
                <w:szCs w:val="12"/>
                <w:color w:val="auto"/>
              </w:rPr>
            </w:pPr>
          </w:p>
        </w:tc>
        <w:tc>
          <w:tcPr>
            <w:tcW w:w="8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0.7348</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0.7149</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0.6768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720" w:type="dxa"/>
            <w:vAlign w:val="bottom"/>
          </w:tcPr>
          <w:p>
            <w:pPr>
              <w:ind w:left="40"/>
              <w:spacing w:after="0"/>
              <w:rPr>
                <w:sz w:val="20"/>
                <w:szCs w:val="20"/>
                <w:color w:val="auto"/>
              </w:rPr>
            </w:pPr>
            <w:r>
              <w:rPr>
                <w:rFonts w:ascii="Arial" w:cs="Arial" w:eastAsia="Arial" w:hAnsi="Arial"/>
                <w:sz w:val="18"/>
                <w:szCs w:val="18"/>
                <w:color w:val="auto"/>
              </w:rPr>
              <w:t>British pounds sterling</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1.3783</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1.2916</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1.3848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1.2709</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720" w:type="dxa"/>
            <w:vAlign w:val="bottom"/>
          </w:tcPr>
          <w:p>
            <w:pPr>
              <w:ind w:left="40"/>
              <w:spacing w:after="0"/>
              <w:rPr>
                <w:sz w:val="20"/>
                <w:szCs w:val="20"/>
                <w:color w:val="auto"/>
              </w:rPr>
            </w:pPr>
            <w:r>
              <w:rPr>
                <w:rFonts w:ascii="Arial" w:cs="Arial" w:eastAsia="Arial" w:hAnsi="Arial"/>
                <w:sz w:val="18"/>
                <w:szCs w:val="18"/>
                <w:color w:val="auto"/>
              </w:rPr>
              <w:t>Hungarian forint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0.0033</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0.0033</w:t>
            </w:r>
          </w:p>
        </w:tc>
        <w:tc>
          <w:tcPr>
            <w:tcW w:w="12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0.0034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0.0032</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0.0135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0.0135</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72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0.2385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0.2382</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0.2423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0.2364</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0.6619</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0.6383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72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0.2585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0.2633</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0.2634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0.2544</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48"/>
        </w:trPr>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COMPARISON OF OPERATING RESULTS FOR THE THREE AND NINE MONTHS ENDED SEPTEMBER 30, 2021 </w:t>
      </w:r>
      <w:r>
        <w:rPr>
          <w:rFonts w:ascii="Arial" w:cs="Arial" w:eastAsia="Arial" w:hAnsi="Arial"/>
          <w:sz w:val="18"/>
          <w:szCs w:val="18"/>
          <w:color w:val="auto"/>
        </w:rPr>
        <w:t>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following table summarizes the results of operations for our EFT Processing Segment for the three and nine months ended September 30, 2021 and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20" w:type="dxa"/>
            <w:vAlign w:val="bottom"/>
            <w:gridSpan w:val="4"/>
            <w:vMerge w:val="restart"/>
          </w:tcPr>
          <w:p>
            <w:pPr>
              <w:jc w:val="right"/>
              <w:ind w:right="284"/>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900" w:type="dxa"/>
            <w:vAlign w:val="bottom"/>
            <w:gridSpan w:val="2"/>
            <w:vMerge w:val="restart"/>
          </w:tcPr>
          <w:p>
            <w:pPr>
              <w:jc w:val="right"/>
              <w:ind w:right="19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Increase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(Decrease)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227,129</w:t>
            </w:r>
          </w:p>
        </w:tc>
        <w:tc>
          <w:tcPr>
            <w:tcW w:w="160" w:type="dxa"/>
            <w:vAlign w:val="bottom"/>
            <w:tcBorders>
              <w:lef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144,062</w:t>
            </w:r>
          </w:p>
        </w:tc>
        <w:tc>
          <w:tcPr>
            <w:tcW w:w="16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427,687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368,375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59,312</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106,321</w:t>
            </w:r>
          </w:p>
        </w:tc>
        <w:tc>
          <w:tcPr>
            <w:tcW w:w="160" w:type="dxa"/>
            <w:vAlign w:val="bottom"/>
            <w:tcBorders>
              <w:lef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82,626</w:t>
            </w:r>
          </w:p>
        </w:tc>
        <w:tc>
          <w:tcPr>
            <w:tcW w:w="16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258,614</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232,627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23,665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71,334</w:t>
            </w: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68,562</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2,772</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60" w:type="dxa"/>
            <w:vAlign w:val="bottom"/>
            <w:tcBorders>
              <w:lef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6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33,062</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29,033</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21,861</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(21,861)</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22,640</w:t>
            </w:r>
          </w:p>
        </w:tc>
        <w:tc>
          <w:tcPr>
            <w:tcW w:w="160" w:type="dxa"/>
            <w:vAlign w:val="bottom"/>
            <w:tcBorders>
              <w:lef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6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66,907</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61,772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163,927</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137,901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26,026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429,917</w:t>
            </w: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413,855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16,062</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63,202</w:t>
            </w:r>
          </w:p>
        </w:tc>
        <w:tc>
          <w:tcPr>
            <w:tcW w:w="160" w:type="dxa"/>
            <w:vAlign w:val="bottom"/>
            <w:tcBorders>
              <w:lef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6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57,041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43,250</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Transactions processed</w:t>
            </w: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3,086</w:t>
            </w: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Active ATMs as of September</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45,520</w:t>
            </w:r>
          </w:p>
        </w:tc>
        <w:tc>
          <w:tcPr>
            <w:tcW w:w="160" w:type="dxa"/>
            <w:vAlign w:val="bottom"/>
            <w:tcBorders>
              <w:lef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6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45,520</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43,956</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Average active ATMs</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45,595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44,259</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40,913</w:t>
            </w: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43,143</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(2,230)</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EFT Processing Segment total revenues were $227.1 million for the three months ended September 30, 2021, an increase of $83.1 million or 58% compared to the same period in 2020. EFT Processing Segment total revenues were $427.7 million for the nine months ended September 30, 2021, an increase of $59.3 million or 16% compared to the same period in 2020. Beginning in the late first quarter of 2020, the COVID-19 related government-imposed border and business closures, travel restrictions and other orders significantly reduced tourism throughout Europe, which led to a significant decrease in high-margin cross-border transactions (DCC) and surcharge transactions from March through September of 2020. During 2021, we began increasing our estate of active ATMs as certain countries began easing COVID-19 restrictions; however, remaining cross-border travel patterns prevented our volume of DCC and surcharge transactions from returning to pre-COVID-19 levels. Revenues increased for the three months ended September 30, 2021 compared to the same period in 2020 primarily due to the reactivation of ATMs and increase in high-margin cross-border transaction volumes during 2021. Revenues increased for the nine months ended September 30, 2021 compared to the same period in 2020 as cross-border travel and corresponding DCC and surcharge revenues increased, partially offset by the nine months ended September 30, 2020 including two months of pre-COVID-19 level DCC and surcharge transaction volumes compared to the nine months ended September 30, 2021 which had various levels of restrictions throughout the entire nine month period. Foreign currency movements increased revenues by approximately $1.7 million and $12.0 million for the three and nine months ended September 30, 2021, respectively, compared to the same periods in 2020.</w:t>
      </w:r>
    </w:p>
    <w:p>
      <w:pPr>
        <w:spacing w:after="0" w:line="18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Average monthly revenues per ATM increased to $1,660 for the three months ended September 30, 2021 compared to $1,085 for the same period in 2020. Average monthly revenues per ATM increased to $1,162 for the nine months ended September 30, 2021 compared to $949 for the same period in 2020. Revenues per transaction increased to $0.19 for the three months ended September 30, 2021 compared to $0.16 for the same period in 2020. Revenues per transaction decreased to $0.14 for the nine months ended September 30, 2021 compared to $0.16 for the same period in 2020. For the three months ended September 30, 2021, the increase in average monthly revenues per ATM and revenues per transaction were attributable to the easing of COVID-19 restrictions throughout Europe and corresponding increase in cross-border DCC and surcharge transactions, partially offset by a shift in the mix of our transaction volume as we experienced a significant increase in the volume of lower revenue transactions (processing bank wallet transactions and payments for e-commerce sites) primarily in our Asia Pacific region. For the nine months ended September 30, 2021, the average monthly revenues per ATM increased primarily due to the lower average ATM count as we modified our estate of ATMs beginning in the second quarter of 2020, and revenues per transaction decreased due to the effect of lower DCC and surcharge revenues during January and February of 2021 compared to January and February 2020 prior to COVID-19's initial emergence as well as a shift in the mix of our transaction volume.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EFT Processing Segment direct operating costs were $106.3 million for the three months ended September 30, 2021, an increase of $23.7 million or 29% compared to the same period in 2020. EFT Processing Segment direct operating costs were $258.6 million for the nine months ended September 30, 2021, an increase of $26.0 million or 11% compared to the same period in 2020.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 For the three months ended September 30, 2021, the increase in direct operating costs was primarily due to the increase in the number of ATMs under management in Europe and the increase in transaction volumes. For the nine months ended September 30, 2021, the increase in direct operating costs was primarily due to the increase in transaction volumes, costs associated with modifying our estate of ATMs, and the weakening of the U.S. dollar. Foreign currency movements increased direct operating costs by approximately $0.6 million and $9.3 million for the three and nine months ended September 30, 2021, respectively, compared to the same periods in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which is calculated as revenues less direct operating costs, was $120.8 million for the three months ended September 30, 2021, an increase of $59.4 million or 97% compared to $61.4 million for the same period in 2020. Gross profit was $169.1 million for the nine months ended September 30, 2021, an increase of $33.4 million or 25% compared to $135.7 million for the same period in 2020. Gross profit as a percentage of revenues (“gross margin”) increased to 53.2% and 39.5% for the three and nine months ended September 30, 2021, respectively, compared to 42.6% and 36.9% for the same periods in 2020, respectively. For the three and nine months ended September 30, 2021, the increase in gross profit and gross margin was primarily driven by the increase in cross-border transactions and overall increase in transaction volumes.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Salaries and benefits expenses were $23.7 million for the three months ended September 30, 2021, a decrease of $1.5 million or 6% compared to the same period in 2020. Salaries and benefits expenses were $71.3 million for the nine months ended September 30, 2021, an increase of $2.8 million or 4% compared to the same period in 2020. The increase in salaries and benefits for the nine months ended September 30, 2021 compared to the same period in 2020 was primarily driven by a $3.3 million increase from foreign currency movements in the countries where we employ our workforce. As a percentage of revenues, these expenses decreased to 10.4% and 16.7% for the three and nine months ended September 30, 2021, respectively, compared to 17.5% and 18.6% for the same periods in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Selling, general and administrative expenses were $11.3 million for the three months ended September 30, 2021, an increase of $2.7 million or 32% compared to the same period in 2020. Selling, general and administrative expenses were $33.1 million for the nine months ended September 30, 2021, an increase of $4.0 million or 14% compared to the same period in 2020. The increase in these expenses is primarily driven by an increase in professional fees and travel related expenses. As a percentage of revenues, these expenses decreased to 5.0% and 7.7% for the three and nine months ended September 30, 2021, respectively, compared to 6.0% and 7.9% for the same periods in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the economic impacts of the COVID-19 pandemic, the Company recorded a $21.9 million non-cash goodwill impairment charge related to two reporting units during the second quarter of 2020. A $14.0 million non-cash goodwill impairment charge was recorded for Innova as a result of the decline in value added tax, or VAT, refund activity directly related to the decline in international tourism within the European Union, and a $7.9 million non-cash goodwill impairment charge was recorded for Pure Commerce related to the decline in international tourism in Asia Pacific.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Depreciation and amortization expenses were $22.6 million for the three months ended September 30, 2021, an increase of $1.1 million or 5% compared to the same period in 2020. Depreciation and amortization expenses were $66.9 million for the nine months ended September 30, 2021, an increase of $5.1 million or 8% compared to the same period in 2020. Foreign currency movements increased these expenses by $0.1 million and $2.9 million for the three and nine months ended September 30, 2021, respectively, compared to the same periods in 2020, with the remainder of the increase driven by the acquisition of additional ATMs and software assets. As a percentage of revenues, these expenses decreased to 10.0% and 15.6% for the three and nine months ended September 30, 2021, respectively, compared to 14.9% and 16.8% for the same periods in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EFT Processing Segment had operating income of $63.2 million for the three months ended September 30, 2021, an increase of $57.0 million or 926% compared to the same period in 2020. EFT Processing Segment had an operating loss of ($2.2 million) for the nine months ended September 30, 2021, a decrease of $43.3 million or 95% compared to the operating loss in the same period in 2020. Operating income (loss) as a percentage of revenues (“operating margin”) increased to 27.8% and (0.5%) for the three and nine months ended September 30, 2021, respectively, compared to 4.3% and (12.3%) for the same periods in 2020, respectively. Operating income (loss) per transaction was $0.05 and ($0.00) for the three and nine months ended September 30, 2021, respectively, compared to $0.01 and ($0.02) for the same periods in 2020, respectively. For the three months ended September 30, 2021, the increases in operating income, operating margin and operating income per transaction were primarily driven by the easing of COVID-19 restrictions in limited regions where we operate. For the nine months ended September 30, 2021, the decrease in operating loss and increase in operating margin was primarily driven by the easing of COVID-19 restrictions in limited regions where we operate and the $21.9 million decrease in non-cash goodwill impairment charges, partially offset by the decrease in tourism in the months of January and February 2021 compared to the same periods in the prior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nine months ended September 30, 2021 and 2020 for our epay Segment: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20" w:type="dxa"/>
            <w:vAlign w:val="bottom"/>
            <w:gridSpan w:val="3"/>
            <w:vMerge w:val="restart"/>
          </w:tcPr>
          <w:p>
            <w:pPr>
              <w:jc w:val="right"/>
              <w:ind w:right="234"/>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1840" w:type="dxa"/>
            <w:vAlign w:val="bottom"/>
            <w:gridSpan w:val="2"/>
            <w:vMerge w:val="restart"/>
          </w:tcPr>
          <w:p>
            <w:pPr>
              <w:jc w:val="right"/>
              <w:ind w:right="17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Increase</w:t>
            </w: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Increase</w:t>
            </w:r>
          </w:p>
        </w:tc>
        <w:tc>
          <w:tcPr>
            <w:tcW w:w="1060" w:type="dxa"/>
            <w:vAlign w:val="bottom"/>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4"/>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724,540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559,413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165,127</w:t>
            </w:r>
          </w:p>
        </w:tc>
        <w:tc>
          <w:tcPr>
            <w:tcW w:w="10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180,206</w:t>
            </w:r>
          </w:p>
        </w:tc>
        <w:tc>
          <w:tcPr>
            <w:tcW w:w="2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149,993</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547,828</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424,123</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123,705</w:t>
            </w:r>
          </w:p>
        </w:tc>
        <w:tc>
          <w:tcPr>
            <w:tcW w:w="10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20,104</w:t>
            </w:r>
          </w:p>
        </w:tc>
        <w:tc>
          <w:tcPr>
            <w:tcW w:w="2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16,108</w:t>
            </w:r>
          </w:p>
        </w:tc>
        <w:tc>
          <w:tcPr>
            <w:tcW w:w="18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3,996</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59,248</w:t>
            </w:r>
          </w:p>
        </w:tc>
        <w:tc>
          <w:tcPr>
            <w:tcW w:w="2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46,996</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12,252</w:t>
            </w: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Selling, general and administrative</w:t>
            </w:r>
          </w:p>
        </w:tc>
        <w:tc>
          <w:tcPr>
            <w:tcW w:w="2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9,802</w:t>
            </w:r>
          </w:p>
        </w:tc>
        <w:tc>
          <w:tcPr>
            <w:tcW w:w="2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8,455</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28,594</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25,928</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6,524</w:t>
            </w:r>
          </w:p>
        </w:tc>
        <w:tc>
          <w:tcPr>
            <w:tcW w:w="2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5,629</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642,194</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502,676</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139,518</w:t>
            </w:r>
          </w:p>
        </w:tc>
        <w:tc>
          <w:tcPr>
            <w:tcW w:w="10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8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25,954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22,249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3,705</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82,346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56,737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25,609</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Transactions processed (millions)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2,266</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1,692</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epay Segment total revenues were $238.3 million for the three months ended September 30, 2021, an increase of $39.4 million or 20% compared to the same period in 2020. epay Segment total revenues were $724.5 million for the nine months ended September 30, 2021, an increase of $165.1 million or 30% compared to the same period in 2020. The increase in revenues was primarily due to an increase in the number of transactions processed driven by continued digital media growth and the U.S. dollar weakening against key foreign currencies during 2021. Foreign currency movements increased revenues by approximately $2.1 million and $31.0 million for the three and nine months ended September 30, 2021, respectively, compared to the same periods in 2020. The epay segment was impacted by COVID-19 pandemic-driven government-imposed lockdowns and business closures, primarily at retail outlets, which were offset by increases in digital media offerings in Asia and revenues derived from businesses that were classified as essential and remained open during the pandemic.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per transaction decreased to $0.29 and $0.32 for the three and nine months ended September 30, 2021, respectively, compared to $0.30 and $0.33 for the same periods in 2020, respectively. The decreases in revenues per transaction were primarily driven by the increase in the number of mobile transactions processed in a region where we generally earn lower revenues per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epay Segment direct operating costs were $180.2 million for the three months ended September 30, 2021, an increase of $30.2 million or 20% compared to the same period in 2020. epay Segment direct operating costs were $547.8 million for the nine months ended September 30, 2021, an increase of $123.7 million or 29% compared to the same period in 2020. Direct operating costs primarily consist of the commissions paid to retail merchants for the distribution and sale of prepaid mobile airtime and other prepaid products, expenses incurred to operate POS terminals and the cost of vouchers sold and physical gifts fulfilled. The increases in direct operating costs were primarily due to the increase in transaction volumes of low-value mobile top-up transactions, an increase in retailer commissions and the U.S. dollar weakening against key foreign currencies during 2021. Foreign currency movements increased direct operating costs by approximately $1.6 million and $22.9 million for the three and nine months ended September 30, 2021, respectively, compared to the same periods in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$58.1 million for the three months ended September 30, 2021, an increase of $9.2 million or 19% compared to $48.9 million for the same period in 2020. Gross profit was $176.7 million for the nine months ended September 30, 2021, an increase of $41.4 million or 31% compared to $135.3 million for the same period in 2020. Gross margin was 24.4% for both the three and nine months ended September 30, 2021, compared to 24.6% and 24.2% for the same periods in 2020, respectively. The increase in gross profit is primarily driven by the increase in transaction volumes at relatively flat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Salaries and benefits expenses were $20.1 million for the three months ended September 30, 2021, an increase of $4.0 million or 25% compared to the same period in 2020. Salaries and benefits expenses were $59.2 million for the nine months ended September 30, 2021, an increase of $12.3 million or 26% compared to the same period in 2020. The increase in salaries and benefits was primarily driven by an increase in headcount to support the growth of the business and an increase in bonus expense. Foreign currency movements in the countries where we employ our workforce increased these expenses by $0.3 million and $3.0 million for the three and nine months ended September 30, 2021, respectively, compared to the same periods in 2020. As a percentage of revenues, these expenses were 8.4% and 8.2% for the three and nine months ended September 30, 2021, respectively, compared to 8.1% and 8.4% for the same periods in 2020,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were $9.8 million for the three months ended September 30, 2021, an increase of $1.3 million or 16% compared to the same period in 2020. Selling, general and administrative expenses were $28.6 million for the nine months ended September 30, 2021, an increase of $2.7 million or 10% compared to the same period in 2020. Foreign currency movements increased these expenses by $0.1 million and $1.6 million for the three and nine months ended September 30, 2021, respectively, compared to the same periods in 2020. As a percentage of revenues, these expenses decreased to 4.1% and 3.9% for the three and nine months ended September 30, 2021, respectively, compared to 4.3% and 4.6% for the same periods in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and amortization expenses were $2.3 million for the three months ended September 30, 2021, an increase of $0.1 million or 6% compared to the same period in 2020. Depreciation and amortization expenses were $6.5 million for the nine months ended September 30, 2021, an increase of $0.9 million or 16% compared to the same period in 2020. Depreciation and amortization expense primarily represents depreciation of POS terminals we install in retail stores and amortization of acquired intangible assets. As a percentage of revenues, these expenses decreased to 0.9% for both the three and nine months ended September 30, 2021, compared to 1.1% and 1.0% for the same periods in 2020, respectively.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epay Segment operating income was $26.0 million for the three months ended September 30, 2021, an increase of $3.7 million or 17% compared to the same period in 2020. epay Segment operating income was $82.3 million for the nine months ended September 30, 2021, an increase of $25.6 million or 45% compared to the same period in 2020. Operating margin decreased to 10.9% and increased to 11.4% for the three and nine months ended September 30, 2021, respectively, compared to 11.2% and 10.1% for the same periods in 2020, respectively. Operating income per transaction was $0.03 and $0.04 for the three and nine months ended September 30, 2021, respectively, compared to $0.03 for both of the same periods in 2020. The increase in operating income and relatively flat operating margin for the three months ended September 30, 2021 compared to the same period in 2020 was primarily due to an increase in the number of overall transactions. The increases in operating income and operating margin for the nine months ended September 30, 2021 compared to the same period in 2020 was primarily due to an increase in the number of higher-margin digital media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2021 and 2020 for the Money Transfer Segment: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960" w:type="dxa"/>
            <w:vAlign w:val="bottom"/>
            <w:gridSpan w:val="3"/>
            <w:vMerge w:val="restart"/>
          </w:tcPr>
          <w:p>
            <w:pPr>
              <w:jc w:val="right"/>
              <w:ind w:right="235"/>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900" w:type="dxa"/>
            <w:vAlign w:val="bottom"/>
            <w:gridSpan w:val="2"/>
            <w:vMerge w:val="restart"/>
          </w:tcPr>
          <w:p>
            <w:pPr>
              <w:jc w:val="right"/>
              <w:ind w:right="19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Increase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2"/>
                <w:szCs w:val="12"/>
                <w:color w:val="auto"/>
              </w:rPr>
            </w:pPr>
          </w:p>
        </w:tc>
        <w:tc>
          <w:tcPr>
            <w:tcW w:w="8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(Decrease)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353,451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1,037,659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852,189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185,470</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200,231</w:t>
            </w:r>
          </w:p>
        </w:tc>
        <w:tc>
          <w:tcPr>
            <w:tcW w:w="2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176,718</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589,273</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464,216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125,057</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65,285</w:t>
            </w:r>
          </w:p>
        </w:tc>
        <w:tc>
          <w:tcPr>
            <w:tcW w:w="2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52,035</w:t>
            </w:r>
          </w:p>
        </w:tc>
        <w:tc>
          <w:tcPr>
            <w:tcW w:w="1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13,250</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188,535</w:t>
            </w:r>
          </w:p>
        </w:tc>
        <w:tc>
          <w:tcPr>
            <w:tcW w:w="2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154,958</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33,577</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Selling, general and administrative</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41,533</w:t>
            </w:r>
          </w:p>
        </w:tc>
        <w:tc>
          <w:tcPr>
            <w:tcW w:w="2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36,601</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115,975</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108,355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gridSpan w:val="2"/>
          </w:tcPr>
          <w:p>
            <w:pPr>
              <w:ind w:left="340"/>
              <w:spacing w:after="0"/>
              <w:rPr>
                <w:sz w:val="20"/>
                <w:szCs w:val="20"/>
                <w:color w:val="auto"/>
              </w:rPr>
            </w:pPr>
            <w:r>
              <w:rPr>
                <w:rFonts w:ascii="Arial" w:cs="Arial" w:eastAsia="Arial" w:hAnsi="Arial"/>
                <w:sz w:val="18"/>
                <w:szCs w:val="18"/>
                <w:color w:val="auto"/>
              </w:rPr>
              <w:t>assets impairment</w:t>
            </w:r>
          </w:p>
        </w:tc>
        <w:tc>
          <w:tcPr>
            <w:tcW w:w="2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(1,467)</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84,160</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(84,160)</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8,645</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26,886</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25,793</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315,946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275,466</w:t>
            </w:r>
          </w:p>
        </w:tc>
        <w:tc>
          <w:tcPr>
            <w:tcW w:w="16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40,480</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920,669</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837,482</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83,187</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102,283</w:t>
            </w:r>
          </w:p>
        </w:tc>
        <w:tc>
          <w:tcPr>
            <w:tcW w:w="10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60" w:type="dxa"/>
            <w:vAlign w:val="bottom"/>
            <w:gridSpan w:val="2"/>
          </w:tcPr>
          <w:p>
            <w:pPr>
              <w:ind w:left="180"/>
              <w:spacing w:after="0"/>
              <w:rPr>
                <w:sz w:val="20"/>
                <w:szCs w:val="20"/>
                <w:color w:val="auto"/>
              </w:rPr>
            </w:pPr>
            <w:r>
              <w:rPr>
                <w:rFonts w:ascii="Arial" w:cs="Arial" w:eastAsia="Arial" w:hAnsi="Arial"/>
                <w:sz w:val="18"/>
                <w:szCs w:val="18"/>
                <w:color w:val="auto"/>
                <w:w w:val="99"/>
              </w:rPr>
              <w:t>Transactions processed (millions)</w:t>
            </w:r>
          </w:p>
        </w:tc>
        <w:tc>
          <w:tcPr>
            <w:tcW w:w="2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Money Transfer Segment total revenues were $353.5 million for the three months ended September 30, 2021, an increase of $30.4 million or 9% compared to the same period in 2020. Money Transfer Segment total revenues were $1,037.7 million for the nine months ended September 30, 2021, an increase of $185.5 million or 22% compared to the same period in 2020. The increase in revenues was primarily due to increases in U.S. outbound and international-originated money transfers, partially offset by decreases in the U.S. domestic business and transactions in the Middle East region. Revenues per transaction decreased to $10.37 and increased to $10.44 for the three and nine months ended September 30, 2021, respectively, compared to $10.46 and $10.13 for the same periods in 2020, respectively. Foreign currency movements increased revenues by approximately $3.2 million and $35.4 million for the three and nine months ended September 30, 2021, respectively, compared to the same periods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Money Transfer Segment direct operating costs were $200.2 million for the three months ended September 30, 2021, an increase of $23.5 million or 13% compared to the same period in 2020. Money Transfer Segment direct operating costs were $589.3 million for the nine months ended September 30, 2021, an increase of $125.1 million or 27% compared to the same period in 2020.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U.S. outbound and international-originated money transfer transactions and corresponding increase in agent commissions. Foreign currency movements increased direct operating costs by approximately $1.6 million and $17.9 million for the three and nine months ended September 30, 2021, respectively, compared to the same periods in 2020.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third quarter of 2021, the Company evaluated $40.8 million of deferred contract acquisition costs related to a large retail contract due to lower than expected cash flows. An undiscounted cash flow analysis was performed comparing the carrying amount of the deferred contract acquisition costs to the projected undiscounted cash flows. The undiscounted cash flows exceeded the carrying amount indicating no impairment at September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was $153.2 million for the three months ended September 30, 2021, an increase of $6.8 million or 5% compared to $146.4 million for the same period in 2020. Gross profit was $448.4 million for the nine months ended September 30, 2021, an increase of $60.4 million or 16% compared to $388.0 million for the same period in 2020. Gross margin decreased to 43.3% and 43.2% for the three and nine months ended September 30, 2021, respectively, compared to 45.3% and 45.5% for the same periods in 2020, respectively. The increase in gross profit is primarily attributable to the increase in transactions and the decrease in gross margin is primarily attributable to the increase in direct operating costs driven by increased agent commissions for the three and nine months ended September 30, 2021 compared to the same periods in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Salaries and benefits expenses were $65.3 million for the three months ended September 30, 2021, an increase of $13.3 million or 25% compared to the same period in 2020. Salaries and benefits expenses were $188.5 million for the nine months ended September 30, 2021, an increase of $33.6 million or 22% compared to the same period in 2020. The increase in salaries and benefits was primarily driven by an increase in headcount to support the growth of the business and an increase in bonus expense. Foreign currency movements in the countries where we employ our workforce increased these expenses by $0.9 million and $6.7 million for the three and nine months ended September 30, 2021, respectively, compared to the same periods in 2020. As a percentage of revenues, these expenses increased to 18.5% and were flat at 18.2% for the three and nine months ended September 30, 2021, respectively, compared to 16.1% and 18.2% for the same periods in 2020,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expenses were $41.5 million for the three months ended September 30, 2021, an increase of $4.9 million or 13% compared to the same period in 2020. Selling, general and administrative expenses were $116.0 million for the nine months ended September 30, 2021, an increase of $7.6 million or 7% compared to the same period in 2020. The increase in these expenses is primarily driven by an increase in professional fees and travel related expenses. Foreign currency movements decreased these expenses by $0.1 million and increased these expenses by $4.9 million for the three and nine months ended September 30, 2021, respectively, compared to the same periods in 2020. As a percentage of revenues, these expenses increased to 11.8% and decreased to 11.2% for the three and nine months ended September 30, 2021, respectively, compared to 11.3% and 12.7% for the same periods in 2020,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economic impacts of the COVID-19 pandemic, the Company recorded an $82.7 million non-cash goodwill impairment charge related to the xe reporting unit during the second quarter of 2020. The non-cash goodwill impairment charge was recorded for xe as a result of declines in the international payments business stemming from economic uncertainty. During the third quarter of 2020, a $1.5 million non-cash acquired intangible asset impairment charge was recorded for xe on previously acquired customer relationship intangible assets due to the discontinuation of trading with certain customers during the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expenses were $8.9 million for the three months ended September 30, 2021, an increase of $0.3 million or 3% compared to the same period in 2020. Depreciation and amortization expenses were $26.9 million for the nine months ended September 30, 2021, an increase of $1.1 million or 4% compared to the same period in 2020. Depreciation and amortization primarily represents amortization of acquired intangible assets and depreciation of money transfer terminals, computers and software, leasehold improvements and office equipment. As a percentage of revenues, these expenses decreased to 2.5% and 2.6% for the three and nine months ended September 30, 2021, respectively, compared to 2.7% and 3.0% for the same periods in 2020, respectively.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Money Transfer Segment operating income was $37.5 million for the three months ended September 30, 2021, a decrease of $10.1 million or 21% compared to the same period in 2020. Money Transfer Segment operating income was $117.0 million for the nine months ended September 30, 2021, an increase of $102.3 million or 695% compared to the same period in 2020. Operating margin decreased to 10.6% and increased to 11.3% for the three and nine months ended September 30, 2021, respectively, compared to 14.7% and 1.7% for the same periods in 2020, respectively. Operating income per transaction decreased to $1.10 and increased to $1.18 for the three and nine months ended September 30, 2021, respectively, compared to $1.54 and $0.17 for the same periods in 2020, respectively. The decrease in operating income, operating margin and operating income per transaction for the three months ended September 30, 2021 compared to the same period in 2020 was primarily driven by the increase in agent commissions and increase in headcount to support the growth of the business. The increase in operating income, operating margin and operating income per transaction for the nine months ended September 30, 2021 compared to the same period in 2020 was primarily driven by the decrease in non-cash goodwill impairment charges, and an increase in transaction volume, specifically the higher margin transactions for U.S. outbound and international-originated money transfers, partially offset by the increase in agent commissions and increase in headcount to support the growth of the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nine months ended September 30, 2021 and 2020 for Corporate Services: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980" w:type="dxa"/>
            <w:vAlign w:val="bottom"/>
            <w:gridSpan w:val="3"/>
            <w:vMerge w:val="restart"/>
          </w:tcPr>
          <w:p>
            <w:pPr>
              <w:jc w:val="right"/>
              <w:ind w:right="258"/>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19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72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6"/>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37,043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28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1,681</w:t>
            </w:r>
          </w:p>
        </w:tc>
        <w:tc>
          <w:tcPr>
            <w:tcW w:w="22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4,587</w:t>
            </w:r>
          </w:p>
        </w:tc>
        <w:tc>
          <w:tcPr>
            <w:tcW w:w="2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6,032</w:t>
            </w:r>
          </w:p>
        </w:tc>
        <w:tc>
          <w:tcPr>
            <w:tcW w:w="1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12,167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9,964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2,203</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42,042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29,561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12,481</w:t>
            </w:r>
          </w:p>
        </w:tc>
        <w:tc>
          <w:tcPr>
            <w:tcW w:w="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Corporate operating expenses were $12.2 million and $42.0 million for the three and nine months ended September 30, 2021, respectively, an increase of $2.2 million or 22% and $12.5 million or 42%, respectively, compared to the same periods in 2020. The increases are primarily due to $1.8 million and $11.8 million increases in share based compensation for the three and nine months ended September 30, 2021, respectively, compared to the same periods in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960" w:type="dxa"/>
            <w:vAlign w:val="bottom"/>
            <w:gridSpan w:val="3"/>
            <w:vMerge w:val="restart"/>
          </w:tcPr>
          <w:p>
            <w:pPr>
              <w:jc w:val="right"/>
              <w:ind w:right="237"/>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1920" w:type="dxa"/>
            <w:vAlign w:val="bottom"/>
            <w:gridSpan w:val="2"/>
            <w:vMerge w:val="restart"/>
          </w:tcPr>
          <w:p>
            <w:pPr>
              <w:jc w:val="right"/>
              <w:ind w:right="19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61"/>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Increase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2"/>
                <w:szCs w:val="12"/>
                <w:color w:val="auto"/>
              </w:rPr>
            </w:pPr>
          </w:p>
        </w:tc>
        <w:tc>
          <w:tcPr>
            <w:tcW w:w="8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80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36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10%  $</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(10,072)</w:t>
            </w:r>
          </w:p>
        </w:tc>
        <w:tc>
          <w:tcPr>
            <w:tcW w:w="240" w:type="dxa"/>
            <w:vAlign w:val="bottom"/>
          </w:tcPr>
          <w:p>
            <w:pPr>
              <w:spacing w:after="0"/>
              <w:rPr>
                <w:sz w:val="23"/>
                <w:szCs w:val="2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(9,477)</w:t>
            </w:r>
          </w:p>
        </w:tc>
        <w:tc>
          <w:tcPr>
            <w:tcW w:w="1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(28,718)</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(27,594)</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(1,124)</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Foreign currency exchange loss, net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(8,135)</w:t>
            </w:r>
          </w:p>
        </w:tc>
        <w:tc>
          <w:tcPr>
            <w:tcW w:w="2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(12,051)</w:t>
            </w:r>
          </w:p>
        </w:tc>
        <w:tc>
          <w:tcPr>
            <w:tcW w:w="220" w:type="dxa"/>
            <w:vAlign w:val="bottom"/>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12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Arial" w:cs="Arial" w:eastAsia="Arial" w:hAnsi="Arial"/>
                <w:sz w:val="18"/>
                <w:szCs w:val="18"/>
                <w:color w:val="auto"/>
              </w:rPr>
              <w:t>Other gains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(18,054) $</w:t>
            </w:r>
          </w:p>
        </w:tc>
        <w:tc>
          <w:tcPr>
            <w:tcW w:w="9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(10,706) $</w:t>
            </w:r>
          </w:p>
        </w:tc>
        <w:tc>
          <w:tcPr>
            <w:tcW w:w="9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(7,348)</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center"/>
              <w:ind w:left="662"/>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8"/>
        </w:trPr>
        <w:tc>
          <w:tcPr>
            <w:tcW w:w="2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(40,199</w:t>
            </w:r>
          </w:p>
        </w:tc>
        <w:tc>
          <w:tcPr>
            <w:tcW w:w="22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(43,678</w:t>
            </w:r>
          </w:p>
        </w:tc>
        <w:tc>
          <w:tcPr>
            <w:tcW w:w="120" w:type="dxa"/>
            <w:vAlign w:val="bottom"/>
            <w:vMerge w:val="continue"/>
            <w:shd w:val="clear" w:color="auto" w:fill="CCEEFF"/>
          </w:tcPr>
          <w:p>
            <w:pPr>
              <w:spacing w:after="0"/>
              <w:rPr>
                <w:sz w:val="5"/>
                <w:szCs w:val="5"/>
                <w:color w:val="auto"/>
              </w:rPr>
            </w:pPr>
          </w:p>
        </w:tc>
        <w:tc>
          <w:tcPr>
            <w:tcW w:w="900" w:type="dxa"/>
            <w:vAlign w:val="bottom"/>
            <w:tcBorders>
              <w:right w:val="single" w:sz="8" w:color="CCEEFF"/>
            </w:tcBorders>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net foreign currency exchange loss of $8.1 million and $12.1 million for the three and nine months ended September 30, 2021, respectively, compared to a net foreign currency exchange loss of $1.4 million and $17.7 million for the same periods in 2020, respectively. These realized and unrealized foreign currency exchange losses reflect the fluctuation in the value of the U.S. dollar against the currencies of the countries in which we operated during the respective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effective income tax rate was 23.6% and 35.8% for the three and nine months ended September 30, 2021, respectively, compared to 27.2% and (55.9)% for the same periods in 2020, respectively. Our effective income tax rate for the three and nine months ended September </w:t>
      </w:r>
      <w:r>
        <w:rPr>
          <w:rFonts w:ascii="Arial" w:cs="Arial" w:eastAsia="Arial" w:hAnsi="Arial"/>
          <w:sz w:val="17"/>
          <w:szCs w:val="17"/>
          <w:color w:val="252525"/>
        </w:rPr>
        <w:t>30, 2021</w:t>
      </w:r>
      <w:r>
        <w:rPr>
          <w:rFonts w:ascii="Arial" w:cs="Arial" w:eastAsia="Arial" w:hAnsi="Arial"/>
          <w:sz w:val="17"/>
          <w:szCs w:val="17"/>
          <w:color w:val="auto"/>
        </w:rPr>
        <w:t xml:space="preserve"> was higher than the applicable statutory income tax rate of 21% as a result of certain foreign earnings being subject to higher local statutory tax rates, the non-recognition of tax benefits from losses in certain foreign countries where we have a limited history of profitable earnings and as a result of an increase in the valuation allowance in certain jurisdictions relating to the reversal of tax benefits recognized in the first quarter of 2021 for continuing net operating losses. Our effective income tax rate for the three and nine months ended September 30, 2020 was different than the applicable statutory income tax rate of 21% primarily due to the non-deductible goodwill impairment charge during the second quarter of 2020 and as a result of an increase in the valuation allowance in certain jurisdictions relating to the reversal of tax benefits recognized in the first quarter of 2020 for net operating losses in those jurisdictions which have a limited history of profitable earnings.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Segment - Country</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EFT - India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attributable to Euronet was $73.9 million for the three months ended September 30, 2021, an increase of $33.6 million or 84% compared to the same period in 2020. For the three months ended September 30, 2021, the increase in net income was primarily attributable to the $75.4 million increase in gross profit driven by an increase in transaction volumes, partially offset by a $17.8 million increase in salaries and benefits, a $9.1 million increase in selling, general and administrative expenses, a $7.7 million increase in income tax expense, a $6.8 million increase in net foreign currency exchange losses and an increase in other expenses aggregating $0.4 million.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attributable to Euronet was $73.9 million for the nine months ended September 30, 2021, an increase of $147.5 million or 200% compared to the net loss in the same period in 2020. For the nine months ended September 30, 2021, the increase in net income was primarily attributable to the $135.2 million increase in gross profit driven by an increase in transaction volumes, a $106.0 million decrease in non-cash goodwill and intangible assets impairment charges and a $5.6 million decrease in foreign currency exchange losses, partially offset by a $62.4 million increase in salaries and benefits, a $14.7 million increase in income tax expense, a $12.9 million increase in selling, general and administrative expenses, a $7.3 million increase in depreciation and amortization expenses and an increase in other expenses aggregating $2.0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2021, we had working capital of $1,395.5 million, which is calculated as the difference between total current assets and total current liabilities, compared to working capital of $1,510.5 million as of December 31, 2020. The decrease in working capital was primarily due to the $217.2 million decrease in the outstanding balance on the Credit Facility during the nine months ended September 30, 2021, partially offset by a $35.0 million increase in trade accounts receivable and a $34.7 million decrease in accrued expenses and other current liabilities. Our ratio of current assets to current liabilities was 1.85 and 1.81 at September 30, 2021 and December 31, 2020, respectively.</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September 30, 2021, we had $669.7 million of our own cash in use or designated for use in our ATM network, which is recorded in ATM cash on Euronet's Consolidated Balance Sheet. ATM cash increased $258.6 million from $411.1 million as of December 31, 2020 to $669.7 million as of September 30, 2021 as a result of the increase in the number of active ATMs as of September 30, 2021 compared to December 31, 2020.</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$1,048.5 million of unrestricted cash as of September 30, 2021 compared to $1,420.3 million as of December 31, 2020. The decrease in unrestricted cash was primarily due to the $217.2 million net repayment of the outstanding balance on the Credit Facility during the nine months ended September 30, 2021 and the $258.6 million increase in ATM cash as unrestricted cash was utilized to fill the additional active ATMs. Including the $669.7 million of cash in ATMs at September 30, 2021, the Company has access to $1,718.2 million in available cash, and $918.9 million available under the Credit Facility with no significant long-term debt principal payments until March 2025.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identifies cash and cash equivalents provided by/(used in) our operating, investing and financing activities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w:t>
      </w:r>
    </w:p>
    <w:p>
      <w:pPr>
        <w:spacing w:after="0" w:line="373"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4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304,340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220,416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(77,073)</w:t>
            </w:r>
          </w:p>
        </w:tc>
      </w:tr>
      <w:tr>
        <w:trPr>
          <w:trHeight w:val="263"/>
        </w:trPr>
        <w:tc>
          <w:tcPr>
            <w:tcW w:w="84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(216,291)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(244,069)</w:t>
            </w:r>
          </w:p>
        </w:tc>
      </w:tr>
      <w:tr>
        <w:trPr>
          <w:trHeight w:val="277"/>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(82,667)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32,042</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color w:val="auto"/>
              </w:rPr>
              <w:t>Decrease in cash and cash equivalents and restricted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(65,570)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(68,684)</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provided by operating activities were $304.3 million for the nine months ended September 30, 2021 compared to $220.4 million for the same period in 2020. The increase in operating cash flows was primarily due to the increase in net income and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Cash flows used in investing activities were $71.0 million for the nine months ended September 30, 2021 compared to $77.1 million for the same period in 2020. We used $66.1 million for purchases of property and equipment for the nine months ended September 30, 2021 compared to $71.4 million for the same period in 2020. Cash used for software development and other investing activities totaled $4.9 million and $5.7 million for the nine months ended September 30, 2021 and 2020,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flows used in financing activities were $216.3 million for the nine months ended September 30, 2021 compared to $244.1 million for the same period in 2020. Our borrowing activities for the nine months ended September 30, 2021 consisted of net cash outflows of $217.0 million compared to net cash outflows of $5.0 million for the same period in 2020. The increase in net cash outflows for the nine months ended September 30, 2021 compared to the same period in 2020 was the result of the net repayment of $217.2 million of the outstanding balance on the Credit Facility. We repurchased $1.0 million of common stock during the nine months ended September 30, 2021 compared to repurchases of $240.8 million for the same period in 2020. The $1.0 million of share repurchases during the nine months ended September 30, 2021 were in connection with the settlement of Restricted Stock Unit awards and the exercise of option awards in certain countries in which we operate. We received proceeds of $6.4 million and $6.6 million during the nine months ended September 30, 2021 and 2020, respectively, for the issuance of stock in connection with our Stock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In May 2021, an additional lender joined the Credit Facility which increased the revolving commitment by $30 million.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fees and interest on borrowings are based upon our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had $53.2 million of borrowings and $57.9 million of stand-by letters of credit outstanding under the Credit Facility. The remaining $918.9 million under the Credit Facility was available for borrowing.</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Senior Notes</w:t>
      </w:r>
      <w:r>
        <w:rPr>
          <w:rFonts w:ascii="Arial" w:cs="Arial" w:eastAsia="Arial" w:hAnsi="Arial"/>
          <w:sz w:val="16"/>
          <w:szCs w:val="16"/>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September 30, 2021, we have outstanding €600 million ($694.9 million) principal amount of the Senior Notes. In addition, we may redeem some or all of these notes on or after February 22, 2026 at their principal amount plus any accrued and unpaid interest.</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$1.1 million and $0.9 million outstanding under these other obligation arrangements as of September 30,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nine months ended September 30, 2021 were $66.1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2021 are currently estimated to range from approximately $100 million to $105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2021, there were no material changes from the disclosure in our Annual Report on Form 10-K for the year ended December 31, 2020. To date, we are not aware of any significant claims made by the indemnified parties or parties to whom we have provided guarantees on behalf of our subsidiaries and, accordingly, no liabilities have been recorded as of September 30, 2021. See also Note 14, Commitments, to the unaudited consolidated financial statements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there have been no material changes outside the ordinary course of business in our future contractual obligations from the amounts reported within our Annual Report on Form 10-K for the year ended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2021, our total debt outstanding, excluding unamortized debt issuance costs, was $1,213.3 million. Of this amount, $464.2 million, net of debt discounts, or 38%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September 30, 2021, the fair value of our fixed rate Convertible Notes was $603.1 million, compared to a carrying value of $464.2 million. Interest expense for the Convertible Notes, including accretion and amortization of deferred debt issuance costs, has a weighted average interest rate of 4.4% annually. Further, as of September 30, 2021 we had $53.2 million of borrowings, or 4% of our total debt obligations, under our Credit Facility. Additionally, $694.9 million, or 57% of our total debt obligations, relates to Senior Notes having a fixed coupon rate. Our €600 million outstanding principal amount of Senior Notes accrue cash interest at a rate of 1.375% of the principal amount per annum. Based on quoted market prices, as of September 30, 2021, the fair value of our fixed rate Senior Notes was $710.3 million, compared to a carrying value of $694.9 million. The remaining $1.1 million, or less than 1% of our total debt obligations, is related to borrowings by certain subsidiaries to fund, from time to time, working capital requirements. These arrangements generally are due within one year and accrue interest at variable rates.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2021, approximately 73% of our revenues were generated in non-U.S. dollar countries and we expect to continue generating a significant portion of our revenues in countries with currencies other than the U.S. dollar.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2021, we estimate that a 10% fluctuation in these foreign currency exchange rates would have the combined annualized effect on reported net income and working capital of approximately $155 million to $160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As of September 30, 2021, we estimate that a 10% fluctuation in foreign currency exchange rates would have a non-cash impact on total comprehensive income of approximately $115 million to $120 million as a result of the change in value of these items during translation to the U.S. dollar. For the fluctuations described above, a strengthening U.S. dollar produces a financial loss, while a weakening U.S. dollar produces a financial gain.</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September 30, 2021, we had foreign currency derivative contracts outstanding with a notional value of $275 million, primarily in Australian dollars, British pounds, Canadian dollars, euros and Mexican pesos, that were not designated as hedges and mature within a few days.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September 30, 2021, we held foreign currency derivative contracts outstanding with a notional value of $1.1 billion, primarily in U.S. dollars, euros, British pounds, Australian dollars and New Zealand dollars, that were not designated as hedges and for which the majority mature within the next twelve months.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September 30, 2021, the Company had foreign currency forward contracts outstanding with a notional value of $46 million, primarily in euros.</w:t>
      </w:r>
    </w:p>
    <w:p>
      <w:pPr>
        <w:spacing w:after="0" w:line="184" w:lineRule="exact"/>
        <w:rPr>
          <w:sz w:val="20"/>
          <w:szCs w:val="20"/>
          <w:color w:val="auto"/>
        </w:rPr>
      </w:pPr>
    </w:p>
    <w:p>
      <w:pPr>
        <w:ind w:left="5540" w:right="1240" w:hanging="5525"/>
        <w:spacing w:after="0" w:line="308" w:lineRule="auto"/>
        <w:rPr>
          <w:sz w:val="20"/>
          <w:szCs w:val="20"/>
          <w:color w:val="auto"/>
        </w:rPr>
      </w:pPr>
      <w:r>
        <w:rPr>
          <w:rFonts w:ascii="Arial" w:cs="Arial" w:eastAsia="Arial" w:hAnsi="Arial"/>
          <w:sz w:val="18"/>
          <w:szCs w:val="18"/>
          <w:color w:val="auto"/>
        </w:rPr>
        <w:t>See Note 10, Derivative Instruments and Hedging Activities, to our unaudited consolidated financial statements for additional information.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2021.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of 2021 that has materially affected, or is reasonably likely to materially affect, our internal control over financial reporting.</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15, Litigation and Contingencies, to the unaudited consolidated financial statements in this report is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52525"/>
        </w:rPr>
        <w:t xml:space="preserve">Except as otherwise described herein, there were no material changes to the risk factors previously disclosed in our Annual Report on Form 10-K for the year ended December 31, 2020, </w:t>
      </w:r>
      <w:r>
        <w:rPr>
          <w:rFonts w:ascii="Arial" w:cs="Arial" w:eastAsia="Arial" w:hAnsi="Arial"/>
          <w:sz w:val="18"/>
          <w:szCs w:val="18"/>
          <w:color w:val="000000"/>
        </w:rPr>
        <w:t>as filed with the SEC.</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provides information with respect to shares of the Company's common stock that were purchased by the Company during the three months ended September 30, 2021. There were no repurchases of common stock during the three months ended September 30, 2021.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136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Shares Purchased as</w:t>
            </w:r>
          </w:p>
        </w:tc>
        <w:tc>
          <w:tcPr>
            <w:tcW w:w="220" w:type="dxa"/>
            <w:vAlign w:val="bottom"/>
          </w:tcPr>
          <w:p>
            <w:pPr>
              <w:spacing w:after="0"/>
              <w:rPr>
                <w:sz w:val="12"/>
                <w:szCs w:val="12"/>
                <w:color w:val="auto"/>
              </w:rPr>
            </w:pPr>
          </w:p>
        </w:tc>
        <w:tc>
          <w:tcPr>
            <w:tcW w:w="13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Number of</w:t>
            </w:r>
          </w:p>
        </w:tc>
        <w:tc>
          <w:tcPr>
            <w:tcW w:w="13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Average Price Paid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580" w:type="dxa"/>
            <w:vAlign w:val="bottom"/>
            <w:gridSpan w:val="2"/>
          </w:tcPr>
          <w:p>
            <w:pPr>
              <w:jc w:val="center"/>
              <w:ind w:left="19"/>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Announced Plans or</w:t>
            </w:r>
          </w:p>
        </w:tc>
        <w:tc>
          <w:tcPr>
            <w:tcW w:w="158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3"/>
              </w:rPr>
              <w:t>Under the Programs</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20" w:type="dxa"/>
            <w:vAlign w:val="bottom"/>
          </w:tcPr>
          <w:p>
            <w:pPr>
              <w:spacing w:after="0"/>
              <w:rPr>
                <w:sz w:val="16"/>
                <w:szCs w:val="16"/>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July 31, 2021</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August 1 - August 31, 2021</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September 30, 2021</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8"/>
        <w:spacing w:after="0" w:line="263"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February 26, 2020, the Company put a repurchase program in place to repurchase up to $250 million in value, but not more than 5.0 million shares of common stock through February 28, 2022. Repurchases may take place in the open market or in privately negotiated transactions, including derivative transactions, and may be made under a Rule 10b5-1 plan.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0" w:type="dxa"/>
            <w:vAlign w:val="bottom"/>
            <w:tcBorders>
              <w:top w:val="single" w:sz="8" w:color="auto"/>
              <w:bottom w:val="single" w:sz="8" w:color="0000EE"/>
            </w:tcBorders>
            <w:gridSpan w:val="3"/>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Section 302 — Certification of Chief Executive Officer</w:t>
              </w:r>
            </w:hyperlink>
          </w:p>
        </w:tc>
        <w:tc>
          <w:tcPr>
            <w:tcW w:w="6080" w:type="dxa"/>
            <w:vAlign w:val="bottom"/>
            <w:tcBorders>
              <w:top w:val="single" w:sz="8" w:color="auto"/>
            </w:tcBorders>
          </w:tcPr>
          <w:p>
            <w:pPr>
              <w:spacing w:after="0"/>
              <w:rPr>
                <w:sz w:val="24"/>
                <w:szCs w:val="24"/>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Section 302</w:t>
              </w:r>
            </w:hyperlink>
          </w:p>
        </w:tc>
        <w:tc>
          <w:tcPr>
            <w:tcW w:w="9200" w:type="dxa"/>
            <w:vAlign w:val="bottom"/>
            <w:gridSpan w:val="3"/>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 Certification of Chief Financial Officer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Section 906</w:t>
              </w:r>
            </w:hyperlink>
          </w:p>
        </w:tc>
        <w:tc>
          <w:tcPr>
            <w:tcW w:w="3120" w:type="dxa"/>
            <w:vAlign w:val="bottom"/>
            <w:tcBorders>
              <w:bottom w:val="single" w:sz="8" w:color="0000EE"/>
            </w:tcBorders>
            <w:gridSpan w:val="2"/>
          </w:tcPr>
          <w:p>
            <w:pPr>
              <w:ind w:left="20"/>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 Certification of Chief Executive Officer</w:t>
              </w:r>
            </w:hyperlink>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Section 906</w:t>
              </w:r>
            </w:hyperlink>
          </w:p>
        </w:tc>
        <w:tc>
          <w:tcPr>
            <w:tcW w:w="9200" w:type="dxa"/>
            <w:vAlign w:val="bottom"/>
            <w:gridSpan w:val="3"/>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 Certification of Chief Financial Officer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7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7"/>
              </w:rPr>
              <w:t>The following materials from Euronet Worldwide, Inc.’s Quarterly Report on Form 10-Q for the quarter ended September 30, 2021,</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3"/>
              </w:rPr>
              <w:t>formatted in XBRL (eXtensible Business Reporting Language): (i) Consolidated Balance Sheets at September 30, 2021 (unaudited)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1"/>
              </w:rPr>
              <w:t>December 31, 2020, (ii) Consolidated Statements of Operations (unaudited) for the three and nine months ended September 30, 2021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4"/>
              </w:rPr>
              <w:t>2020, (iii) Consolidated Statements of Comprehensive Income (Loss) (unaudited) for the three and nine months ended September 30,</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6"/>
              </w:rPr>
              <w:t>2021 and 2020, (iv) Consolidated Statements of Changes in Equity (unaudited) for the three and nine months ended September 30,</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4"/>
              </w:rPr>
              <w:t>2021 and 2020 (v) Consolidated Statements of Cash Flows (unaudited) for the nine months ended September 30, 2021 and 2020, and</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(vi) Notes to the Unaudited Consolidated Financial Statements.</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Pr>
          <w:p>
            <w:pPr>
              <w:jc w:val="center"/>
              <w:spacing w:after="0"/>
              <w:rPr>
                <w:sz w:val="20"/>
                <w:szCs w:val="20"/>
                <w:color w:val="auto"/>
              </w:rPr>
            </w:pPr>
            <w:r>
              <w:rPr>
                <w:rFonts w:ascii="Arial" w:cs="Arial" w:eastAsia="Arial" w:hAnsi="Arial"/>
                <w:sz w:val="18"/>
                <w:szCs w:val="18"/>
                <w:color w:val="auto"/>
                <w:w w:val="96"/>
              </w:rPr>
              <w:t>/s/ MICHAEL J. BROWN</w:t>
            </w:r>
          </w:p>
        </w:tc>
      </w:tr>
      <w:tr>
        <w:trPr>
          <w:trHeight w:val="27"/>
        </w:trPr>
        <w:tc>
          <w:tcPr>
            <w:tcW w:w="76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Michael J. Brown</w:t>
            </w:r>
          </w:p>
        </w:tc>
      </w:tr>
      <w:tr>
        <w:trPr>
          <w:trHeight w:val="270"/>
        </w:trPr>
        <w:tc>
          <w:tcPr>
            <w:tcW w:w="760" w:type="dxa"/>
            <w:vAlign w:val="bottom"/>
          </w:tcPr>
          <w:p>
            <w:pPr>
              <w:spacing w:after="0"/>
              <w:rPr>
                <w:sz w:val="23"/>
                <w:szCs w:val="23"/>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81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7"/>
        </w:trPr>
        <w:tc>
          <w:tcPr>
            <w:tcW w:w="76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760" w:type="dxa"/>
            <w:vAlign w:val="bottom"/>
          </w:tcPr>
          <w:p>
            <w:pPr>
              <w:spacing w:after="0"/>
              <w:rPr>
                <w:sz w:val="23"/>
                <w:szCs w:val="23"/>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80"/>
          </w:cols>
          <w:pgMar w:left="320" w:top="125" w:right="12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1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4" w:lineRule="exact"/>
        <w:rPr>
          <w:rFonts w:ascii="Arial" w:cs="Arial" w:eastAsia="Arial" w:hAnsi="Arial"/>
          <w:sz w:val="18"/>
          <w:szCs w:val="18"/>
          <w:color w:val="auto"/>
        </w:rPr>
      </w:pPr>
    </w:p>
    <w:p>
      <w:pPr>
        <w:ind w:left="420" w:right="100" w:hanging="6"/>
        <w:spacing w:after="0" w:line="263" w:lineRule="auto"/>
        <w:tabs>
          <w:tab w:leader="none" w:pos="60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420" w:right="300" w:hanging="6"/>
        <w:spacing w:after="0" w:line="263" w:lineRule="auto"/>
        <w:tabs>
          <w:tab w:leader="none" w:pos="615"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420" w:right="980" w:hanging="6"/>
        <w:spacing w:after="0" w:line="342" w:lineRule="auto"/>
        <w:tabs>
          <w:tab w:leader="none" w:pos="605" w:val="left"/>
        </w:tabs>
        <w:numPr>
          <w:ilvl w:val="2"/>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420" w:right="60" w:hanging="6"/>
        <w:spacing w:after="0" w:line="263" w:lineRule="auto"/>
        <w:tabs>
          <w:tab w:leader="none" w:pos="615"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Arial" w:cs="Arial" w:eastAsia="Arial" w:hAnsi="Arial"/>
          <w:sz w:val="18"/>
          <w:szCs w:val="18"/>
          <w:color w:val="auto"/>
        </w:rPr>
      </w:pPr>
    </w:p>
    <w:p>
      <w:pPr>
        <w:ind w:firstLine="8"/>
        <w:spacing w:after="0" w:line="308"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420" w:right="380" w:hanging="6"/>
        <w:spacing w:after="0" w:line="277" w:lineRule="auto"/>
        <w:tabs>
          <w:tab w:leader="none" w:pos="60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400" w:right="360" w:firstLine="1"/>
        <w:spacing w:after="0" w:line="277" w:lineRule="auto"/>
        <w:tabs>
          <w:tab w:leader="none" w:pos="59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1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0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7"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hanging="7"/>
        <w:spacing w:after="0" w:line="277"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3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2021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2021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2021-10-28T15:46:11Z</dcterms:created>
  <dcterms:modified xsi:type="dcterms:W3CDTF">2021-10-28T15:46:11Z</dcterms:modified>
</cp:coreProperties>
</file>