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255270</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-175895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840" w:hanging="487"/>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87" w:lineRule="exact"/>
        <w:rPr>
          <w:sz w:val="24"/>
          <w:szCs w:val="24"/>
          <w:color w:val="auto"/>
        </w:rPr>
      </w:pPr>
    </w:p>
    <w:p>
      <w:pPr>
        <w:ind w:left="4280" w:right="1400" w:hanging="3912"/>
        <w:spacing w:after="0" w:line="510" w:lineRule="auto"/>
        <w:tabs>
          <w:tab w:leader="none" w:pos="839"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001-31648</w:t>
      </w:r>
    </w:p>
    <w:p>
      <w:pPr>
        <w:jc w:val="center"/>
        <w:ind w:right="-3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367"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9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(State or other jurisdiction</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of incorporation or organization)</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3"/>
              </w:rPr>
              <w:t>Identification No.)</w:t>
            </w:r>
          </w:p>
        </w:tc>
      </w:tr>
      <w:tr>
        <w:trPr>
          <w:trHeight w:val="54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3500 College Boulevard</w:t>
            </w:r>
          </w:p>
        </w:tc>
        <w:tc>
          <w:tcPr>
            <w:tcW w:w="3180" w:type="dxa"/>
            <w:vAlign w:val="bottom"/>
          </w:tcPr>
          <w:p>
            <w:pPr>
              <w:spacing w:after="0"/>
              <w:rPr>
                <w:sz w:val="24"/>
                <w:szCs w:val="24"/>
                <w:color w:val="auto"/>
              </w:rPr>
            </w:pPr>
          </w:p>
        </w:tc>
      </w:tr>
      <w:tr>
        <w:trPr>
          <w:trHeight w:val="270"/>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Leawood, Kansas</w:t>
            </w:r>
          </w:p>
        </w:tc>
        <w:tc>
          <w:tcPr>
            <w:tcW w:w="318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(Zip Code)</w:t>
            </w:r>
          </w:p>
        </w:tc>
      </w:tr>
    </w:tbl>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R No o</w:t>
      </w:r>
    </w:p>
    <w:p>
      <w:pPr>
        <w:spacing w:after="0" w:line="73"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R No o</w:t>
      </w:r>
    </w:p>
    <w:p>
      <w:pPr>
        <w:spacing w:after="0" w:line="73" w:lineRule="exact"/>
        <w:rPr>
          <w:sz w:val="24"/>
          <w:szCs w:val="24"/>
          <w:color w:val="auto"/>
        </w:rPr>
      </w:pPr>
    </w:p>
    <w:p>
      <w:pPr>
        <w:ind w:right="1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9" w:lineRule="exact"/>
        <w:rPr>
          <w:sz w:val="24"/>
          <w:szCs w:val="24"/>
          <w:color w:val="auto"/>
        </w:rPr>
      </w:pPr>
    </w:p>
    <w:p>
      <w:pPr>
        <w:ind w:left="2660" w:hanging="4410"/>
        <w:spacing w:after="0" w:line="340" w:lineRule="auto"/>
        <w:tabs>
          <w:tab w:leader="none" w:pos="2640" w:val="left"/>
        </w:tabs>
        <w:rPr>
          <w:sz w:val="20"/>
          <w:szCs w:val="20"/>
          <w:color w:val="auto"/>
        </w:rPr>
      </w:pPr>
      <w:r>
        <w:rPr>
          <w:rFonts w:ascii="Arial" w:cs="Arial" w:eastAsia="Arial" w:hAnsi="Arial"/>
          <w:sz w:val="18"/>
          <w:szCs w:val="18"/>
          <w:color w:val="auto"/>
        </w:rPr>
        <w:t>Large accelerated filer R</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6"/>
          <w:szCs w:val="16"/>
          <w:color w:val="auto"/>
        </w:rPr>
        <w:t>o</w:t>
      </w:r>
      <w:r>
        <w:rPr>
          <w:rFonts w:ascii="Arial" w:cs="Arial" w:eastAsia="Arial" w:hAnsi="Arial"/>
          <w:sz w:val="18"/>
          <w:szCs w:val="18"/>
          <w:color w:val="auto"/>
        </w:rPr>
        <w:t xml:space="preserve"> Non-accelerated filer o Smaller reporting company </w:t>
      </w:r>
      <w:r>
        <w:rPr>
          <w:rFonts w:ascii="Arial" w:cs="Arial" w:eastAsia="Arial" w:hAnsi="Arial"/>
          <w:sz w:val="16"/>
          <w:szCs w:val="16"/>
          <w:color w:val="auto"/>
        </w:rPr>
        <w:t>o</w:t>
      </w:r>
      <w:r>
        <w:rPr>
          <w:rFonts w:ascii="Arial" w:cs="Arial" w:eastAsia="Arial" w:hAnsi="Arial"/>
          <w:sz w:val="18"/>
          <w:szCs w:val="18"/>
          <w:color w:val="auto"/>
        </w:rPr>
        <w:t xml:space="preserve"> (Do not check if a smaller reporting company)</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R</w:t>
      </w:r>
    </w:p>
    <w:p>
      <w:pPr>
        <w:spacing w:after="0" w:line="3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issuer’s common stock, $0.02 par value, outstanding as of October 31, 2011 was 50,319,321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186690</wp:posOffset>
            </wp:positionV>
            <wp:extent cx="721233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2603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180" w:type="dxa"/>
            <w:vAlign w:val="bottom"/>
            <w:gridSpan w:val="13"/>
          </w:tcPr>
          <w:p>
            <w:pPr>
              <w:spacing w:after="0"/>
              <w:rPr>
                <w:sz w:val="20"/>
                <w:szCs w:val="20"/>
                <w:color w:val="auto"/>
              </w:rPr>
            </w:pPr>
            <w:r>
              <w:rPr>
                <w:rFonts w:ascii="Arial" w:cs="Arial" w:eastAsia="Arial" w:hAnsi="Arial"/>
                <w:sz w:val="18"/>
                <w:szCs w:val="18"/>
                <w:b w:val="1"/>
                <w:bCs w:val="1"/>
                <w:color w:val="auto"/>
              </w:rPr>
              <w:t>Table of Contents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10180" w:type="dxa"/>
            <w:vAlign w:val="bottom"/>
            <w:gridSpan w:val="13"/>
          </w:tcPr>
          <w:p>
            <w:pPr>
              <w:ind w:left="40"/>
              <w:spacing w:after="0"/>
              <w:rPr>
                <w:rFonts w:ascii="Arial" w:cs="Arial" w:eastAsia="Arial" w:hAnsi="Arial"/>
                <w:sz w:val="18"/>
                <w:szCs w:val="18"/>
                <w:color w:val="0000FF"/>
              </w:rPr>
            </w:pPr>
            <w:hyperlink w:anchor="page2">
              <w:r>
                <w:rPr>
                  <w:rFonts w:ascii="Arial" w:cs="Arial" w:eastAsia="Arial" w:hAnsi="Arial"/>
                  <w:sz w:val="18"/>
                  <w:szCs w:val="18"/>
                  <w:color w:val="0000FF"/>
                </w:rPr>
                <w:t>PART I—FINANCIAL INFORMATION</w:t>
              </w:r>
            </w:hyperlink>
          </w:p>
        </w:tc>
        <w:tc>
          <w:tcPr>
            <w:tcW w:w="1220" w:type="dxa"/>
            <w:vAlign w:val="bottom"/>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11"/>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ITEM 1. FINANCIAL STATEMENTS</w:t>
              </w:r>
            </w:hyperlink>
          </w:p>
        </w:tc>
        <w:tc>
          <w:tcPr>
            <w:tcW w:w="122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11"/>
          </w:tcPr>
          <w:p>
            <w:pPr>
              <w:spacing w:after="0"/>
              <w:rPr>
                <w:rFonts w:ascii="Arial" w:cs="Arial" w:eastAsia="Arial" w:hAnsi="Arial"/>
                <w:sz w:val="18"/>
                <w:szCs w:val="18"/>
                <w:b w:val="1"/>
                <w:bCs w:val="1"/>
                <w:color w:val="0000FF"/>
                <w:w w:val="99"/>
              </w:rPr>
            </w:pPr>
            <w:hyperlink w:anchor="page15">
              <w:r>
                <w:rPr>
                  <w:rFonts w:ascii="Arial" w:cs="Arial" w:eastAsia="Arial" w:hAnsi="Arial"/>
                  <w:sz w:val="18"/>
                  <w:szCs w:val="18"/>
                  <w:b w:val="1"/>
                  <w:bCs w:val="1"/>
                  <w:color w:val="0000FF"/>
                  <w:w w:val="99"/>
                </w:rPr>
                <w:t>ITEM 2. MANAGEMENT’S DISCUSSION AND ANALYSIS OF FINANCIAL CONDITION AND RESULTS OF OPERATIONS</w:t>
              </w:r>
            </w:hyperlink>
          </w:p>
        </w:tc>
        <w:tc>
          <w:tcPr>
            <w:tcW w:w="122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16</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60" w:type="dxa"/>
            <w:vAlign w:val="bottom"/>
            <w:gridSpan w:val="10"/>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3. QUANTITATIVE AND QUALITATIVE DISCLOSURES ABOUT MARKET RISK</w:t>
              </w:r>
            </w:hyperlink>
          </w:p>
        </w:tc>
        <w:tc>
          <w:tcPr>
            <w:tcW w:w="2840" w:type="dxa"/>
            <w:vAlign w:val="bottom"/>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60" w:type="dxa"/>
            <w:vAlign w:val="bottom"/>
            <w:gridSpan w:val="10"/>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4. CONTROLS AND PROCEDURES</w:t>
              </w:r>
            </w:hyperlink>
          </w:p>
        </w:tc>
        <w:tc>
          <w:tcPr>
            <w:tcW w:w="2840" w:type="dxa"/>
            <w:vAlign w:val="bottom"/>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180" w:type="dxa"/>
            <w:vAlign w:val="bottom"/>
            <w:gridSpan w:val="2"/>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180" w:type="dxa"/>
            <w:vAlign w:val="bottom"/>
            <w:gridSpan w:val="13"/>
          </w:tcPr>
          <w:p>
            <w:pPr>
              <w:ind w:left="40"/>
              <w:spacing w:after="0"/>
              <w:rPr>
                <w:rFonts w:ascii="Arial" w:cs="Arial" w:eastAsia="Arial" w:hAnsi="Arial"/>
                <w:sz w:val="18"/>
                <w:szCs w:val="18"/>
                <w:color w:val="0000FF"/>
              </w:rPr>
            </w:pPr>
            <w:hyperlink w:anchor="page34">
              <w:r>
                <w:rPr>
                  <w:rFonts w:ascii="Arial" w:cs="Arial" w:eastAsia="Arial" w:hAnsi="Arial"/>
                  <w:sz w:val="18"/>
                  <w:szCs w:val="18"/>
                  <w:color w:val="0000FF"/>
                </w:rPr>
                <w:t>PART II—OTHER INFORMATION</w:t>
              </w:r>
            </w:hyperlink>
          </w:p>
        </w:tc>
        <w:tc>
          <w:tcPr>
            <w:tcW w:w="122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00" w:type="dxa"/>
            <w:vAlign w:val="bottom"/>
            <w:gridSpan w:val="4"/>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ITEM 1. LEGAL PROCEEDINGS</w:t>
              </w:r>
            </w:hyperlink>
          </w:p>
        </w:tc>
        <w:tc>
          <w:tcPr>
            <w:tcW w:w="7300" w:type="dxa"/>
            <w:vAlign w:val="bottom"/>
            <w:gridSpan w:val="7"/>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gridSpan w:val="2"/>
          </w:tcPr>
          <w:p>
            <w:pPr>
              <w:spacing w:after="0"/>
              <w:rPr>
                <w:rFonts w:ascii="Arial" w:cs="Arial" w:eastAsia="Arial" w:hAnsi="Arial"/>
                <w:sz w:val="18"/>
                <w:szCs w:val="18"/>
                <w:b w:val="1"/>
                <w:bCs w:val="1"/>
                <w:color w:val="0000FF"/>
                <w:w w:val="99"/>
              </w:rPr>
            </w:pPr>
            <w:hyperlink w:anchor="page35">
              <w:r>
                <w:rPr>
                  <w:rFonts w:ascii="Arial" w:cs="Arial" w:eastAsia="Arial" w:hAnsi="Arial"/>
                  <w:sz w:val="18"/>
                  <w:szCs w:val="18"/>
                  <w:b w:val="1"/>
                  <w:bCs w:val="1"/>
                  <w:color w:val="0000FF"/>
                  <w:w w:val="99"/>
                </w:rPr>
                <w:t>ITEM 1A. RISK FACTORS</w:t>
              </w:r>
            </w:hyperlink>
          </w:p>
        </w:tc>
        <w:tc>
          <w:tcPr>
            <w:tcW w:w="540" w:type="dxa"/>
            <w:vAlign w:val="bottom"/>
            <w:gridSpan w:val="2"/>
          </w:tcPr>
          <w:p>
            <w:pPr>
              <w:spacing w:after="0"/>
              <w:rPr>
                <w:sz w:val="21"/>
                <w:szCs w:val="21"/>
                <w:color w:val="auto"/>
              </w:rPr>
            </w:pPr>
          </w:p>
        </w:tc>
        <w:tc>
          <w:tcPr>
            <w:tcW w:w="7300" w:type="dxa"/>
            <w:vAlign w:val="bottom"/>
            <w:gridSpan w:val="7"/>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11"/>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ITEM 2. UNREGISTERED SALES OF EQUITY SECURITIES AND USE OF PROCEEDS</w:t>
              </w:r>
            </w:hyperlink>
          </w:p>
        </w:tc>
        <w:tc>
          <w:tcPr>
            <w:tcW w:w="122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360" w:type="dxa"/>
            <w:vAlign w:val="bottom"/>
            <w:gridSpan w:val="4"/>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20" w:type="dxa"/>
            <w:vAlign w:val="bottom"/>
            <w:gridSpan w:val="5"/>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ITEM 5. OTHER INFORMATION</w:t>
              </w:r>
            </w:hyperlink>
          </w:p>
        </w:tc>
        <w:tc>
          <w:tcPr>
            <w:tcW w:w="4360" w:type="dxa"/>
            <w:vAlign w:val="bottom"/>
            <w:gridSpan w:val="4"/>
          </w:tcPr>
          <w:p>
            <w:pPr>
              <w:spacing w:after="0"/>
              <w:rPr>
                <w:sz w:val="21"/>
                <w:szCs w:val="21"/>
                <w:color w:val="auto"/>
              </w:rPr>
            </w:pPr>
          </w:p>
        </w:tc>
        <w:tc>
          <w:tcPr>
            <w:tcW w:w="2920" w:type="dxa"/>
            <w:vAlign w:val="bottom"/>
            <w:gridSpan w:val="2"/>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728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20" w:type="dxa"/>
            <w:vAlign w:val="bottom"/>
            <w:gridSpan w:val="5"/>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 6. EXHIBITS</w:t>
              </w:r>
            </w:hyperlink>
          </w:p>
        </w:tc>
        <w:tc>
          <w:tcPr>
            <w:tcW w:w="7280" w:type="dxa"/>
            <w:vAlign w:val="bottom"/>
            <w:gridSpan w:val="6"/>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EX-12.1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EX-31.1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EX-31.2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PRESENTATION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DEFINITION LINKBASE DOCUMENT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180,945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187,235</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89,665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108,717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97,225</w:t>
            </w:r>
          </w:p>
        </w:tc>
        <w:tc>
          <w:tcPr>
            <w:tcW w:w="0" w:type="dxa"/>
            <w:vAlign w:val="bottom"/>
          </w:tcPr>
          <w:p>
            <w:pPr>
              <w:spacing w:after="0"/>
              <w:rPr>
                <w:sz w:val="1"/>
                <w:szCs w:val="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1"/>
              </w:rPr>
              <w:t>Trade accounts receivable, net of allowances for doubtful accounts of $15,381 at September 30, 2011 and $14,924</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at December 31, 2010</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243,125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288,765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52,046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46,072</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649,086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728,014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Property and equipment, net of accumulated depreciation of $183,034 at September 30, 2011 and $166,094 at December</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31, 2010</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91,527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483,783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445,713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Acquired intangible assets, net of accumulated amortization of $125,097 at September 30, 2011 and $109,726 at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2010</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97,892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95,819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3"/>
              </w:rPr>
              <w:t>Other assets, net of accumulated amortization of $18,557 at September 30, 2011 and $20,805 at December 31, 2010</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58,150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48,299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1,382,263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1,409,372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263,850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324,466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218,006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8,877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13,177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10,775</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504,244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571,360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286,105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21,958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10,698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8,709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855,577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890,495</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Common Stock, $0.02 par value. 90,000,000 shares authorized; 51,844,857 issued at September 30, 2011 and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51,462,195 issued at December 31, 2010</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763,050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752,209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Treasury stock, at cost, 1,331,503 shares at September 30, 2011 and 482,839 shares at December 31, 2010</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(215,518)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(241,511)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reserve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520,288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512,611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526,686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518,877</w:t>
            </w:r>
          </w:p>
        </w:tc>
        <w:tc>
          <w:tcPr>
            <w:tcW w:w="0" w:type="dxa"/>
            <w:vAlign w:val="bottom"/>
          </w:tcPr>
          <w:p>
            <w:pPr>
              <w:spacing w:after="0"/>
              <w:rPr>
                <w:sz w:val="1"/>
                <w:szCs w:val="1"/>
                <w:color w:val="auto"/>
              </w:rPr>
            </w:pPr>
          </w:p>
        </w:tc>
      </w:tr>
      <w:tr>
        <w:trPr>
          <w:trHeight w:val="25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1,382,263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1,409,372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58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584"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6"/>
                <w:szCs w:val="16"/>
                <w:color w:val="auto"/>
              </w:rPr>
            </w:pPr>
          </w:p>
        </w:tc>
        <w:tc>
          <w:tcPr>
            <w:tcW w:w="24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240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35"/>
        </w:trPr>
        <w:tc>
          <w:tcPr>
            <w:tcW w:w="5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299,507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260,223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841,902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754,454</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190,534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167,439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536,810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494,136</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43,969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35,007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124,062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98,627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23,226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80,344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64,269</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14,824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14,289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44,547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42,389</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279,385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239,961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785,763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699,421</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20,262</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56,139</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55,033</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831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4,332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(15,059)</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Loss on early retirement of debt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exchange gain (loss),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0" w:type="dxa"/>
            <w:vAlign w:val="bottom"/>
          </w:tcPr>
          <w:p>
            <w:pPr>
              <w:spacing w:after="0"/>
              <w:rPr>
                <w:sz w:val="1"/>
                <w:szCs w:val="1"/>
                <w:color w:val="auto"/>
              </w:rPr>
            </w:pPr>
          </w:p>
        </w:tc>
      </w:tr>
      <w:tr>
        <w:trPr>
          <w:trHeight w:val="237"/>
        </w:trPr>
        <w:tc>
          <w:tcPr>
            <w:tcW w:w="5960" w:type="dxa"/>
            <w:vAlign w:val="bottom"/>
          </w:tcPr>
          <w:p>
            <w:pPr>
              <w:ind w:left="60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7,857</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(9,706)</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(14,423)</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28,119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46,433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40,610</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(7,054)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(17,185)</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Euronet Worldwide,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20,965</w:t>
            </w:r>
          </w:p>
        </w:tc>
        <w:tc>
          <w:tcPr>
            <w:tcW w:w="2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25,993</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22,308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per share attributable to Euronet Worldwide, Inc. stockholders —</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22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51,116,512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50,872,551</w:t>
            </w:r>
          </w:p>
        </w:tc>
        <w:tc>
          <w:tcPr>
            <w:tcW w:w="2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51,134,940</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50,862,725</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per share attributable to Euronet Worldwide, Inc. stockholders —</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22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3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51,116,512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51,539,150</w:t>
            </w:r>
          </w:p>
        </w:tc>
        <w:tc>
          <w:tcPr>
            <w:tcW w:w="2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51,897,498</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51,685,713</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gridSpan w:val="7"/>
          </w:tcPr>
          <w:p>
            <w:pPr>
              <w:ind w:left="2980"/>
              <w:spacing w:after="0"/>
              <w:rPr>
                <w:sz w:val="20"/>
                <w:szCs w:val="20"/>
                <w:color w:val="auto"/>
              </w:rPr>
            </w:pPr>
            <w:r>
              <w:rPr>
                <w:rFonts w:ascii="Arial" w:cs="Arial" w:eastAsia="Arial" w:hAnsi="Arial"/>
                <w:sz w:val="18"/>
                <w:szCs w:val="18"/>
                <w:color w:val="auto"/>
                <w:w w:val="94"/>
              </w:rPr>
              <w:t>See accompanying notes to the unaudited consolidated financial statements.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60" w:type="dxa"/>
            <w:vAlign w:val="bottom"/>
          </w:tcPr>
          <w:p>
            <w:pPr>
              <w:ind w:left="56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2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r>
      <w:tr>
        <w:trPr>
          <w:trHeight w:val="264"/>
        </w:trPr>
        <w:tc>
          <w:tcPr>
            <w:tcW w:w="59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21,065</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23,425</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Translation adjustment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50,448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(13,183)</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71,513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11,212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10,242</w:t>
            </w:r>
          </w:p>
        </w:tc>
      </w:tr>
      <w:tr>
        <w:trPr>
          <w:trHeight w:val="243"/>
        </w:trPr>
        <w:tc>
          <w:tcPr>
            <w:tcW w:w="5960" w:type="dxa"/>
            <w:vAlign w:val="bottom"/>
          </w:tcPr>
          <w:p>
            <w:pPr>
              <w:ind w:left="600"/>
              <w:spacing w:after="0"/>
              <w:rPr>
                <w:sz w:val="20"/>
                <w:szCs w:val="20"/>
                <w:color w:val="auto"/>
              </w:rPr>
            </w:pPr>
            <w:r>
              <w:rPr>
                <w:rFonts w:ascii="Arial" w:cs="Arial" w:eastAsia="Arial" w:hAnsi="Arial"/>
                <w:sz w:val="18"/>
                <w:szCs w:val="18"/>
                <w:color w:val="auto"/>
                <w:w w:val="98"/>
              </w:rPr>
              <w:t>Comprehensive (income) loss attributable to noncontrolling interests</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(loss) attributable to Euronet Worldwide,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70,740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10,182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9,584</w:t>
            </w: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2010</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42,389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6,659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(gain) loss,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Loss on early retirement of debt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dispute settlement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(3,433)</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Accretion of convertible debentures discount and amortization of debt issuance costs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6,561</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(25,481)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Inventory — PINs and other</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20,840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38,274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28,221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(9,373)</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(4,883)</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85,765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(21,075)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other long-term 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2,074</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(89,436)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(46,706)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shares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Repurchase of shares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247,475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(172,200)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(158,172)</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Payment of acquisition contingent consideration</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Cash dividends paid to noncontrolling interests stockholders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(1,676)</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8,729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(43,556)</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Decrease in cash and cash equivalents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187,235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183,528</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180,945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178,709</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 during the period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 paid during the period</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24,633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20,056</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53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53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3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Euronet Worldwide, Inc. and its subsidiaries (the “Company” or “Euronet”) is a leading global electronic payments provider. Euronet offers payment and transaction processing and distribution solutions to financial institutions, retailers, service providers and individual consumers. The Company's primary product offerings include: comprehensive automated teller machine (“ATM”), point-of-sale (“POS”) and card outsourcing services; electronic distribution of prepaid mobile airtime, other electronic payment products, vouchers and physical gifts; and global consumer money transfer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the financial position of the Company as of September 30, 2011, and the results of its operations for the three- and nine-month periods ended September 30, 2011 and 2010 and cash flows for the nine-month periods ended September 30, 2011 and 2010.</w:t>
      </w:r>
    </w:p>
    <w:p>
      <w:pPr>
        <w:spacing w:after="0" w:line="5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unaudited consolidated financial statements should be read in conjunction with the audited consolidated financial statements of Euronet for the year ended December 31, 2010, including the notes thereto, set forth in the Company’s 2010 Annual Report on Form 10-K.</w:t>
      </w:r>
    </w:p>
    <w:p>
      <w:pPr>
        <w:spacing w:after="0" w:line="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unaudited consolidated financial statements and accompanying notes. Actual results could differ from those estimates. The results of operations for the three- and nine-month periods ended September 30, 2011 are not necessarily indicative of the results to be expected for the full year ending December 31,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September 2011, the Financial Accounting Standards Board ("FASB") issued Accounting Standards Update ("ASU") 2011-08, </w:t>
      </w:r>
      <w:r>
        <w:rPr>
          <w:rFonts w:ascii="Arial" w:cs="Arial" w:eastAsia="Arial" w:hAnsi="Arial"/>
          <w:sz w:val="17"/>
          <w:szCs w:val="17"/>
          <w:i w:val="1"/>
          <w:iCs w:val="1"/>
          <w:color w:val="auto"/>
        </w:rPr>
        <w:t>Intangibles - 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Other (Topic 350): Testing Goodwill for Impairment</w:t>
      </w:r>
      <w:r>
        <w:rPr>
          <w:rFonts w:ascii="Arial" w:cs="Arial" w:eastAsia="Arial" w:hAnsi="Arial"/>
          <w:sz w:val="17"/>
          <w:szCs w:val="17"/>
          <w:color w:val="auto"/>
        </w:rPr>
        <w:t>. ASU 2011-08 permits an entity to make a qualitative assessment of whether it is more likely than not</w:t>
      </w:r>
      <w:r>
        <w:rPr>
          <w:rFonts w:ascii="Arial" w:cs="Arial" w:eastAsia="Arial" w:hAnsi="Arial"/>
          <w:sz w:val="17"/>
          <w:szCs w:val="17"/>
          <w:i w:val="1"/>
          <w:iCs w:val="1"/>
          <w:color w:val="auto"/>
        </w:rPr>
        <w:t xml:space="preserve"> </w:t>
      </w:r>
      <w:r>
        <w:rPr>
          <w:rFonts w:ascii="Arial" w:cs="Arial" w:eastAsia="Arial" w:hAnsi="Arial"/>
          <w:sz w:val="17"/>
          <w:szCs w:val="17"/>
          <w:color w:val="auto"/>
        </w:rPr>
        <w:t>that a reporting unit's fair value is less than its carrying amount before applying the two-step goodwill impairment test. If an entity concludes that it is not more likely than not that the fair value of a reporting unit is less than its carrying amount, it would not be required to perform the two-step impairment test for that reporting unit. The qualitative assessment is applicable to the annual test of goodwill impairment as well as determining if an interim test of goodwill impairment is necessary. ASU 2011-08 is effective for public entities for fiscal years beginning after December 15, 2011 with early adoption permitted. The adoption of ASU 2011-08 is not expected to materially affect the Company's financial statements.</w:t>
      </w:r>
    </w:p>
    <w:p>
      <w:pPr>
        <w:spacing w:after="0" w:line="17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June 2011, the FASB issued ASU 2011-05, </w:t>
      </w:r>
      <w:r>
        <w:rPr>
          <w:rFonts w:ascii="Arial" w:cs="Arial" w:eastAsia="Arial" w:hAnsi="Arial"/>
          <w:sz w:val="16"/>
          <w:szCs w:val="16"/>
          <w:i w:val="1"/>
          <w:iCs w:val="1"/>
          <w:color w:val="auto"/>
        </w:rPr>
        <w:t>Comprehensive Income (Topic 220): Presentation of Comprehensive Income</w:t>
      </w:r>
      <w:r>
        <w:rPr>
          <w:rFonts w:ascii="Arial" w:cs="Arial" w:eastAsia="Arial" w:hAnsi="Arial"/>
          <w:sz w:val="16"/>
          <w:szCs w:val="16"/>
          <w:color w:val="auto"/>
        </w:rPr>
        <w:t>. Under ASU 2011-05, an entity has the option to present the total of comprehensive income, the components of net income, and the components of other comprehensive income either in a single continuous statement of comprehensive income or in two separate but consecutive statements. ASU 2011-05 eliminates the option to present the components of other comprehensive income as part of the statement of changes in stockholders’ equity. Finally, ASU 2011-05 requires an entity to present reclassification adjustments on the face of the financial statements from other comprehensive income to net income. The requirements apply to both annual and interim financial statements and should be applied retrospectively. ASU 2011-05 is effective for public entities for fiscal years beginning after December 15, 2011 with early adoption permitted. The adoption of ASU 2011-05 is not expected to materially affect the Company's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 transfer settlement obligations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Money transfer settlement obligations are recorded in accrued expenses and other current liabilities on the Company’s unaudited Consolidated Balance Sheets and consist of amounts owed by the Company to money transfer recipients. As of September 30, 2011, the Company’s money transfer settlement obligations were $35.0 million.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any potential dilution of the assumed conversion of the Company’s convertible debentures, shares issuable in connection with acquisition obligations, restricted stock and options to purchase the Company’s common stock. The following table provides the computation of diluted weighted average number of common shares outstanding:</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960" w:type="dxa"/>
            <w:vAlign w:val="bottom"/>
          </w:tcPr>
          <w:p>
            <w:pPr>
              <w:spacing w:after="0"/>
              <w:rPr>
                <w:sz w:val="24"/>
                <w:szCs w:val="24"/>
                <w:color w:val="auto"/>
              </w:rPr>
            </w:pPr>
          </w:p>
        </w:tc>
        <w:tc>
          <w:tcPr>
            <w:tcW w:w="2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2600" w:type="dxa"/>
            <w:vAlign w:val="bottom"/>
            <w:gridSpan w:val="3"/>
          </w:tcPr>
          <w:p>
            <w:pPr>
              <w:jc w:val="right"/>
              <w:ind w:right="754"/>
              <w:spacing w:after="0"/>
              <w:rPr>
                <w:sz w:val="20"/>
                <w:szCs w:val="20"/>
                <w:color w:val="auto"/>
              </w:rPr>
            </w:pPr>
            <w:r>
              <w:rPr>
                <w:rFonts w:ascii="Arial" w:cs="Arial" w:eastAsia="Arial" w:hAnsi="Arial"/>
                <w:sz w:val="14"/>
                <w:szCs w:val="14"/>
                <w:b w:val="1"/>
                <w:bCs w:val="1"/>
                <w:color w:val="auto"/>
              </w:rPr>
              <w:t>September 30,</w:t>
            </w:r>
          </w:p>
        </w:tc>
      </w:tr>
      <w:tr>
        <w:trPr>
          <w:trHeight w:val="263"/>
        </w:trPr>
        <w:tc>
          <w:tcPr>
            <w:tcW w:w="596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51,116,512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50,872,551</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51,134,940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50,862,725</w:t>
            </w:r>
          </w:p>
        </w:tc>
      </w:tr>
      <w:tr>
        <w:trPr>
          <w:trHeight w:val="229"/>
        </w:trPr>
        <w:tc>
          <w:tcPr>
            <w:tcW w:w="5960" w:type="dxa"/>
            <w:vAlign w:val="bottom"/>
          </w:tcPr>
          <w:p>
            <w:pPr>
              <w:ind w:left="180"/>
              <w:spacing w:after="0"/>
              <w:rPr>
                <w:sz w:val="20"/>
                <w:szCs w:val="20"/>
                <w:color w:val="auto"/>
              </w:rPr>
            </w:pPr>
            <w:r>
              <w:rPr>
                <w:rFonts w:ascii="Arial" w:cs="Arial" w:eastAsia="Arial" w:hAnsi="Arial"/>
                <w:sz w:val="18"/>
                <w:szCs w:val="18"/>
                <w:color w:val="auto"/>
                <w:w w:val="94"/>
              </w:rPr>
              <w:t>Incremental shares from assumed conversion of stock options and restricted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stock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666,599</w:t>
            </w: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762,558</w:t>
            </w: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822,988</w:t>
            </w:r>
          </w:p>
        </w:tc>
      </w:tr>
      <w:tr>
        <w:trPr>
          <w:trHeight w:val="27"/>
        </w:trPr>
        <w:tc>
          <w:tcPr>
            <w:tcW w:w="5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51,116,512</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51,539,150</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51,897,498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51,685,713</w:t>
            </w: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table includes all stock options and restricted stock that are dilutive to Euronet’s weighted average common shares outstanding during the period. For the three months ended September 30, 2011, the Company incurred a net loss; therefore, diluted loss per share is the same as basic loss per share for the period. The calculation of diluted earnings (loss) per share excludes stock options or shares of restricted stock that are anti-dilutive to the Company’s weighted average common shares outstanding of approximately 5,140,000 and 1,749,000 for the three- and nine-month periods ended September 30, 2011, respectively, and of approximately 2,360,000 and 2,350,000 for the three- and nine-month periods ended September 30, 2010, respectively.</w:t>
      </w:r>
    </w:p>
    <w:p>
      <w:pPr>
        <w:spacing w:after="0" w:line="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The Company has convertible debentures that, if converted, would have a potentially dilutive effect on the Company’s stock. As required by Accounting Standards Codification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The Company’s outstanding 3.50% debentures are convertible into 4.2 million shares of common stock only upon the occurrence of certain conditions. Under the if-converted method, the assumed conversion of the 3.50% debentures was anti-dilutive for the three- and nine-month periods ended September 30, 2011 and 2010. The Company’s remaining 1.625% convertible debentures outstanding were repurchased in January 2010 and the assumed conversion of the then-outstanding debentures was anti-dilutive for the nine-month period ended September 30,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Effective September 16, 2011, the Company acquired all the common stock of cadooz Holding GmbH and its wholly owned operating subsidiaries ("cadooz"), which added additional product offerings to the Company's epay operations in Europe. The purchase price of approximately $54.7 million was paid from cash on hand. Part of the net assets acquired includes a liability for additional purchase price consideration based upon the level of revenue achieved by one of cadooz's subsidiaries for the three-year period ending in February 2014. Additionally, $4.1 million in cash is being held in escrow to secure certain obligations of the sellers under the Sale and Purchase Agreement. The valuation of cadooz's net assets acquired remains preliminary while management completes its valuation, particularly the valuation of acquired intangible assets and the valuation of deferred revenue, which is a significant aspect of cadooz's business. In the second quarter of 2011, the Company also acquired the net assets of a Canada-based check-cashing company for approximately $3.4 million in cash.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fair values of the acquired net assets at the respective acquisition dates: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 in thousands)</w:t>
            </w:r>
          </w:p>
        </w:tc>
        <w:tc>
          <w:tcPr>
            <w:tcW w:w="4680" w:type="dxa"/>
            <w:vAlign w:val="bottom"/>
            <w:tcBorders>
              <w:bottom w:val="single" w:sz="8" w:color="auto"/>
            </w:tcBorders>
          </w:tcPr>
          <w:p>
            <w:pPr>
              <w:jc w:val="center"/>
              <w:ind w:left="2893"/>
              <w:spacing w:after="0"/>
              <w:rPr>
                <w:sz w:val="20"/>
                <w:szCs w:val="20"/>
                <w:color w:val="auto"/>
              </w:rPr>
            </w:pPr>
            <w:r>
              <w:rPr>
                <w:rFonts w:ascii="Arial" w:cs="Arial" w:eastAsia="Arial" w:hAnsi="Arial"/>
                <w:sz w:val="14"/>
                <w:szCs w:val="14"/>
                <w:b w:val="1"/>
                <w:bCs w:val="1"/>
                <w:color w:val="auto"/>
                <w:w w:val="94"/>
              </w:rPr>
              <w:t>Estimated Life</w:t>
            </w:r>
          </w:p>
        </w:tc>
        <w:tc>
          <w:tcPr>
            <w:tcW w:w="3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50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31,062</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5040" w:type="dxa"/>
            <w:vAlign w:val="bottom"/>
            <w:gridSpan w:val="2"/>
          </w:tcPr>
          <w:p>
            <w:pPr>
              <w:jc w:val="center"/>
              <w:ind w:left="2553"/>
              <w:spacing w:after="0"/>
              <w:rPr>
                <w:sz w:val="20"/>
                <w:szCs w:val="20"/>
                <w:color w:val="auto"/>
              </w:rPr>
            </w:pPr>
            <w:r>
              <w:rPr>
                <w:rFonts w:ascii="Arial" w:cs="Arial" w:eastAsia="Arial" w:hAnsi="Arial"/>
                <w:sz w:val="18"/>
                <w:szCs w:val="18"/>
                <w:color w:val="auto"/>
                <w:w w:val="89"/>
              </w:rPr>
              <w:t>3-14 years</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942</w:t>
            </w:r>
          </w:p>
        </w:tc>
      </w:tr>
      <w:tr>
        <w:trPr>
          <w:trHeight w:val="27"/>
        </w:trPr>
        <w:tc>
          <w:tcPr>
            <w:tcW w:w="54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5040" w:type="dxa"/>
            <w:vAlign w:val="bottom"/>
            <w:tcBorders>
              <w:bottom w:val="single" w:sz="8" w:color="CCEEFF"/>
            </w:tcBorders>
            <w:gridSpan w:val="2"/>
            <w:shd w:val="clear" w:color="auto" w:fill="CCEEFF"/>
          </w:tcPr>
          <w:p>
            <w:pPr>
              <w:jc w:val="center"/>
              <w:ind w:left="2553"/>
              <w:spacing w:after="0"/>
              <w:rPr>
                <w:sz w:val="20"/>
                <w:szCs w:val="20"/>
                <w:color w:val="auto"/>
              </w:rPr>
            </w:pPr>
            <w:r>
              <w:rPr>
                <w:rFonts w:ascii="Arial" w:cs="Arial" w:eastAsia="Arial" w:hAnsi="Arial"/>
                <w:sz w:val="18"/>
                <w:szCs w:val="18"/>
                <w:color w:val="auto"/>
                <w:w w:val="88"/>
              </w:rPr>
              <w:t>8 -12 years</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16,826</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Trademarks and trade names</w:t>
            </w:r>
          </w:p>
        </w:tc>
        <w:tc>
          <w:tcPr>
            <w:tcW w:w="5040" w:type="dxa"/>
            <w:vAlign w:val="bottom"/>
            <w:gridSpan w:val="2"/>
          </w:tcPr>
          <w:p>
            <w:pPr>
              <w:jc w:val="center"/>
              <w:ind w:left="2533"/>
              <w:spacing w:after="0"/>
              <w:rPr>
                <w:sz w:val="20"/>
                <w:szCs w:val="20"/>
                <w:color w:val="auto"/>
              </w:rPr>
            </w:pPr>
            <w:r>
              <w:rPr>
                <w:rFonts w:ascii="Arial" w:cs="Arial" w:eastAsia="Arial" w:hAnsi="Arial"/>
                <w:sz w:val="18"/>
                <w:szCs w:val="18"/>
                <w:color w:val="auto"/>
                <w:w w:val="89"/>
              </w:rPr>
              <w:t>10 - 20 years</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2,512</w:t>
            </w:r>
          </w:p>
        </w:tc>
      </w:tr>
      <w:tr>
        <w:trPr>
          <w:trHeight w:val="27"/>
        </w:trPr>
        <w:tc>
          <w:tcPr>
            <w:tcW w:w="54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5040" w:type="dxa"/>
            <w:vAlign w:val="bottom"/>
            <w:tcBorders>
              <w:bottom w:val="single" w:sz="8" w:color="CCEEFF"/>
            </w:tcBorders>
            <w:gridSpan w:val="2"/>
            <w:shd w:val="clear" w:color="auto" w:fill="CCEEFF"/>
          </w:tcPr>
          <w:p>
            <w:pPr>
              <w:jc w:val="center"/>
              <w:ind w:left="2553"/>
              <w:spacing w:after="0"/>
              <w:rPr>
                <w:sz w:val="20"/>
                <w:szCs w:val="20"/>
                <w:color w:val="auto"/>
              </w:rPr>
            </w:pPr>
            <w:r>
              <w:rPr>
                <w:rFonts w:ascii="Arial" w:cs="Arial" w:eastAsia="Arial" w:hAnsi="Arial"/>
                <w:sz w:val="18"/>
                <w:szCs w:val="18"/>
                <w:color w:val="auto"/>
                <w:w w:val="88"/>
              </w:rPr>
              <w:t>3 years</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Goodwill</w:t>
            </w:r>
          </w:p>
        </w:tc>
        <w:tc>
          <w:tcPr>
            <w:tcW w:w="5040" w:type="dxa"/>
            <w:vAlign w:val="bottom"/>
            <w:gridSpan w:val="2"/>
          </w:tcPr>
          <w:p>
            <w:pPr>
              <w:jc w:val="center"/>
              <w:ind w:left="2533"/>
              <w:spacing w:after="0"/>
              <w:rPr>
                <w:sz w:val="20"/>
                <w:szCs w:val="20"/>
                <w:color w:val="auto"/>
              </w:rPr>
            </w:pPr>
            <w:r>
              <w:rPr>
                <w:rFonts w:ascii="Arial" w:cs="Arial" w:eastAsia="Arial" w:hAnsi="Arial"/>
                <w:sz w:val="18"/>
                <w:szCs w:val="18"/>
                <w:color w:val="auto"/>
                <w:w w:val="95"/>
              </w:rPr>
              <w:t>Indefinite</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43,080</w:t>
            </w:r>
          </w:p>
        </w:tc>
      </w:tr>
      <w:tr>
        <w:trPr>
          <w:trHeight w:val="27"/>
        </w:trPr>
        <w:tc>
          <w:tcPr>
            <w:tcW w:w="54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6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37"/>
        </w:trPr>
        <w:tc>
          <w:tcPr>
            <w:tcW w:w="5480" w:type="dxa"/>
            <w:vAlign w:val="bottom"/>
          </w:tcPr>
          <w:p>
            <w:pPr>
              <w:ind w:left="180"/>
              <w:spacing w:after="0"/>
              <w:rPr>
                <w:sz w:val="20"/>
                <w:szCs w:val="20"/>
                <w:color w:val="auto"/>
              </w:rPr>
            </w:pPr>
            <w:r>
              <w:rPr>
                <w:rFonts w:ascii="Arial" w:cs="Arial" w:eastAsia="Arial" w:hAnsi="Arial"/>
                <w:sz w:val="18"/>
                <w:szCs w:val="18"/>
                <w:color w:val="auto"/>
              </w:rPr>
              <w:t>Fair value of net assets</w:t>
            </w:r>
          </w:p>
        </w:tc>
        <w:tc>
          <w:tcPr>
            <w:tcW w:w="46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94,869</w:t>
            </w:r>
          </w:p>
        </w:tc>
      </w:tr>
      <w:tr>
        <w:trPr>
          <w:trHeight w:val="27"/>
        </w:trPr>
        <w:tc>
          <w:tcPr>
            <w:tcW w:w="54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(29,859)</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Deferred income tax liability</w:t>
            </w:r>
          </w:p>
        </w:tc>
        <w:tc>
          <w:tcPr>
            <w:tcW w:w="4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(5,435)</w:t>
            </w:r>
          </w:p>
        </w:tc>
      </w:tr>
      <w:tr>
        <w:trPr>
          <w:trHeight w:val="27"/>
        </w:trPr>
        <w:tc>
          <w:tcPr>
            <w:tcW w:w="54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46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46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58,059</w:t>
            </w:r>
          </w:p>
        </w:tc>
      </w:tr>
      <w:tr>
        <w:trPr>
          <w:trHeight w:val="20"/>
        </w:trPr>
        <w:tc>
          <w:tcPr>
            <w:tcW w:w="54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dispute settlement</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third quarter of 2010, the Company reached a settlement regarding a dispute with the sellers of Ria Envia, Inc. (“Ria”). The Company received 226,634 shares of Euronet stock that had been held in escrow related to the Ria acquisition. The $3.5 million fair value of the shares on the date of settlement was recorded as an addition to treasury stock and $3.1 million, net of settlement costs, was recorded as a non-operating gain.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nine-month period ended September 30, 2011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95,819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445,713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541,532</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19,728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62,808</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(16,318)</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(6,347)</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Balance as of September 30, 2011</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97,892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483,783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581,675</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Estimated annual amortization expense on intangible assets with finite lives, before income taxes, as of September 30, 2011, is expected to total $18.0 million for 2011, $18.3 million for 2012, $13.7 million for 2013, $11.0 million for 2014, $5.8 million for 2015 and $4.2 million for 2016.</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annual goodwill impairment test is performed during the fourth quarter. The Company’s annual impairment test for the year ended December 31, 2010 resulted in the Company recording an estimated non-cash goodwill impairment charge of $70.9 million in the fourth quarter of 2010 related to its epay reporting units in the U.K., Spain and Romania. Determining the fair value of reporting units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additional material non-cash impairment charges during the year in which these changes take place.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nine-month period ended September 30, 2011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Revolving</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 Debt</w:t>
            </w:r>
          </w:p>
        </w:tc>
        <w:tc>
          <w:tcPr>
            <w:tcW w:w="220" w:type="dxa"/>
            <w:vAlign w:val="bottom"/>
          </w:tcPr>
          <w:p>
            <w:pPr>
              <w:spacing w:after="0"/>
              <w:rPr>
                <w:sz w:val="12"/>
                <w:szCs w:val="12"/>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Credit</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Debentures</w:t>
            </w:r>
          </w:p>
        </w:tc>
        <w:tc>
          <w:tcPr>
            <w:tcW w:w="140" w:type="dxa"/>
            <w:vAlign w:val="bottom"/>
          </w:tcPr>
          <w:p>
            <w:pPr>
              <w:spacing w:after="0"/>
              <w:rPr>
                <w:sz w:val="12"/>
                <w:szCs w:val="12"/>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5"/>
              </w:rPr>
              <w:t>Term Loans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Facilities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Due 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161,005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293,404</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additions (repayments)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75,275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22,747</w:t>
            </w:r>
          </w:p>
        </w:tc>
        <w:tc>
          <w:tcPr>
            <w:tcW w:w="0" w:type="dxa"/>
            <w:vAlign w:val="bottom"/>
          </w:tcPr>
          <w:p>
            <w:pPr>
              <w:spacing w:after="0"/>
              <w:rPr>
                <w:sz w:val="1"/>
                <w:szCs w:val="1"/>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Accretion</w:t>
            </w:r>
          </w:p>
        </w:tc>
        <w:tc>
          <w:tcPr>
            <w:tcW w:w="1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5,670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lease interest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Foreign currency exchange loss</w:t>
            </w:r>
          </w:p>
        </w:tc>
        <w:tc>
          <w:tcPr>
            <w:tcW w:w="1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September 30, 2011</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75,275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163,282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322,431</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Less — current maturities</w:t>
            </w:r>
          </w:p>
        </w:tc>
        <w:tc>
          <w:tcPr>
            <w:tcW w:w="1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obligations at September 30, 2011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75,275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163,282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76,000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316,218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August 18, 2011, the Company and certain of its subsidiaries entered into an Amended and Restated Credit Agreement (the "Credit Agreement") with a lending syndicate consisting of nine banks (the "Lenders") with Bank of America, N.A. serving as Administrative Agent and Collateral Agent and U.S. Bank National Association serving as Syndication Agent. Under the Credit Agreement, the Lenders have made available a $355 million senior secured credit facility (the "Credit Facility") consisting of a $265 million five-year revolving credit facility, a $10 million five-year India revolving credit facility and an $80 million five-year term loan which was fully drawn at closing. The revolving credit facility allows for borrowings in U.S. dollars, euro, British pound sterling, Australian dollars and/or Indian rupees. The Credit Agreement amends and extends the credit agreement dated as of April 4, 2007 and all subsequent amendments thereto, which consisted of a $100 million revolving line of credit and $126 million outstanding term loan maturing April 2012 and 2014, respectively.</w:t>
      </w:r>
    </w:p>
    <w:p>
      <w:pPr>
        <w:spacing w:after="0" w:line="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$265 million revolving credit facility contains a $200 million sublimit for the issuance of letters of credit and a $25 million sublimit for swingline loans. Subject to certain conditions, the Company has the option to increase the Credit Facility by up to an additional $205 million by requesting additional commitments from existing or new lenders. Fees and interest on borrowings vary based upon the Company's consolidated total leverage ratio (as defined in the Credit Agreement) and will be based, in the case of letter of credit fees, on a margin, and in the case of interest, on a margin over London Inter-Bank Offered Rate (“LIBOR”) or a margin over the base rate, as selected by the Company, with the applicable margin ranging from 1.5% to 2.5% (or 0.5% to 1.5% for base rate loans). The base rate is the highest of (i) the Bank of America prime rate, (ii) the Federal Funds rate plus 0.50% or (iii) the Fixed LIBOR rate plus 1.00%. The term loan is subject to scheduled quarterly amortization payments, as set forth in the Credit Agreement. The maturity date for the Credit Facility is five years from the closing date, at which time the outstanding principal balance and all accrued interest will be due and payable in full. The weighted average interest rate of the Company's borrowings was 3.0% under the revolving credit facility and 2.2% under the term loan as of September 30, 2011. Financing costs of $3.8 million have been deferred and are being amortized over the terms of the respective loans and $1.7 million were written off and included in loss on early retirement of debt in the Unaudited Consolidated Statement of Operations.</w:t>
      </w:r>
    </w:p>
    <w:p>
      <w:pPr>
        <w:spacing w:after="0" w:line="6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Credit Agreement contains customary affirmative and negative covenants, events of default and financial covenants, including (all as defined in the Credit Agreement): (i) a Consolidated Total Leverage Ratio not to exceed 4.0 to 1.0; (ii) a Consolidated Senior Secured Leverage Ratio not to exceed 3.0 to 1.0; and (iii) a Consolidated Fixed Charge Coverage Ratio of not less than 1.5 to 1.0. Subject to meeting certain leverage ratio and liquidity requirements (as defined in the Credit Agreement), the Company is permitted to pay dividends, repurchase common stock and repurchase subordinated debt.</w:t>
      </w:r>
    </w:p>
    <w:p>
      <w:pPr>
        <w:spacing w:after="0" w:line="4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Company and certain subsidiaries have guaranteed the repayment of obligations under the Credit Facility and have granted pledges of the shares of certain subsidiaries along with a security interest in certain other personal property collateral of the Company and certain subsidiaries.</w:t>
      </w:r>
    </w:p>
    <w:p>
      <w:pPr>
        <w:spacing w:after="0" w:line="3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September 2011, the Company repurchased $3.6 million in principal amount of the 3.50% convertible debentures which resulted in a loss on early retirement of debt of $0.2 million. The 3.50% convertible debentures had principal amounts outstanding of $171.4 million and $175.0 million and unamortized discounts outstanding of $8.2 million and $14.0 million as of September 30, 2011 and December 31, 2010, respectively. The discount will be amortized through October 15, 2012. Interest</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expense, including contractual interest and discount accretion, was $3.4 million and $3.3 million for the three months ended September 30, 2011 and 2010, respectively, and $10.3 million and $9.8 million for the nine months ended September 30, 2011 and 2010, respectively. The effective interest rate was 8.4% for the three and nine months ended September 30, 2011 and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 xml:space="preserve">As of September 30, 2011, the Company had foreign currency forward contracts outstanding with a notional value of $65.8 million, primarily in euros and U.S. dollars, which were not designated as hedges and had a weighted average remaining maturity of 3.7 days. Although the Company enters into foreign currency forward contracts to offset foreign currency exposure related to the notional value of money transfer transactions collected in currencies other than the U.S. dollar, they are not designated as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This is mainly due to the relatively short duration of the contracts, typically 1 to 14 days, and the frequency with which the Company enters into them. Due to the short duration of the contracts and the Company’s credit profile, the Company is generally not required to post collateral with respect to its foreign currency forward contracts.</w:t>
      </w:r>
    </w:p>
    <w:p>
      <w:pPr>
        <w:spacing w:after="0" w:line="5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an office lease in a foreign country that requires payment in a currency that is not the functional currency of either party to the lease or the Company’s reporting currency. Therefore, the lease contains an embedded derivative per ASC Topic 815 and the fair value of the embedded derivative is recorded in the unaudited Consolidated Balance Sheets.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required tabular disclosures for derivative instruments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gridSpan w:val="9"/>
          </w:tcPr>
          <w:p>
            <w:pPr>
              <w:jc w:val="center"/>
              <w:ind w:right="234"/>
              <w:spacing w:after="0"/>
              <w:rPr>
                <w:sz w:val="20"/>
                <w:szCs w:val="20"/>
                <w:color w:val="auto"/>
              </w:rPr>
            </w:pPr>
            <w:r>
              <w:rPr>
                <w:rFonts w:ascii="Arial" w:cs="Arial" w:eastAsia="Arial" w:hAnsi="Arial"/>
                <w:sz w:val="14"/>
                <w:szCs w:val="14"/>
                <w:b w:val="1"/>
                <w:bCs w:val="1"/>
                <w:color w:val="auto"/>
                <w:w w:val="94"/>
              </w:rPr>
              <w:t>Fair Values of Derivative</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7"/>
          </w:tcPr>
          <w:p>
            <w:pPr>
              <w:jc w:val="center"/>
              <w:ind w:right="614"/>
              <w:spacing w:after="0"/>
              <w:rPr>
                <w:sz w:val="20"/>
                <w:szCs w:val="20"/>
                <w:color w:val="auto"/>
              </w:rPr>
            </w:pPr>
            <w:r>
              <w:rPr>
                <w:rFonts w:ascii="Arial" w:cs="Arial" w:eastAsia="Arial" w:hAnsi="Arial"/>
                <w:sz w:val="14"/>
                <w:szCs w:val="14"/>
                <w:b w:val="1"/>
                <w:bCs w:val="1"/>
                <w:color w:val="auto"/>
                <w:w w:val="92"/>
              </w:rPr>
              <w:t>Instruments as of</w:t>
            </w:r>
          </w:p>
        </w:tc>
        <w:tc>
          <w:tcPr>
            <w:tcW w:w="0" w:type="dxa"/>
            <w:vAlign w:val="bottom"/>
          </w:tcPr>
          <w:p>
            <w:pPr>
              <w:spacing w:after="0"/>
              <w:rPr>
                <w:sz w:val="1"/>
                <w:szCs w:val="1"/>
                <w:color w:val="auto"/>
              </w:rPr>
            </w:pPr>
          </w:p>
        </w:tc>
      </w:tr>
      <w:tr>
        <w:trPr>
          <w:trHeight w:val="153"/>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5"/>
          </w:tcPr>
          <w:p>
            <w:pPr>
              <w:jc w:val="center"/>
              <w:ind w:left="99"/>
              <w:spacing w:after="0" w:line="153" w:lineRule="exact"/>
              <w:rPr>
                <w:sz w:val="20"/>
                <w:szCs w:val="20"/>
                <w:color w:val="auto"/>
              </w:rPr>
            </w:pPr>
            <w:r>
              <w:rPr>
                <w:rFonts w:ascii="Arial" w:cs="Arial" w:eastAsia="Arial" w:hAnsi="Arial"/>
                <w:sz w:val="14"/>
                <w:szCs w:val="14"/>
                <w:b w:val="1"/>
                <w:bCs w:val="1"/>
                <w:color w:val="auto"/>
                <w:w w:val="90"/>
              </w:rPr>
              <w:t>Consolidated Balance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1"/>
              </w:rPr>
              <w:t>September 30, 2011</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right"/>
              <w:ind w:right="54"/>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4"/>
                <w:szCs w:val="14"/>
                <w:b w:val="1"/>
                <w:bCs w:val="1"/>
                <w:color w:val="auto"/>
                <w:w w:val="91"/>
              </w:rPr>
              <w:t>Sheet Location</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2010</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 ASC Topic 815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gridSpan w:val="8"/>
          </w:tcPr>
          <w:p>
            <w:pPr>
              <w:jc w:val="center"/>
              <w:ind w:right="474"/>
              <w:spacing w:after="0"/>
              <w:rPr>
                <w:sz w:val="20"/>
                <w:szCs w:val="20"/>
                <w:color w:val="auto"/>
              </w:rPr>
            </w:pPr>
            <w:r>
              <w:rPr>
                <w:rFonts w:ascii="Arial" w:cs="Arial" w:eastAsia="Arial" w:hAnsi="Arial"/>
                <w:sz w:val="18"/>
                <w:szCs w:val="18"/>
                <w:b w:val="1"/>
                <w:bCs w:val="1"/>
                <w:color w:val="auto"/>
                <w:w w:val="87"/>
              </w:rPr>
              <w:t>Asset Derivatives</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6"/>
              </w:rPr>
              <w:t>Cash and cash</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derivative contracts — gross gains</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4"/>
          </w:tcPr>
          <w:p>
            <w:pPr>
              <w:jc w:val="center"/>
              <w:spacing w:after="0"/>
              <w:rPr>
                <w:sz w:val="20"/>
                <w:szCs w:val="20"/>
                <w:color w:val="auto"/>
              </w:rPr>
            </w:pPr>
            <w:r>
              <w:rPr>
                <w:rFonts w:ascii="Arial" w:cs="Arial" w:eastAsia="Arial" w:hAnsi="Arial"/>
                <w:sz w:val="18"/>
                <w:szCs w:val="18"/>
                <w:color w:val="auto"/>
                <w:w w:val="86"/>
              </w:rPr>
              <w:t>Cash and cash</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Foreign currency derivative contracts — gross losses</w:t>
            </w: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0"/>
              </w:rPr>
              <w:t>equivalents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6"/>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9"/>
          </w:tcPr>
          <w:p>
            <w:pPr>
              <w:jc w:val="center"/>
              <w:ind w:right="234"/>
              <w:spacing w:after="0"/>
              <w:rPr>
                <w:sz w:val="20"/>
                <w:szCs w:val="20"/>
                <w:color w:val="auto"/>
              </w:rPr>
            </w:pPr>
            <w:r>
              <w:rPr>
                <w:rFonts w:ascii="Arial" w:cs="Arial" w:eastAsia="Arial" w:hAnsi="Arial"/>
                <w:sz w:val="18"/>
                <w:szCs w:val="18"/>
                <w:b w:val="1"/>
                <w:bCs w:val="1"/>
                <w:color w:val="auto"/>
                <w:w w:val="93"/>
              </w:rPr>
              <w:t>Liability Derivatives</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1"/>
              </w:rPr>
              <w:t>Other long-term</w:t>
            </w:r>
          </w:p>
        </w:tc>
        <w:tc>
          <w:tcPr>
            <w:tcW w:w="280" w:type="dxa"/>
            <w:vAlign w:val="bottom"/>
            <w:gridSpan w:val="2"/>
            <w:vMerge w:val="restart"/>
            <w:shd w:val="clear" w:color="auto" w:fill="CCEEFF"/>
          </w:tcPr>
          <w:p>
            <w:pPr>
              <w:spacing w:after="0"/>
              <w:rPr>
                <w:sz w:val="18"/>
                <w:szCs w:val="18"/>
                <w:color w:val="auto"/>
              </w:rPr>
            </w:pP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Embedded derivative in foreign lease</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Total derivatives</w:t>
            </w:r>
          </w:p>
        </w:tc>
        <w:tc>
          <w:tcPr>
            <w:tcW w:w="1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0" w:type="dxa"/>
            <w:vAlign w:val="bottom"/>
            <w:gridSpan w:val="13"/>
          </w:tcPr>
          <w:p>
            <w:pPr>
              <w:jc w:val="right"/>
              <w:ind w:right="130"/>
              <w:spacing w:after="0"/>
              <w:rPr>
                <w:sz w:val="20"/>
                <w:szCs w:val="20"/>
                <w:color w:val="auto"/>
              </w:rPr>
            </w:pPr>
            <w:r>
              <w:rPr>
                <w:rFonts w:ascii="Arial" w:cs="Arial" w:eastAsia="Arial" w:hAnsi="Arial"/>
                <w:sz w:val="14"/>
                <w:szCs w:val="14"/>
                <w:b w:val="1"/>
                <w:bCs w:val="1"/>
                <w:color w:val="auto"/>
                <w:w w:val="92"/>
              </w:rPr>
              <w:t>Amount of Gain (Loss) Recognized</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4"/>
                <w:szCs w:val="14"/>
                <w:b w:val="1"/>
                <w:bCs w:val="1"/>
                <w:color w:val="auto"/>
                <w:w w:val="92"/>
              </w:rPr>
              <w:t>in Income on Derivative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Location of Gain (Loss)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6"/>
          </w:tcPr>
          <w:p>
            <w:pPr>
              <w:jc w:val="right"/>
              <w:ind w:right="216"/>
              <w:spacing w:after="0" w:line="153" w:lineRule="exact"/>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7"/>
          </w:tcPr>
          <w:p>
            <w:pPr>
              <w:jc w:val="right"/>
              <w:ind w:right="234"/>
              <w:spacing w:after="0" w:line="153"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tcPr>
          <w:p>
            <w:pPr>
              <w:jc w:val="right"/>
              <w:ind w:right="436"/>
              <w:spacing w:after="0" w:line="145"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7"/>
          </w:tcPr>
          <w:p>
            <w:pPr>
              <w:jc w:val="right"/>
              <w:ind w:right="414"/>
              <w:spacing w:after="0" w:line="145"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252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Recognized in Income</w:t>
            </w: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4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gridSpan w:val="3"/>
            <w:vMerge w:val="restart"/>
          </w:tcPr>
          <w:p>
            <w:pPr>
              <w:jc w:val="right"/>
              <w:ind w:right="216"/>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on Derivative</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Derivatives not designated as hedging instruments under</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ASC Topic 815</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2"/>
          </w:tcPr>
          <w:p>
            <w:pPr>
              <w:jc w:val="center"/>
              <w:spacing w:after="0"/>
              <w:rPr>
                <w:sz w:val="20"/>
                <w:szCs w:val="20"/>
                <w:color w:val="auto"/>
              </w:rPr>
            </w:pPr>
            <w:r>
              <w:rPr>
                <w:rFonts w:ascii="Arial" w:cs="Arial" w:eastAsia="Arial" w:hAnsi="Arial"/>
                <w:sz w:val="18"/>
                <w:szCs w:val="18"/>
                <w:color w:val="auto"/>
                <w:w w:val="90"/>
              </w:rPr>
              <w:t>Foreign currency exchange gain</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Foreign currency derivative contracts</w:t>
            </w:r>
          </w:p>
        </w:tc>
        <w:tc>
          <w:tcPr>
            <w:tcW w:w="120" w:type="dxa"/>
            <w:vAlign w:val="bottom"/>
          </w:tcPr>
          <w:p>
            <w:pPr>
              <w:spacing w:after="0"/>
              <w:rPr>
                <w:sz w:val="20"/>
                <w:szCs w:val="20"/>
                <w:color w:val="auto"/>
              </w:rPr>
            </w:pPr>
          </w:p>
        </w:tc>
        <w:tc>
          <w:tcPr>
            <w:tcW w:w="2520" w:type="dxa"/>
            <w:vAlign w:val="bottom"/>
            <w:gridSpan w:val="2"/>
          </w:tcPr>
          <w:p>
            <w:pPr>
              <w:jc w:val="center"/>
              <w:spacing w:after="0"/>
              <w:rPr>
                <w:sz w:val="20"/>
                <w:szCs w:val="20"/>
                <w:color w:val="auto"/>
              </w:rPr>
            </w:pPr>
            <w:r>
              <w:rPr>
                <w:rFonts w:ascii="Arial" w:cs="Arial" w:eastAsia="Arial" w:hAnsi="Arial"/>
                <w:sz w:val="18"/>
                <w:szCs w:val="18"/>
                <w:color w:val="auto"/>
                <w:w w:val="91"/>
              </w:rPr>
              <w:t>(loss), net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(2,141)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(1,072)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Foreign currency exchange gain</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Embedded derivative in foreign lease</w:t>
            </w:r>
          </w:p>
        </w:tc>
        <w:tc>
          <w:tcPr>
            <w:tcW w:w="1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(loss), net</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57"/>
        </w:trPr>
        <w:tc>
          <w:tcPr>
            <w:tcW w:w="446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(2,117)</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8, Fair Value Measurements, for the determination of the fair values of derivatives.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cash and cash equivalents, trade accounts receivable, trade accounts payable and short-term debt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obligations approximate fair values due to their short maturities. The carrying values of the Company’s term loan due 2016 and revolving credit agreements approximate fair values because interest is based on LIBOR that resets at various intervals of less than one year. The following table provides the estimated fair values of the Company’s other financial instruments, based on quoted market prices or significant other observable inputs.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September 30, 2011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106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10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3.50% convertible debentures, unsecured, due 2025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(172,267)</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Foreign currency derivative contracts</w:t>
            </w:r>
          </w:p>
        </w:tc>
        <w:tc>
          <w:tcPr>
            <w:tcW w:w="22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Embedded derivative in foreign lease</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assets and liabilities recorded at fair value on a recurring basis using significant other observable inputs are the foreign currency derivative contracts and the embedded derivative in foreign lease. The Company values foreign currency derivative contracts using foreign currency exchange quotations for similar assets and liabilities. The embedded derivative in foreign lease is valued using present value techniques and foreign currency exchange quotations.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100" w:hanging="648"/>
        <w:spacing w:after="0" w:line="25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network participation, outsourced ATM and POS management solutions, credit and debit card outsourcing and electronic recharge services for prepaid mobile airtime.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100" w:hanging="648"/>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and processing of prepaid mobile airtime and other electronic payment products and collection services in Europe, the Middle East, Asia Pacific, North America and South America. With the purchase of cadooz, we now provide vouchers and physical gift fulfillment services in Europe.</w:t>
      </w:r>
    </w:p>
    <w:p>
      <w:pPr>
        <w:spacing w:after="0" w:line="73" w:lineRule="exact"/>
        <w:rPr>
          <w:rFonts w:ascii="Arial" w:cs="Arial" w:eastAsia="Arial" w:hAnsi="Arial"/>
          <w:sz w:val="18"/>
          <w:szCs w:val="18"/>
          <w:color w:val="auto"/>
        </w:rPr>
      </w:pPr>
    </w:p>
    <w:p>
      <w:pPr>
        <w:ind w:left="980" w:right="40" w:hanging="648"/>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consumer-to-consumer money transfer services through a network of sending agents and Company-owned stores (primarily in North America and Europe), disbursing money transfers through a worldwide correspondent network. The Company also offers customers bill payment services, payment alternatives such as money orders and prepaid debit cards, comprehensive check cashing services and foreign currency exchange services.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to the three segments in its administrative division, “Corporate Services, Eliminations and Other.” These services are not directly identifiable with the Company’s reportable operating segments.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segment results of the Company’s operations for the three- and nine-month periods ended September 30, 2011 and 2010:</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For the Three Months Ended September 30, 2011</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174,269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75,103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299,507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133,198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190,534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7,409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13,012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18,517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43,969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30,058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5,170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4,482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14,824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160,987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70,302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279,385</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9,004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13,282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20,122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For the Three Months Ended September 30, 2010</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148,037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63,088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260,223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115,847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167,439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7,055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8,600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14,924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4,428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35,007</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23,226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4,894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4,173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14,289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136,239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59,363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239,961</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10,505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11,798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20,262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9"/>
              </w:rPr>
              <w:t>For the Nine Months Ended September 30, 2011</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EFT</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Money</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Services,</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and Other</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485,861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841,902</w:t>
            </w:r>
          </w:p>
        </w:tc>
        <w:tc>
          <w:tcPr>
            <w:tcW w:w="0" w:type="dxa"/>
            <w:vAlign w:val="bottom"/>
          </w:tcPr>
          <w:p>
            <w:pPr>
              <w:spacing w:after="0"/>
              <w:rPr>
                <w:sz w:val="1"/>
                <w:szCs w:val="1"/>
                <w:color w:val="auto"/>
              </w:rPr>
            </w:pPr>
          </w:p>
        </w:tc>
      </w:tr>
      <w:tr>
        <w:trPr>
          <w:trHeight w:val="23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371,663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536,810</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51,882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14,898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124,062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80,344</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44,547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120,657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445,964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785,763</w:t>
            </w:r>
          </w:p>
        </w:tc>
        <w:tc>
          <w:tcPr>
            <w:tcW w:w="0" w:type="dxa"/>
            <w:vAlign w:val="bottom"/>
          </w:tcPr>
          <w:p>
            <w:pPr>
              <w:spacing w:after="0"/>
              <w:rPr>
                <w:sz w:val="1"/>
                <w:szCs w:val="1"/>
                <w:color w:val="auto"/>
              </w:rPr>
            </w:pPr>
          </w:p>
        </w:tc>
      </w:tr>
      <w:tr>
        <w:trPr>
          <w:trHeight w:val="257"/>
        </w:trPr>
        <w:tc>
          <w:tcPr>
            <w:tcW w:w="378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24,328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56,139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9"/>
              </w:rPr>
              <w:t>For the Nine Months Ended September 30, 2010</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EFT</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Money</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Services,</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and Other</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431,106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179,196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754,454</w:t>
            </w:r>
          </w:p>
        </w:tc>
        <w:tc>
          <w:tcPr>
            <w:tcW w:w="0" w:type="dxa"/>
            <w:vAlign w:val="bottom"/>
          </w:tcPr>
          <w:p>
            <w:pPr>
              <w:spacing w:after="0"/>
              <w:rPr>
                <w:sz w:val="1"/>
                <w:szCs w:val="1"/>
                <w:color w:val="auto"/>
              </w:rPr>
            </w:pPr>
          </w:p>
        </w:tc>
      </w:tr>
      <w:tr>
        <w:trPr>
          <w:trHeight w:val="23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494,136</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43,007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11,382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98,627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64,269</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42,389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397,708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699,421</w:t>
            </w:r>
          </w:p>
        </w:tc>
        <w:tc>
          <w:tcPr>
            <w:tcW w:w="0" w:type="dxa"/>
            <w:vAlign w:val="bottom"/>
          </w:tcPr>
          <w:p>
            <w:pPr>
              <w:spacing w:after="0"/>
              <w:rPr>
                <w:sz w:val="1"/>
                <w:szCs w:val="1"/>
                <w:color w:val="auto"/>
              </w:rPr>
            </w:pPr>
          </w:p>
        </w:tc>
      </w:tr>
      <w:tr>
        <w:trPr>
          <w:trHeight w:val="257"/>
        </w:trPr>
        <w:tc>
          <w:tcPr>
            <w:tcW w:w="378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28,457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33,398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55,033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GUARANTEES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September 30, 2011, the Company had $92.5 million of stand-by letters of credit/bank guarantees issued on its behalf, of which $38.6 million are outstanding under the revolving credit facility. The remaining stand-by letters of credit/bank guarantees are collateralized by $18.6 million of cash deposits held by the respective issuing banks and $5.0 million of trade accounts receivable.</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September 30, 2011, the Company granted off balance sheet guarantees for cash in various ATM networks amounting to $18.2 million over the terms of the cash supply agreements and performance guarantees amounting to approximately $29.1 million over the terms of the agreements with the customers.</w:t>
      </w:r>
    </w:p>
    <w:p>
      <w:pPr>
        <w:spacing w:after="0" w:line="7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980" w:right="220" w:hanging="648"/>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September 30, 2011, the balance of ATM network cash for which the Company was responsible was approximately $360 million. The Company maintains insurance policies to mitigate this exposure;</w:t>
      </w:r>
    </w:p>
    <w:p>
      <w:pPr>
        <w:spacing w:after="0" w:line="78" w:lineRule="exact"/>
        <w:rPr>
          <w:rFonts w:ascii="Arial" w:cs="Arial" w:eastAsia="Arial" w:hAnsi="Arial"/>
          <w:sz w:val="18"/>
          <w:szCs w:val="18"/>
          <w:color w:val="auto"/>
        </w:rPr>
      </w:pPr>
    </w:p>
    <w:p>
      <w:pPr>
        <w:jc w:val="both"/>
        <w:ind w:left="980" w:right="360" w:hanging="648"/>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980" w:right="20" w:hanging="648"/>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980" w:hanging="648"/>
        <w:spacing w:after="0" w:line="293"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56" w:lineRule="exact"/>
        <w:rPr>
          <w:rFonts w:ascii="Arial" w:cs="Arial" w:eastAsia="Arial" w:hAnsi="Arial"/>
          <w:sz w:val="16"/>
          <w:szCs w:val="16"/>
          <w:color w:val="auto"/>
        </w:rPr>
      </w:pPr>
    </w:p>
    <w:p>
      <w:pPr>
        <w:ind w:left="980" w:hanging="648"/>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carrying out their respective duties under such agreements; and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80" w:hanging="648"/>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has obtained surety bonds in compliance with money transfer licensing requirements of the applicable governmental authorities.</w:t>
      </w:r>
    </w:p>
    <w:p>
      <w:pPr>
        <w:spacing w:after="0" w:line="140"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The Company is also required to meet minimum capitalization and cash requirements of various regulatory authorities in the jurisdictions in which the Company has money transfer operations. To date, the Company is not aware of any significant claims made by the indemnified parties or third parties to guarantee agreements with the Company and, accordingly, no liabilities were recorded as of September 30, 2011 or December 31,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Company’s effective tax rates were 182.2% and 25.1% for the three-month periods ended September 30, 2011 and 2010, respectively, and were 41.9% and 42.3% for the nine-month periods ended September 30, 2011 and 2010, respectively. The effective tax rates were significantly influenced by the foreign currency exchange gains and losses, gains on settlements and loss on early retirement of debt in the respective periods. Excluding these items from pre-tax income, as well as the related tax effects for these items, the Company’s effective tax rates were 39.0% and 43.0% for the three months ended September 30, 2011 and 2010, respectively, and 42.4% and 40.5% for the nine months ended September 30, 2011 and 2010, respectively.</w:t>
      </w:r>
    </w:p>
    <w:p>
      <w:pPr>
        <w:spacing w:after="0" w:line="5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increases in the effective tax rates, as adjusted, for the three and nine months ended September 30, 2011 compared to the applicable statutory rate of 35% are primarily related to the Company’s U.S. income tax position. For the three- and nine-month periods ended September 30, 2011, we have recorded a valuation allowance against our U.S. income tax net operating losses as it is more likely than not that a tax benefit will not be realized. Accordingly, the income tax benefits associated with pre-tax book losses generated by the Company’s U.S. entities have not been recognized in these periods.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second quarter of 2009, the Antitrust Division of the United States Department of Justice (the “DOJ”) served Continental Exchange Solutions, Inc. d/b/a Ria Financial Services (“CES”), an indirect, wholly-owned subsidiary of the Company, with a grand jury subpoena requesting documents from CES and its affiliates in connection with an investigation into possible price collusion related to money transmission services to the Dominican Republic (“D.R.”) during the period from January 1, 2004 to the date of the subpoena. The Company acquired all of the stock of Ria Envia, Inc., the parent of CES, 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April 2007. CES foreign exchange transactions between the U.S and the D.R. generated approximately 0.3% of the Company’s 2009 consolidated revenues.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CES are fully cooperating with the DOJ in its investigation.</w:t>
      </w:r>
    </w:p>
    <w:p>
      <w:pPr>
        <w:spacing w:after="0" w:line="10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Company believes that, during the period covered by the DOJ investigation, CES generally derived part of its charge for exchanging U.S. dollars into D.R. pesos from a reference rate recommended by ADEREDI, a trade association in the D.R. composed of a CES subsidiary and other D.R. money transfer firms. The Company further believes, however, that CES set its own service fee on the D.R. transactions and its overall transaction price to customers. Customers were also free during this time period to use CES and other firms to transmit dollars into the D.R., without conversion into D.R. pesos, and the Company believes such transmissions occurred with increasing frequency over the course of this time period.</w:t>
      </w:r>
    </w:p>
    <w:p>
      <w:pPr>
        <w:spacing w:after="0" w:line="6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At this time, the Company is unable to predict the outcome of the DOJ investigation, or, if charges were to be brought against CES, the possible range of loss, if any, associated with the resolution of any such charges. Nor can the Company predict any potential effect on the Company’s business, results of operations or financial condition arising from such charges or potential collateral consequences, which could include fines, penalties, limitations on or revocation of CES’s license to engage in the money transfer business in one or more states, and civil liability. In addition, the Company has incurred and may continue to incur significant fees and expenses in connection with the DOJ investigation and related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2010, CES was served with a class action lawsuit filed by a former employee for alleged wage and hour violations related to overtime and meal and rest period requirements under California law. This lawsuit was dismissed on October 12, 2011 in consideration of payment of a nominal amount to the plaintiff.</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Euronet Worldwide, Inc. (“Euronet,” the “Company,” “we” or “us”)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electronic distribution of prepaid mobile airtime and other electronic payment products; and global consumer money transfer services. As of September 30, 2011, we operate in the following three principal operating segments:</w:t>
      </w:r>
    </w:p>
    <w:p>
      <w:pPr>
        <w:spacing w:after="0" w:line="46" w:lineRule="exact"/>
        <w:rPr>
          <w:sz w:val="20"/>
          <w:szCs w:val="20"/>
          <w:color w:val="auto"/>
        </w:rPr>
      </w:pPr>
    </w:p>
    <w:p>
      <w:pPr>
        <w:ind w:left="980" w:right="100" w:hanging="648"/>
        <w:spacing w:after="0" w:line="25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EFT Processing Segment, which processes transactions for a network of 12,668 ATMs and approximately 53,000 POS terminals across Europe, the Middle East and Asia Pacific. We provide comprehensive electronic payment solutions consisting of ATM network participation, outsourced ATM and POS management solutions, credit and debit card outsourcing and electronic recharge services for prepaid mobile airtime. Through this segment, we also offer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20" w:hanging="648"/>
        <w:spacing w:after="0" w:line="30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epay Segment, which provides distribution, processing and collection services for prepaid mobile airtime and other electronic payment products. Including terminals operated by unconsolidated subsidiaries, we operate a network of approximately 591,000 POS terminals providing electronic processing of prepaid mobile airtime top-up services and other electronic payment products in Europe, the Middle East, Asia Pacific, North America and South America. With the purchase of cadooz, we now provide vouchers and physical gift fulfillment services in Europe.</w:t>
      </w:r>
    </w:p>
    <w:p>
      <w:pPr>
        <w:spacing w:after="0" w:line="46" w:lineRule="exact"/>
        <w:rPr>
          <w:rFonts w:ascii="Arial" w:cs="Arial" w:eastAsia="Arial" w:hAnsi="Arial"/>
          <w:sz w:val="16"/>
          <w:szCs w:val="16"/>
          <w:color w:val="auto"/>
        </w:rPr>
      </w:pPr>
    </w:p>
    <w:p>
      <w:pPr>
        <w:ind w:left="980" w:right="20" w:hanging="648"/>
        <w:spacing w:after="0" w:line="297"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 Ria. We offer this service through a network of sending agents and Company-owned stores (primarily in North America and Europe), disbursing money transfers through a worldwide correspondent network that includes approximately 140,000 locations.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w:t>
      </w:r>
    </w:p>
    <w:p>
      <w:pPr>
        <w:spacing w:after="0" w:line="5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We have four processing centers in Europe, two in Asia Pacific, two in North America and one in the Middle East. We have 30 principal offices in Europe, seven in North America, nine in Asia Pacific and one in South America. Our executive offices are located in Leawood, Kansas, USA. With approximately 79% of our revenues denominated in currencies other than the U.S. dollar, any significant changes in currency exchange rates will likely have a significant impact on our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Euronet primarily earns revenues and income based on ATM management fees, transaction fees, commissions and foreign currency spreads. Each operating segment’s sources of revenue are described below.</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17% of total consolidated revenues for the first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of 2011, are derived from fees charged for transactions made by cardholders on our proprietary network of ATMs, as well as fixed management fees and transaction fees we charge to customers for operating ATMs and processing debit and credit cards under outsourcing and cross-border acquiring agreements. Through our proprietary network, we generally charge fees for four types of ATM transactions: i) cash withdrawals, ii) balance inquiries, iii) transactions not completed because the relevant card issuer did not give authorization, and iv) value-added services such as prepaid telecommunication recharges, dynamic currency conversion, bill payment and ATM advertising. Revenues in this segment are also derived from license fees, professional services and maintenance fees for proprietary application software and sales of related hardware.</w:t>
      </w:r>
    </w:p>
    <w:p>
      <w:pPr>
        <w:spacing w:after="0" w:line="7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i w:val="1"/>
          <w:iCs w:val="1"/>
          <w:color w:val="auto"/>
        </w:rPr>
        <w:t xml:space="preserve">epay Segment </w:t>
      </w:r>
      <w:r>
        <w:rPr>
          <w:rFonts w:ascii="Arial" w:cs="Arial" w:eastAsia="Arial" w:hAnsi="Arial"/>
          <w:sz w:val="16"/>
          <w:szCs w:val="16"/>
          <w:color w:val="auto"/>
        </w:rPr>
        <w:t>— Revenues in the epay Segment, which represented approximately 58% of total consolidated revenues for the first nine months of 2011, are</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derived from commissions or processing fees received from telecommunications service providers for the sale and distribution of prepaid mobile airtime. We also generate revenues from commissions earned from the distribution of other electronic payment products, vouchers and physical gifts. Due to certain provisions in our mobile phone operator agreements, the operators have the ability to reduce the overall commission paid on top-up transactions. However, by virtue of our agreements with retailers (distributors where POS terminals are located) in certain markets, not all 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these reductions are absorbed by us because we are able to pass a significant portion of the reductions to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25% of total consolidated revenues for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2011, are primarily derived from charging a transaction fee, as well as the margin earned from purchasing foreign currency at wholesale exchange rates and selling the foreign currency to consumers at retail exchange rates. We have a sending agent network in place comprised of agents and Company-owned stores primarily in North America and Europe and a worldwide network of correspondent agents, consisting primarily of financial institutions in the transfer destination countries. Sending and correspondent agents each earn fees for cash collection and distribution services. These fees are recognized as direct operating costs at the time of sale.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develop products or services to drive increases in transactions;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entrance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260" w:hanging="648"/>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negotiate new agreements in additional markets with mobile phone operators,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use existing expertise and relationships with mobile operators,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continued use of third-party providers such as ourselves to supply electronic processing solutions for existing and additional content;</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development of mobile phone networks in the markets in which we do business and the increase in the number of mobile phone users;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market, including consumer shifts between prepaid and postpaid services;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phone operators;</w:t>
      </w:r>
    </w:p>
    <w:p>
      <w:pPr>
        <w:spacing w:after="0" w:line="117" w:lineRule="exact"/>
        <w:rPr>
          <w:rFonts w:ascii="Arial" w:cs="Arial" w:eastAsia="Arial" w:hAnsi="Arial"/>
          <w:sz w:val="18"/>
          <w:szCs w:val="18"/>
          <w:color w:val="auto"/>
        </w:rPr>
      </w:pPr>
    </w:p>
    <w:p>
      <w:pPr>
        <w:ind w:left="980" w:right="42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take advantage of cross-selling opportunities with our Money Transfer Segment,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Segment business will depend on various factors, including, but not</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necessarily limited to, the following:</w:t>
      </w:r>
    </w:p>
    <w:p>
      <w:pPr>
        <w:spacing w:after="0" w:line="62"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18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62" w:lineRule="exact"/>
        <w:rPr>
          <w:rFonts w:ascii="Arial" w:cs="Arial" w:eastAsia="Arial" w:hAnsi="Arial"/>
          <w:sz w:val="18"/>
          <w:szCs w:val="18"/>
          <w:color w:val="auto"/>
        </w:rPr>
      </w:pPr>
    </w:p>
    <w:p>
      <w:pPr>
        <w:ind w:left="980" w:right="68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take advantage of cross-selling opportunities with our epay Segment, including providing prepaid services through Ria’s stores and agents worldwide;</w:t>
      </w:r>
    </w:p>
    <w:p>
      <w:pPr>
        <w:spacing w:after="0" w:line="62" w:lineRule="exact"/>
        <w:rPr>
          <w:rFonts w:ascii="Arial" w:cs="Arial" w:eastAsia="Arial" w:hAnsi="Arial"/>
          <w:sz w:val="18"/>
          <w:szCs w:val="18"/>
          <w:color w:val="auto"/>
        </w:rPr>
      </w:pPr>
    </w:p>
    <w:p>
      <w:pPr>
        <w:ind w:left="980" w:right="6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Services Directive license.</w:t>
      </w:r>
    </w:p>
    <w:p>
      <w:pPr>
        <w:spacing w:after="0" w:line="117"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share-based compensation expense. These services are not directly identifiable with our reportable operating segments.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Revenues and operating income by segment for the three- and nine-month periods ended September 30, 2011 and 2010 are summarized in the tables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gridSpan w:val="9"/>
          </w:tcPr>
          <w:p>
            <w:pPr>
              <w:jc w:val="center"/>
              <w:spacing w:after="0"/>
              <w:rPr>
                <w:sz w:val="20"/>
                <w:szCs w:val="20"/>
                <w:color w:val="auto"/>
              </w:rPr>
            </w:pPr>
            <w:r>
              <w:rPr>
                <w:rFonts w:ascii="Arial" w:cs="Arial" w:eastAsia="Arial" w:hAnsi="Arial"/>
                <w:sz w:val="14"/>
                <w:szCs w:val="14"/>
                <w:b w:val="1"/>
                <w:bCs w:val="1"/>
                <w:color w:val="auto"/>
                <w:w w:val="92"/>
              </w:rPr>
              <w:t>Revenues for the Three Months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vMerge w:val="restart"/>
          </w:tcPr>
          <w:p>
            <w:pPr>
              <w:jc w:val="right"/>
              <w:ind w:right="235"/>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Revenues for the Nine Months</w:t>
            </w:r>
          </w:p>
        </w:tc>
        <w:tc>
          <w:tcPr>
            <w:tcW w:w="140" w:type="dxa"/>
            <w:vAlign w:val="bottom"/>
          </w:tcPr>
          <w:p>
            <w:pPr>
              <w:spacing w:after="0"/>
              <w:rPr>
                <w:sz w:val="14"/>
                <w:szCs w:val="14"/>
                <w:color w:val="auto"/>
              </w:rPr>
            </w:pPr>
          </w:p>
        </w:tc>
        <w:tc>
          <w:tcPr>
            <w:tcW w:w="1960" w:type="dxa"/>
            <w:vAlign w:val="bottom"/>
            <w:gridSpan w:val="4"/>
            <w:vMerge w:val="restart"/>
          </w:tcPr>
          <w:p>
            <w:pPr>
              <w:jc w:val="right"/>
              <w:ind w:right="245"/>
              <w:spacing w:after="0"/>
              <w:rPr>
                <w:sz w:val="20"/>
                <w:szCs w:val="20"/>
                <w:color w:val="auto"/>
              </w:rPr>
            </w:pPr>
            <w:r>
              <w:rPr>
                <w:rFonts w:ascii="Arial" w:cs="Arial" w:eastAsia="Arial" w:hAnsi="Arial"/>
                <w:sz w:val="14"/>
                <w:szCs w:val="14"/>
                <w:b w:val="1"/>
                <w:bCs w:val="1"/>
                <w:color w:val="auto"/>
              </w:rPr>
              <w:t>Year-over-Year Change</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w w:val="92"/>
              </w:rPr>
              <w:t>Ended September 30,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right="13"/>
              <w:spacing w:after="0"/>
              <w:rPr>
                <w:sz w:val="20"/>
                <w:szCs w:val="20"/>
                <w:color w:val="auto"/>
              </w:rPr>
            </w:pPr>
            <w:r>
              <w:rPr>
                <w:rFonts w:ascii="Arial" w:cs="Arial" w:eastAsia="Arial" w:hAnsi="Arial"/>
                <w:sz w:val="14"/>
                <w:szCs w:val="14"/>
                <w:b w:val="1"/>
                <w:bCs w:val="1"/>
                <w:color w:val="auto"/>
                <w:w w:val="92"/>
              </w:rPr>
              <w:t>Ended 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4"/>
          </w:tcPr>
          <w:p>
            <w:pPr>
              <w:ind w:left="120"/>
              <w:spacing w:after="0" w:line="153"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6"/>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rPr>
              <w:t>(Decrease)</w:t>
            </w: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 amounts in thousands)</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gridSpan w:val="2"/>
          </w:tcPr>
          <w:p>
            <w:pPr>
              <w:spacing w:after="0"/>
              <w:rPr>
                <w:sz w:val="24"/>
                <w:szCs w:val="24"/>
                <w:color w:val="auto"/>
              </w:rPr>
            </w:pP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Percent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3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50,246</w:t>
            </w:r>
          </w:p>
        </w:tc>
        <w:tc>
          <w:tcPr>
            <w:tcW w:w="42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49,098</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144,985</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833</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174,269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148,037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26,232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485,861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431,106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54,755</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75,103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63,088</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211,285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179,196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32,089</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3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299,618</w:t>
            </w: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260,223</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39,395</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842,131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754,454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87,677</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n/m</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3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299,507</w:t>
            </w:r>
          </w:p>
        </w:tc>
        <w:tc>
          <w:tcPr>
            <w:tcW w:w="100" w:type="dxa"/>
            <w:vAlign w:val="bottom"/>
            <w:tcBorders>
              <w:top w:val="single" w:sz="8" w:color="auto"/>
              <w:bottom w:val="single" w:sz="8" w:color="auto"/>
            </w:tcBorders>
            <w:gridSpan w:val="2"/>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260,223</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39,284</w:t>
            </w:r>
          </w:p>
        </w:tc>
        <w:tc>
          <w:tcPr>
            <w:tcW w:w="6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841,902</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754,454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87,448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9"/>
          </w:tcPr>
          <w:p>
            <w:pPr>
              <w:ind w:left="40"/>
              <w:spacing w:after="0"/>
              <w:rPr>
                <w:sz w:val="20"/>
                <w:szCs w:val="20"/>
                <w:color w:val="auto"/>
              </w:rPr>
            </w:pPr>
            <w:r>
              <w:rPr>
                <w:rFonts w:ascii="Arial" w:cs="Arial" w:eastAsia="Arial" w:hAnsi="Arial"/>
                <w:sz w:val="14"/>
                <w:szCs w:val="14"/>
                <w:b w:val="1"/>
                <w:bCs w:val="1"/>
                <w:color w:val="auto"/>
                <w:w w:val="97"/>
              </w:rPr>
              <w:t>Operating Income (Loss) for the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Operating Income (Loss) for the</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40" w:type="dxa"/>
            <w:vAlign w:val="bottom"/>
            <w:gridSpan w:val="9"/>
          </w:tcPr>
          <w:p>
            <w:pPr>
              <w:ind w:left="20"/>
              <w:spacing w:after="0" w:line="149" w:lineRule="exact"/>
              <w:rPr>
                <w:sz w:val="20"/>
                <w:szCs w:val="20"/>
                <w:color w:val="auto"/>
              </w:rPr>
            </w:pPr>
            <w:r>
              <w:rPr>
                <w:rFonts w:ascii="Arial" w:cs="Arial" w:eastAsia="Arial" w:hAnsi="Arial"/>
                <w:sz w:val="14"/>
                <w:szCs w:val="14"/>
                <w:b w:val="1"/>
                <w:bCs w:val="1"/>
                <w:color w:val="auto"/>
                <w:w w:val="97"/>
              </w:rPr>
              <w:t>Three Months Ended September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5"/>
            <w:vMerge w:val="restart"/>
          </w:tcPr>
          <w:p>
            <w:pPr>
              <w:jc w:val="right"/>
              <w:ind w:right="255"/>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Nine Months Ended September</w:t>
            </w:r>
          </w:p>
        </w:tc>
        <w:tc>
          <w:tcPr>
            <w:tcW w:w="140" w:type="dxa"/>
            <w:vAlign w:val="bottom"/>
          </w:tcPr>
          <w:p>
            <w:pPr>
              <w:spacing w:after="0"/>
              <w:rPr>
                <w:sz w:val="12"/>
                <w:szCs w:val="12"/>
                <w:color w:val="auto"/>
              </w:rPr>
            </w:pPr>
          </w:p>
        </w:tc>
        <w:tc>
          <w:tcPr>
            <w:tcW w:w="202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30,</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4"/>
                <w:szCs w:val="14"/>
                <w:b w:val="1"/>
                <w:bCs w:val="1"/>
                <w:color w:val="auto"/>
                <w:w w:val="92"/>
              </w:rPr>
              <w:t>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4"/>
          </w:tcPr>
          <w:p>
            <w:pPr>
              <w:ind w:left="60"/>
              <w:spacing w:after="0" w:line="153"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37"/>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86"/>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(Decrease)</w:t>
            </w: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76"/>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320" w:type="dxa"/>
            <w:vAlign w:val="bottom"/>
            <w:tcBorders>
              <w:bottom w:val="single" w:sz="8" w:color="CCEEFF"/>
            </w:tcBorders>
            <w:gridSpan w:val="3"/>
            <w:shd w:val="clear" w:color="auto" w:fill="CCEEFF"/>
          </w:tcPr>
          <w:p>
            <w:pPr>
              <w:jc w:val="right"/>
              <w:ind w:right="8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420" w:type="dxa"/>
            <w:vAlign w:val="bottom"/>
            <w:tcBorders>
              <w:bottom w:val="single" w:sz="8" w:color="CCEEFF"/>
            </w:tcBorders>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10,505</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24,328</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11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36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13,282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11,798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1,484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13 %</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39,897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33,398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6,499</w:t>
            </w: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3,725</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1,076</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3,136</w:t>
            </w:r>
          </w:p>
        </w:tc>
        <w:tc>
          <w:tcPr>
            <w:tcW w:w="11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7"/>
        </w:trPr>
        <w:tc>
          <w:tcPr>
            <w:tcW w:w="23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27,087</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26,028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1,059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4 %</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76,818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71,312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5,506</w:t>
            </w: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and</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eliminations</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1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57"/>
        </w:trPr>
        <w:tc>
          <w:tcPr>
            <w:tcW w:w="23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84"/>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20,122</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20,262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56,139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55,033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1,106</w:t>
            </w: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4"/>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20" w:type="dxa"/>
            <w:vAlign w:val="bottom"/>
            <w:gridSpan w:val="7"/>
          </w:tcPr>
          <w:p>
            <w:pPr>
              <w:spacing w:after="0"/>
              <w:rPr>
                <w:sz w:val="20"/>
                <w:szCs w:val="20"/>
                <w:color w:val="auto"/>
              </w:rPr>
            </w:pPr>
            <w:r>
              <w:rPr>
                <w:rFonts w:ascii="Arial" w:cs="Arial" w:eastAsia="Arial" w:hAnsi="Arial"/>
                <w:sz w:val="18"/>
                <w:szCs w:val="18"/>
                <w:color w:val="auto"/>
                <w:w w:val="70"/>
              </w:rPr>
              <w:t>________________________________________________</w:t>
            </w:r>
          </w:p>
        </w:tc>
        <w:tc>
          <w:tcPr>
            <w:tcW w:w="120" w:type="dxa"/>
            <w:vAlign w:val="bottom"/>
            <w:gridSpan w:val="2"/>
            <w:vMerge w:val="continue"/>
          </w:tcPr>
          <w:p>
            <w:pPr>
              <w:spacing w:after="0"/>
              <w:rPr>
                <w:sz w:val="18"/>
                <w:szCs w:val="18"/>
                <w:color w:val="auto"/>
              </w:rPr>
            </w:pPr>
          </w:p>
        </w:tc>
        <w:tc>
          <w:tcPr>
            <w:tcW w:w="1000" w:type="dxa"/>
            <w:vAlign w:val="bottom"/>
            <w:gridSpan w:val="3"/>
          </w:tcPr>
          <w:p>
            <w:pPr>
              <w:spacing w:after="0"/>
              <w:rPr>
                <w:sz w:val="18"/>
                <w:szCs w:val="18"/>
                <w:color w:val="auto"/>
              </w:rPr>
            </w:pPr>
          </w:p>
        </w:tc>
        <w:tc>
          <w:tcPr>
            <w:tcW w:w="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36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4"/>
          </w:tcPr>
          <w:p>
            <w:pPr>
              <w:ind w:left="780"/>
              <w:spacing w:after="0"/>
              <w:rPr>
                <w:sz w:val="20"/>
                <w:szCs w:val="20"/>
                <w:color w:val="auto"/>
              </w:rPr>
            </w:pPr>
            <w:r>
              <w:rPr>
                <w:rFonts w:ascii="Arial" w:cs="Arial" w:eastAsia="Arial" w:hAnsi="Arial"/>
                <w:sz w:val="18"/>
                <w:szCs w:val="18"/>
                <w:color w:val="auto"/>
                <w:w w:val="89"/>
              </w:rPr>
              <w:t>19</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Compared to most of the currencies of the foreign countries in which we operate, the U.S. dollar was weaker during the third quarter and first nine months of 2011 than it was during the comparable 2010 periods. Because our revenues and local expenses are recorded in the functional currencies of our operating entities, amounts we earned for the third quarter and first nine months of 2011 reflected a positive impact due to the stronger foreign currencies. Considering the results by country and the associated functional currency, we estimate that our consolidated operating income for the third quarter and first nine months of 2011 was approximately 12% and 11% higher, respectively, when compared to the same periods of 2010 as a result of changes in foreign currency exchange rates. If significant, in our discussion we will refer to the impact of fluctuation in foreign currency exchange rates in our comparison of operating segment results for the three- and nine-month periods ended September 30, 2011 and 2010. To provide further perspective on the impact of foreign currency exchange rates, the following table shows the changes in values relative to the U.S. dollar from the third quarter and first nine months of 2010 to the same periods of 2011 of the currencies of the countries in which we have our most significant operations: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Average Translation Rate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Average Translation Rate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22"/>
                <w:szCs w:val="22"/>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2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Currency (dollars per foreign currency)</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September 30, 2011</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0"/>
              </w:rPr>
              <w:t>September 30, 2010</w:t>
            </w:r>
          </w:p>
        </w:tc>
        <w:tc>
          <w:tcPr>
            <w:tcW w:w="120" w:type="dxa"/>
            <w:vAlign w:val="bottom"/>
            <w:vMerge w:val="restart"/>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4"/>
                <w:szCs w:val="14"/>
                <w:color w:val="auto"/>
              </w:rPr>
            </w:pPr>
          </w:p>
        </w:tc>
        <w:tc>
          <w:tcPr>
            <w:tcW w:w="13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0"/>
              </w:rPr>
              <w:t>September 30, 2011</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1"/>
              </w:rPr>
              <w:t>September 30, 2010</w:t>
            </w:r>
          </w:p>
        </w:tc>
        <w:tc>
          <w:tcPr>
            <w:tcW w:w="120" w:type="dxa"/>
            <w:vAlign w:val="bottom"/>
            <w:vMerge w:val="restart"/>
          </w:tcPr>
          <w:p>
            <w:pPr>
              <w:spacing w:after="0"/>
              <w:rPr>
                <w:sz w:val="14"/>
                <w:szCs w:val="14"/>
                <w:color w:val="auto"/>
              </w:rPr>
            </w:pPr>
          </w:p>
        </w:tc>
        <w:tc>
          <w:tcPr>
            <w:tcW w:w="980" w:type="dxa"/>
            <w:vAlign w:val="bottom"/>
          </w:tcPr>
          <w:p>
            <w:pPr>
              <w:jc w:val="right"/>
              <w:ind w:right="154"/>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3"/>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Australian dollar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1.0504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0.9049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1.0396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0.8971</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1.5505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1.6147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1.5340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1.4136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1.2921</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1.4070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1.3164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Hungarian forint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0.0052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0.0046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0.0052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0.0048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Indian rupee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0.0219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0.0216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0.0221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0.0218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0.3418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0.3231</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0.3510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0.3295</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60"/>
        <w:spacing w:after="0" w:line="378" w:lineRule="auto"/>
        <w:rPr>
          <w:sz w:val="20"/>
          <w:szCs w:val="20"/>
          <w:color w:val="auto"/>
        </w:rPr>
      </w:pPr>
      <w:r>
        <w:rPr>
          <w:rFonts w:ascii="Arial" w:cs="Arial" w:eastAsia="Arial" w:hAnsi="Arial"/>
          <w:sz w:val="18"/>
          <w:szCs w:val="18"/>
          <w:b w:val="1"/>
          <w:bCs w:val="1"/>
          <w:color w:val="auto"/>
        </w:rPr>
        <w:t>COMPARISON OF OPERATING RESULTS FOR THE THREE- AND NINE-MONTH PERIODS ENDED SEPTEMBER 30, 2011 AND 2010 EFT PROCESSING SEGMENT</w:t>
      </w:r>
    </w:p>
    <w:p>
      <w:pPr>
        <w:ind w:right="460"/>
        <w:spacing w:after="0" w:line="277" w:lineRule="auto"/>
        <w:rPr>
          <w:sz w:val="20"/>
          <w:szCs w:val="20"/>
          <w:color w:val="auto"/>
        </w:rPr>
      </w:pPr>
      <w:r>
        <w:rPr>
          <w:rFonts w:ascii="Arial" w:cs="Arial" w:eastAsia="Arial" w:hAnsi="Arial"/>
          <w:sz w:val="18"/>
          <w:szCs w:val="18"/>
          <w:color w:val="auto"/>
        </w:rPr>
        <w:t>The following table presents the results of operations for the three- and nine-month periods ended September 30, 2011 and 2010 for our EFT Processing Segment: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7"/>
          </w:tcPr>
          <w:p>
            <w:pPr>
              <w:ind w:left="80"/>
              <w:spacing w:after="0"/>
              <w:rPr>
                <w:sz w:val="20"/>
                <w:szCs w:val="20"/>
                <w:color w:val="auto"/>
              </w:rPr>
            </w:pPr>
            <w:r>
              <w:rPr>
                <w:rFonts w:ascii="Arial" w:cs="Arial" w:eastAsia="Arial" w:hAnsi="Arial"/>
                <w:sz w:val="14"/>
                <w:szCs w:val="14"/>
                <w:b w:val="1"/>
                <w:bCs w:val="1"/>
                <w:color w:val="auto"/>
                <w:w w:val="99"/>
              </w:rPr>
              <w:t>Three Months Ended September</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14"/>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7"/>
              </w:rPr>
              <w:t>Increase</w:t>
            </w:r>
          </w:p>
        </w:tc>
        <w:tc>
          <w:tcPr>
            <w:tcW w:w="12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5"/>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86"/>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(Decrease)</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76"/>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50,246</w:t>
            </w: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49,098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144,985</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144,152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69,210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7,409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7,055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5 %</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20,159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2,171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2,432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3"/>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5,170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4,894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6 %</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15,352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14,304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1,048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41,242</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38,593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2,649</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120,657</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115,695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4,962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97"/>
        </w:trPr>
        <w:tc>
          <w:tcPr>
            <w:tcW w:w="26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9,004</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10,505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24,328</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28,457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9"/>
        </w:trPr>
        <w:tc>
          <w:tcPr>
            <w:tcW w:w="262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ATMs as of September 30</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12,668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10,519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20 %</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12,668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10,519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2,149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459"/>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revenues for the third quarter of 2011 increased when compared to the third quarter of 2010 primarily due to the impact of the stronger foreign currencies, growth in value-added services and an increase in the number of ATMs under management. Because our revenues are recorded in the functional currencies of our operating entities, amounts we earn in foreign currencies are positively impacted by the stronger foreign currencies. Partly offsetting the increase were decreases in transaction fees in Germany and lower software revenues. We were able to increase transaction fees in Germany beginning in mid-2009 and were generally able to maintain them through 2010; however, we experienced reductions in these fees beginning in 2011 as a result of market and regulatory factors. Accordingly, we expect that the EFT Processing Segment’s revenues and operating income will continue to reflect these reductions for the full year 2011. The decrease in software revenues was mainly due to having three significant sales in the third quarter of 2010 without similar sales in the third quarter of 2011. The increase in revenues for the first nine months of 2011 when compared to the first nine months of 2010 also reflects $1.2 million recognized in the first quarter of 2011 from the acceleration of previously deferred revenue related to a customer discontinuing a certain product in Greece. The increase was partly offset by decreased interchange fee revenues in Poland beginning in the second quarter of 2010. Further, we had significant sales of POS terminals in Slovakia during the first quarter of 2010 that did not recur in 2011.</w:t>
      </w:r>
    </w:p>
    <w:p>
      <w:pPr>
        <w:spacing w:after="0" w:line="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Average monthly revenue per ATM was $1,339 for the third quarter and $1,375 for the first nine months of 2011, compared to $1,560 for the third quarter and $1,547 for the first nine months of 2010. The decrease in the third quarter of 2011 from the third quarter of 2010 is primarily due to the reductions in transaction fees in Germany that took effect in the first quarter of 2011, partly offset by the impact of the stronger foreign currencies and growth in value-added services. The decrease in the first nine months of 2011 compared to the same period in 2010 was also the result of the decrease in interchange fee revenues in Poland that took effect in the second quarter of 2010. Revenue per transaction was $0.20 for the third quarter and $0.21 for the first nine months of 2011 compared to $0.25 for both the third quarter and first nine months of 2010. These decreases are primarily the result of the reductions in transaction fees in Germany, the lower software sales and the growth of Cashnet (Euronet's shared ATM network in India) transactions, which generate lower revenues per transaction than those on owned or outsourced ATMs. These decreases were partly offset by the impact of the stronger foreign currencies and growth in value-added services. The decrease in the first nine months of 2011 compared to the same period of 2010 also reflects the decreased interchange fee revenues in Poland.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Direct operating costs consist primarily of site rental fees, cash delivery costs, cash supply costs, maintenance, insurance, telecommunications and the cost of data center operations-related personnel, as well as the processing centers’ facility-related costs and other processing center-related expenses. Direct operating costs increased in the third quarter of 2011 compared to the third quarter of 2010 primarily due to the impact of the stronger foreign currencies and the increase in the number of ATMs under management, partly offset by operating cost improvements in Poland and lower costs corresponding to the lower software revenues. The decrease in direct operating costs for the first nine months of 2011, compared to the first nine months of 2010, is mainly attributed to the cost of the POS terminal sales in Slovakia in the first quarter of 2010 that did not recur in 2011 along with operating cost improvements in Poland, partly offset by the increase in the number of ATMs under management and the impact of the stronger foreign currencies.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Gross profit, which is calculated as revenues less direct operating costs, was $27.2 million for the third quarter and $76.5 million for the first nine months of 2011 compared to $26.6 million for the third quarter and $74.9 million for the first nine months of 2010. The increase for the third quarter of 2011 is primarily due to the impact of the stronger foreign currencies, growth in value-added services and the increase in ATMs under management, partly offset by reduced transaction fees in Germany and lower software sales. The increase in the first nine months of 2011 also reflects the reduced interchange fees in Poland and the deferred revenue recognized in Greece. Gross profit as a percentage of revenues (“gross margin”) was 54% for the third quarter and 53% for the first nine months of 2011 compared to 54% for the third quarter and 52% for the first nine months of 2010.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increase in salaries and benefits for the third quarter and first nine months of 2011 was primarily due to the impact of the stronger foreign currencies and increased bonus expense in the current year. As a percentage of revenues, these costs increased to 14.7% for the third quarter and 15.4% for the first nine months of 2011 compared to 14.4% for the third quarter and 14.0% for the first nine months of 2010, as a result of increased costs and the impact on revenues from the reduced transaction fees in Poland and Germany.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increase in selling, general and administrative expenses for the third quarter and first nine months of 2011 compared to the same periods of 2010 is primarily due to increased costs in growing markets and the impact of the stronger foreign currencies. The increase for the first nine months of 2011 also reflects increased bad debt expense as a result of unusually low bad debt expense in the first quarter of 2010 due to the collection of certain amounts that had been previously written off. As a percentage of revenues, selling, general and administrative expenses increased to 11.2% for the third quarter of 2011 from 8.5% for the third quarter of 2010. The first nine months of 2011 increased to 10.0% compared to 8.3% for the first nine months of 2010 as a result of increased costs and the impact on revenues from the reduced transaction fees in Poland and Germany.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Depreciation and amortization expense increased for the third quarter and first nine months of 2011 compared to the same periods of 2010 primarily due to the impact of the stronger foreign currencies. As a percentage of revenues, depreciation and amortization expense increased to 10.3% for the third quarter and 10.6% for the first nine months of 2011 compared to 10.0% for the third quarter and 9.9% for the first nine months of 2010, as a result of the impact on revenues from the reduced transaction fees in Poland and Germany.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Operating income decreased for the third quarter of 2011 compared to the third quarter of 2010 primarily due to the increase in selling, general and administrative costs and the reduced transaction fees in Germany, partly offset by the impact of the stronger foreign currencies, growth in value-added services and the increase in ATMs under management. The decrease in operating income for the first nine months of 2011 from the first nine months of 2010 also reflects the decreased interchange fee revenues in Poland. Operating income per transaction was $0.04 for the third quarter of 2011 and $0.05 for the third quarter of 2010 reflecting the reduced transaction fees in Germany, the increase in selling, general and administrative costs and the increase in Cashnet transactions, which have lower-than-average operating income per transaction, being largely offset by the impact of the stronger foreign currencies and the growth in value-added services. Operating income per transaction for the first nine months of 2011 was $0.04 compared to $0.05 for the same period of 2010, which also reflects the reduced interchange fee revenues in Poland and the deferred revenue recognized in Greece in the first quarter of 2011. Operating income as a percentage of revenues (“operating margin”) for the third quarter of 2011 was 17.9% compared to 21.4% for the third quarter of 2010, which is primarily due to the reduced transaction fees in Germany and the increased selling, general and administrative costs, partly offset by the growth in value-added services. Operating margin for the first nine months of 2011 was 16.8% compared to 19.7% for the same period of 2010, which also reflects the reduced interchange fee revenues in Poland and the deferred revenue recognized in Greece.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nine-month periods ended September 30, 2011 and 2010 for our epay Segment: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 September</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4"/>
              <w:spacing w:after="0"/>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22"/>
                <w:szCs w:val="22"/>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22"/>
                <w:szCs w:val="22"/>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76"/>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174,269</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148,037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26,232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485,861</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431,106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54,755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133,198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17,351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371,663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341,200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30,463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4,412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34,952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24,079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10,873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25,869</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5,590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4,173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309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13,480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1,330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160,987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136,239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24,748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445,964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397,708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48,256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97"/>
        </w:trPr>
        <w:tc>
          <w:tcPr>
            <w:tcW w:w="26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11,798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1,484</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39,897</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33,398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6,499</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59"/>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increase in revenues for the third quarter and first nine months of 2011 compared to the same periods of 2010 was primarily due to the impact of the stronger foreign currencies, the impact of our third quarter 2010 acquisition of Telecomnet, Inc., now known as epay Brazil, and an increase in transactions processed in Germany – mainly from increased demand for non-mobile products – and the impact of our third quarter 2011 acquisition of cadooz Holding GmbH ("cadooz"). This increase was partly offset by declines in the number of transactions processed in Australia and the U.K., which were mostly driven by economic and competitive pressures, lower-cost plans and the impact of certain large retailers entering into direct agreements with two mobile operators in Australia.</w:t>
      </w:r>
    </w:p>
    <w:p>
      <w:pPr>
        <w:spacing w:after="0" w:line="8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certain markets, our revenue growth has slowed due to mobile phone operators driving competitive reductions in commissions and distributing airtime directly through retailers, as well as overall economic conditions impacting customers' buying decisions. We expect most of our future revenue growth to be derived from: (i) additional electronic payment products sold over the base of POS terminals, (ii) developing markets or markets in which there is organic growth in the electronic top-up sector overall, and (iii) acquisitions, if available and commercially appropriate.</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Revenues per transaction were $0.64 for the third quarter and $0.62 for the first nine months of 2011 compared to $0.65 for the third quarter and $0.68 for the first nine months of 2010. The decrease in revenues per transaction is due mainly to the changes in the mix of transactions, particularly due to growth in India, where revenues per transaction are considerably lower than average, and our ATX subsidiary. ATX provides only transaction processing services without significant direct costs and other operating costs related to installing and managing terminals; therefore, the revenues we recognize from these transactions are a fraction of that recognized on average transactions, but with strong contribution to gross profit. The decreases were partly offset by the impact of the stronger foreign currencies.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Direct operating costs in the epay Segment include the commissions we pay to retail merchants for the distribution and sale of prepaid mobile airtime and other prepaid products, as well as expenses required to operate POS terminals. The increase in direct operating costs is generally attributable to the impact of the stronger foreign currencies, the impact of epay Brazil, increases in transactions processed in certain markets and the addition of cadooz. These increases are partly offset by declines in the number of transactions processed in Australia and the U.K. and a higher mix of lower cost transactions.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Gross profit, which represents revenues less direct costs, was $41.1 million for the third quarter and $114.2 million for the first nine months of 2011 compared to $32.2 million for the third quarter and $89.9 million for the first nine months of 2010. The primary causes of the increase in gross profit are the impact of the stronger foreign currencies, the impact of epay Brazil, the increased transaction volumes in Germany – mainly from increased demand for non-mobile products – and the addition of cadooz, partly offset by transaction volume declines in Australia. Gross margin increased to 24% for the third quarter and the first nine months of 2011 compared to 22% for the third quarter and 21% for the first nine months of 2010, mainly reflecting the impact of epay Brazil and the growth in Germany. Gross profit per transaction increased to $0.15 for the third quarter and first nine months of 2011 compared to $0.14 for the same periods of 2010, reflecting the impact of the stronger foreign currencies being largely offset by the impact of a higher percentage of lower profit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increase in salaries and benefits for the third quarter and first nine months of 2011 compared to the same periods of 2010 is primarily due to the impacts of epay Brazil and the stronger foreign currencies, along with additional headcount to support development of new products and growing markets. As a percentage of revenues, salaries and benefits increased to 7.5% for the third quarter and 7.2% for the first nine months of 2011 from 5.8% for the third quarter and 5.6% for the first nine months of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increase in selling, general and administrative expenses for the third quarter and first nine months of 2011 compared to the same periods of 2010 is mainly due to the impacts of epay Brazil, the acquisition of cadooz and the stronger foreign currencies, along with additional overhead to support development of new products and growing markets. As a percentage of revenues, these expenses increased to 5.9% for the third quarter and 5.3% for the first nine months of 2011 from 5.1% for the third quarter and 4.7% for the first nine months of 2010.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Depreciation and amortization expense primarily represents amortization of acquired intangible assets and the depreciation of POS terminals we install in retail stores. Depreciation and amortization expense increased for the third quarter and first nine months of 2011 compared to the same periods of 2010 mainly due to the impacts of epay Brazil and the stronger foreign currencies, partly offset by decreased expense in mature markets where acquired intangible assets are becoming fully amortized and POS terminals are becoming fully depreciated at a faster rate than new terminals are being installed. As a percentage of revenues, these expenses decreased slightly to 2.6% for the third quarter of 2011 from 2.8% for the third quarter of 2010 and remained flat at 2.8% for the first nine months of 2011 and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increases in operating income for the third quarter and first nine months of 2011 compared to the same periods of 2010 are primarily due to the impact of our September 2010 acquisition of epay Brazil, the growth in Germany – mainly from increased demand for non-mobile products – and the impact of the stronger foreign currencies, partly offset by increased overall operating expenses as described above and decreased profitability in Australia. Operating margin was 7.6% for the third quarter and 8.2% for the first nine months of 2011 compared to 8.0% for the third quarter and 7.7% for the first nine months of 2010. The decrease for the third quarter 2011 compared to the same period of 2010 is primarily due to the impact of our acquisition of cadooz which added revenues but had very little effect on operating income because of the acquisition-related expenses. The increase for the first nine months of 2011 compared to the same period of 2010 is mainly due to the growth in Germany. Operating income per transaction remained flat at $0.05 for the third quarter and first nine months of 2011 and 2010.</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tables present the results of operations for the three- and nine-month periods ended September 30, 2011 and 2010 for the Money Transfer Segment: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7"/>
          </w:tcPr>
          <w:p>
            <w:pPr>
              <w:ind w:left="80"/>
              <w:spacing w:after="0"/>
              <w:rPr>
                <w:sz w:val="20"/>
                <w:szCs w:val="20"/>
                <w:color w:val="auto"/>
              </w:rPr>
            </w:pPr>
            <w:r>
              <w:rPr>
                <w:rFonts w:ascii="Arial" w:cs="Arial" w:eastAsia="Arial" w:hAnsi="Arial"/>
                <w:sz w:val="14"/>
                <w:szCs w:val="14"/>
                <w:b w:val="1"/>
                <w:bCs w:val="1"/>
                <w:color w:val="auto"/>
                <w:w w:val="99"/>
              </w:rPr>
              <w:t>Three Months Ended September</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3"/>
                <w:szCs w:val="13"/>
                <w:color w:val="auto"/>
              </w:rPr>
            </w:pPr>
          </w:p>
        </w:tc>
        <w:tc>
          <w:tcPr>
            <w:tcW w:w="12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6"/>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75,103</w:t>
            </w: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12,015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211,285</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179,196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32,089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34,333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5,233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96,797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13,071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18,517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14,924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3,593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51,882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43,007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8,875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34,553</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6,752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5,148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15,460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15,205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255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70,302</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10,939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198,692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169,739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28,953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97"/>
        </w:trPr>
        <w:tc>
          <w:tcPr>
            <w:tcW w:w="26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4,801</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3,725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1,076</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29 %</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12,593</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9,457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3,136</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increase in revenues for the third quarter and first nine months of 2011 compared to revenues for the same periods of 2010 is primarily due to the increase in the number of transactions processed and the impact of the stronger foreign currencies. The growth in transactions processed was driven by a 15% and 18% increase in transfers from non-U.S. markets in the third quarter and first nine months of 2011, respectively, and growth in other products such as check cashing and bill payment. The increase in transfers from non-U.S. markets is due to the expansion of our agent and correspondent payout networks.</w:t>
      </w:r>
    </w:p>
    <w:p>
      <w:pPr>
        <w:spacing w:after="0" w:line="4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Revenues per transaction increased to $12.31 for the third quarter and $12.14 for the first nine months of 2011 from $11.68 for the third quarter and $11.56 for the first nine months of 2010. The growth rate of revenues exceeded the transaction growth rate for the third quarter and first nine months of 2011 compared to the same periods of 2010 largely as a result of the impact of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stronger foreign currencies and the continued shift in transaction mix to non-U.S. locations, which generally have higher-than-average revenues per transaction. For the nine months ended September 30, 2011, 58% of our money transfers were initiated in the U.S. and 42% in non-U.S. markets compared to 60% initiated in the U.S. and 40% in non-U.S. markets for the nine months ended September 30, 2010. We expect that the U.S. will continue to represent our highest volume market; however, continued future growth is expected to be derived from the addition of new products and the expansion of our agent and correspondent payout networks in new and existing markets, primarily outside the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Direct operating costs in the Money Transfer Segment primarily represent commissions paid to agents that originate money transfers on our behalf and correspondent agents that disburse funds to the customers’ destination beneficiary, together with less significant costs, such as telecommunication costs and bank fees to collect money from sending agents. The increase in direct operating costs in the third quarter and first nine months of 2011 compared to the same periods of 2010 is primarily due to the growth in transactions processed and the impact of the stronger foreign currencies.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Gross profit, which represents revenues less direct costs, was $40.8 million for the third quarter and $114.5 million for the first nine months of 2011 compared to $34.0 million for the third quarter and $95.5 million for the first nine months of 2010. The improvements are primarily due to the growth in money transfer transactions, the impact of the stronger foreign currencies, the shift in transaction mix to transfers from non-U.S. sources and the addition of new products.</w:t>
      </w:r>
    </w:p>
    <w:p>
      <w:pPr>
        <w:ind w:right="880"/>
        <w:spacing w:after="0" w:line="261" w:lineRule="auto"/>
        <w:rPr>
          <w:sz w:val="20"/>
          <w:szCs w:val="20"/>
          <w:color w:val="auto"/>
        </w:rPr>
      </w:pPr>
      <w:r>
        <w:rPr>
          <w:rFonts w:ascii="Arial" w:cs="Arial" w:eastAsia="Arial" w:hAnsi="Arial"/>
          <w:sz w:val="18"/>
          <w:szCs w:val="18"/>
          <w:color w:val="auto"/>
        </w:rPr>
        <w:t>Gross margin was 54% for both the third quarter and first nine months of 2011 compared to 54% and 53% for the respective periods of 2010. This improvement primarily reflects the shift in transaction mix to transfers from non-U.S. 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increase in salaries and benefits for the third quarter and first nine months of 2011 compared to the same periods of 2010 is due to the increased expenditures we incurred to support expansion of our operations, primarily internationally, and the impact of the stronger foreign currencies. As a percentage of revenues, salaries and benefits increased to 24.7% for the third quarter and 24.6% for the first nine months of 2011 compared to 23.7% for the third quarter and 24.0% for the first nine months of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Selling, general and administrative expenses increased for the third quarter and first nine months of 2011 compared to the same periods of 2010, primarily as the result of the increased expenditures we incurred to support expansion of our operations, primarily internationally, and the impact of the stronger foreign currencies. As a percentage of revenues, selling, general and administrative expenses increased to 16.5% for the third quarter and 16.4% for the first nine months of 2011 from 16.2% for the third quarter and 15.5% for the first nine months of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Depreciation and amortization primarily represents amortization of acquired intangible assets and depreciation of money transfer terminals, computers and software, leasehold improvements and office equipment. For the first nine months of 2011, depreciation and amortization increased compared to the same period in 2010, primarily as a result of the impact of the stronger foreign currencies. For the third quarter of 2011, depreciation and amortization decreased slightly compared to the third quarter of 2010 as the impact of the stronger foreign currencies was offset by certain acquired intangible assets becoming fully amortized at the end of the first quarter of 2011. As a percentage of revenues, depreciation and amortization decreased to 6.8% for the third quarter and 7.3% for the first nine months of 2011 from 8.2% for the third quarter and 8.5% for the first nine months of 2010, reflecting the intangibles which became fully amortized in 2011 and a shift in achieving a greater portion of expansion through agents which requires less capital expenditures than expansion from adding company-owned stores.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Operating income increased by $1.1 million for the third quarter and $3.1 million for the first nine months of 2011 compared to the same periods of 2010. These increases reflect the growth in transactions processed, the acquired intangible assets becoming fully amortized, the shift in transactions to non-U.S. markets, the impact of the stronger foreign currencies and the addition of new products, partly offset by increased salaries and benefits and selling, general and administrative expenses for expansion. Operating margin was 6.4% for the third quarter and 6.0% for the first nine months of 2011 compared to 5.9% for the third quarter and 5.3% for the first nine months of 2010, while operating income per transaction increased to $0.79 for the third quarter and $0.72 for the first nine months of 2011 from $0.69 for the third quarter and $0.61 for the first nine months of 2010.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operating expenses for the three- and nine-month periods ended September 30, 2011 and 2010 for Corporate Services: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7"/>
          </w:tcPr>
          <w:p>
            <w:pPr>
              <w:ind w:left="80"/>
              <w:spacing w:after="0"/>
              <w:rPr>
                <w:sz w:val="20"/>
                <w:szCs w:val="20"/>
                <w:color w:val="auto"/>
              </w:rPr>
            </w:pPr>
            <w:r>
              <w:rPr>
                <w:rFonts w:ascii="Arial" w:cs="Arial" w:eastAsia="Arial" w:hAnsi="Arial"/>
                <w:sz w:val="14"/>
                <w:szCs w:val="14"/>
                <w:b w:val="1"/>
                <w:bCs w:val="1"/>
                <w:color w:val="auto"/>
                <w:w w:val="99"/>
              </w:rPr>
              <w:t>Three Months Ended September</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w w:val="99"/>
              </w:rPr>
              <w:t>Year-over-Year Change</w:t>
            </w:r>
          </w:p>
        </w:tc>
        <w:tc>
          <w:tcPr>
            <w:tcW w:w="2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14,898</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3,516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9"/>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Selling, general and</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200"/>
              <w:spacing w:after="0"/>
              <w:rPr>
                <w:sz w:val="20"/>
                <w:szCs w:val="20"/>
                <w:color w:val="auto"/>
              </w:rPr>
            </w:pPr>
            <w:r>
              <w:rPr>
                <w:rFonts w:ascii="Arial" w:cs="Arial" w:eastAsia="Arial" w:hAnsi="Arial"/>
                <w:sz w:val="18"/>
                <w:szCs w:val="18"/>
                <w:color w:val="auto"/>
              </w:rPr>
              <w:t>administrative</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Arial" w:cs="Arial" w:eastAsia="Arial" w:hAnsi="Arial"/>
                <w:sz w:val="18"/>
                <w:szCs w:val="18"/>
                <w:color w:val="auto"/>
              </w:rPr>
              <w:t>584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5,526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4,167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1,359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7"/>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6,965</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5,766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1,199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20,679</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16,279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4,400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Overall, operating expenses for Corporate Services increased for the third quarter and first nine months of 2011 compared to the same periods of 2010. The increase in salaries and benefits is primarily the result of an increase in share-based compensation expense. The increase in selling, general and administrative expenses is due mainly to higher professional fees for legal expenses and tax consulting. The decrease in depreciation and amortization for the first nine months of 2011 compared to the same period of 2010 is primarily due to a three-year enterprise-wide desktop license becoming fully amortized in May of 2010.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 September</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74"/>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7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2"/>
              </w:rPr>
              <w:t>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(5,180)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(15,686)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from unconsolidated</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Gain on settlements</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3,110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(3,110)</w:t>
            </w:r>
          </w:p>
        </w:tc>
        <w:tc>
          <w:tcPr>
            <w:tcW w:w="120" w:type="dxa"/>
            <w:vAlign w:val="bottom"/>
          </w:tcPr>
          <w:p>
            <w:pPr>
              <w:spacing w:after="0"/>
              <w:rPr>
                <w:sz w:val="21"/>
                <w:szCs w:val="21"/>
                <w:color w:val="auto"/>
              </w:rPr>
            </w:pP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early retirement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Foreign currency exchange gain</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gridSpan w:val="2"/>
          </w:tcPr>
          <w:p>
            <w:pPr>
              <w:ind w:left="200"/>
              <w:spacing w:after="0"/>
              <w:rPr>
                <w:sz w:val="20"/>
                <w:szCs w:val="20"/>
                <w:color w:val="auto"/>
              </w:rPr>
            </w:pPr>
            <w:r>
              <w:rPr>
                <w:rFonts w:ascii="Arial" w:cs="Arial" w:eastAsia="Arial" w:hAnsi="Arial"/>
                <w:sz w:val="18"/>
                <w:szCs w:val="18"/>
                <w:color w:val="auto"/>
              </w:rPr>
              <w:t>(loss), net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(11,854)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8,956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(20,810)</w:t>
            </w:r>
          </w:p>
        </w:tc>
        <w:tc>
          <w:tcPr>
            <w:tcW w:w="120" w:type="dxa"/>
            <w:vAlign w:val="bottom"/>
          </w:tcPr>
          <w:p>
            <w:pPr>
              <w:spacing w:after="0"/>
              <w:rPr>
                <w:sz w:val="20"/>
                <w:szCs w:val="20"/>
                <w:color w:val="auto"/>
              </w:rPr>
            </w:pP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6,550</w:t>
            </w:r>
          </w:p>
        </w:tc>
        <w:tc>
          <w:tcPr>
            <w:tcW w:w="120" w:type="dxa"/>
            <w:vAlign w:val="bottom"/>
          </w:tcPr>
          <w:p>
            <w:pPr>
              <w:spacing w:after="0"/>
              <w:rPr>
                <w:sz w:val="20"/>
                <w:szCs w:val="20"/>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(16,564)</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(24,421)</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4,717</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increases in interest income for the third quarter and the nine months ending September 30, 2011 from the same periods of 2010 are primarily due to increased interest rates in Australia and Poland and the impact of the September 2010 acquisition of epay Brazil, which earns interest on cash collateral for bank guarantees.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increases in interest expense for the third quarter and first nine months of 2011 from the same periods of 2010 are primarily related to interest expense on capital leases and letter of credit fees incurred by epay Brazil.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from unconsolidated affiliates represents the equity in income of our 40% equity investment in epay Malaysia, our 49% investment in Euronet Middle East and our 47% investment in Euronet Indonesia. The increase in income is primarily the result of higher profitability of epay Malaysia and Euronet Middle East. Additionally, during the third quarter of 2010, we made a loan to Euronet Indonesia which caused us to recognize previous unrecognized losses as our investment had been fully written off due to losses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settlements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the first quarter of 2011, Euronet recorded $1.0 million from the settlement of a class action lawsuit related to losses on MoneyGram, Inc. stock we formerly held.</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third quarter of 2010, we reached a settlement regarding a dispute with the sellers of Ria Envia, Inc. (“Ria”). We received 226,634 shares of Euronet stock that had been held in escrow related to the Ria acquisition. The $3.5 million fair value of the shares on the date of settlement was recorded as an addition to treasury stock and $3.1 million, net of settlement costs, was recorded as a non-operating gain.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retirement of debt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third quarter of 2011, we entered into an amended and expanded credit facility and recorded a $1.7 million loss primarily related to the write-off of deferred financing costs associated with the extinguished credit facility. Also during the third quarter of 2011, we repurchased $3.6 million principal amount of our 3.5% convertible debentures and recognized a $0.2 million loss representing the difference in the amounts paid for the convertible debentures over their carrying amounts, including deferred financing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generated on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5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recorded a net foreign currency exchange loss of $11.9 million in the third quarter and a gain of $1.1 million in the first nine months of 2011 compared to a net foreign currency gain of $9.0 million in the third quarter and a loss of $5.5 million in the first nine months of 2010. These realized and unrealized foreign currency exchange gains and losses reflect the respective weakening and strengthening of the U.S. dollar against most of the currencies of the countries in which we operate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rates as reported and as adjusted are calculated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32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4"/>
        </w:trPr>
        <w:tc>
          <w:tcPr>
            <w:tcW w:w="6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2010</w:t>
            </w: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28,119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46,433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40,610</w:t>
            </w: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(6,483)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(7,054)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(19,433)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(17,185)</w:t>
            </w:r>
          </w:p>
        </w:tc>
      </w:tr>
      <w:tr>
        <w:trPr>
          <w:trHeight w:val="27"/>
        </w:trPr>
        <w:tc>
          <w:tcPr>
            <w:tcW w:w="6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(2,925)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21,065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27,000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23,425</w:t>
            </w: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6"/>
        </w:trPr>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64"/>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28,119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46,433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40,610</w:t>
            </w: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Adjust: Foreign currency exchange gain (loss), net</w:t>
            </w:r>
          </w:p>
        </w:tc>
        <w:tc>
          <w:tcPr>
            <w:tcW w:w="24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(11,854)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8,956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(5,467)</w:t>
            </w: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 Legal settlement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3,110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3,110</w:t>
            </w: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Adjust: Loss on early retirement of debt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as adjusted</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17,311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16,053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46,249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42,967</w:t>
            </w: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(7,054)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(17,185)</w:t>
            </w:r>
          </w:p>
        </w:tc>
      </w:tr>
      <w:tr>
        <w:trPr>
          <w:trHeight w:val="229"/>
        </w:trPr>
        <w:tc>
          <w:tcPr>
            <w:tcW w:w="6580" w:type="dxa"/>
            <w:vAlign w:val="bottom"/>
            <w:gridSpan w:val="2"/>
          </w:tcPr>
          <w:p>
            <w:pPr>
              <w:ind w:left="40"/>
              <w:spacing w:after="0"/>
              <w:rPr>
                <w:sz w:val="20"/>
                <w:szCs w:val="20"/>
                <w:color w:val="auto"/>
              </w:rPr>
            </w:pPr>
            <w:r>
              <w:rPr>
                <w:rFonts w:ascii="Arial" w:cs="Arial" w:eastAsia="Arial" w:hAnsi="Arial"/>
                <w:sz w:val="18"/>
                <w:szCs w:val="18"/>
                <w:color w:val="auto"/>
                <w:w w:val="98"/>
              </w:rPr>
              <w:t>Adjust: Income tax (expense) benefit attributable to foreign currency exchange gain</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(loss), net</w:t>
            </w:r>
          </w:p>
        </w:tc>
        <w:tc>
          <w:tcPr>
            <w:tcW w:w="240" w:type="dxa"/>
            <w:vAlign w:val="bottom"/>
          </w:tcPr>
          <w:p>
            <w:pPr>
              <w:spacing w:after="0"/>
              <w:rPr>
                <w:sz w:val="20"/>
                <w:szCs w:val="20"/>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228</w:t>
            </w:r>
          </w:p>
        </w:tc>
      </w:tr>
      <w:tr>
        <w:trPr>
          <w:trHeight w:val="27"/>
        </w:trPr>
        <w:tc>
          <w:tcPr>
            <w:tcW w:w="6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 as adjusted</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(6,743)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(6,906)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(19,623)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(17,413)</w:t>
            </w: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4"/>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 as adjusted</w:t>
            </w: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effective tax rates were 182.2% and 25.1% for the three-month periods ended September 30, 2011 and 2010, respectively, and were 41.9% and 42.3% for the nine-month periods ended September 30, 2011 and 2010, respectively. The effective tax rates were significantly influenced by the foreign currency exchange gains and losses, gains on settlements and loss on early retirement of debt in the respective periods. Excluding these items from pre-tax income, as well as the related tax effects for these items, our effective tax rates were 39.0% and 43.0% for the three months ended September 30, 2011 and 2010, respectively, and 42.4% and 40.5% for the nine months ended September 30, 2011 and 2010, respectively.</w:t>
      </w:r>
    </w:p>
    <w:p>
      <w:pPr>
        <w:spacing w:after="0" w:line="6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increases in the effective tax rates, as adjusted, for the three and nine months ended September 30, 2011 compared to the applicable statutory rate of 35% are primarily related to our U.S. income tax positions. For the three- and nine-month periods ended September 30, 2011, we have recorded a valuation allowance against our U.S. income tax net operating losses as it is more likely than not that a tax benefit will not be realized. Accordingly, the income tax benefits associated with pre-tax book losses generated by our U.S. entities have not been recognized in these periods.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decrease in the effective tax rate, as adjusted, for the third quarter of 2011 from the same period of 2010 is primarily due to a foreign tax law change which was retroactively effective to the second quarter 2011 and foreign country tax return true ups. The effective tax rate for the nine month period ended September 30, 2011 was higher than from the same period of 2010 because a greater portion of the Company's income was earned in countries with higher tax rates during the first nine months of 2011 than during the same period of 2010.</w:t>
      </w:r>
    </w:p>
    <w:p>
      <w:pPr>
        <w:spacing w:after="0" w:line="7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Income from continuing operations before income taxes, as adjusted, income tax expense, as adjusted and effective income tax rate, as adjusted are non-GAAP financial measures that management believes are useful for understanding why our effective tax rates are significantly different than would be expected.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Net income attributable to noncontrolling interests was $0.3 million for the third quarter and $1.0 million for the first nine months of 2011 compared to $0.1 million for the third quarter and $1.1 million for the first nine months of 2010. Noncontrolling interests represents the elimination of net income or loss attributable to the minority shareholders’ portion of the following consolidated subsidiaries that are not wholly owned: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320" w:type="dxa"/>
            <w:vAlign w:val="bottom"/>
            <w:gridSpan w:val="2"/>
          </w:tcPr>
          <w:p>
            <w:pPr>
              <w:ind w:left="360"/>
              <w:spacing w:after="0"/>
              <w:rPr>
                <w:sz w:val="20"/>
                <w:szCs w:val="20"/>
                <w:color w:val="auto"/>
              </w:rPr>
            </w:pPr>
            <w:r>
              <w:rPr>
                <w:rFonts w:ascii="Arial" w:cs="Arial" w:eastAsia="Arial" w:hAnsi="Arial"/>
                <w:sz w:val="14"/>
                <w:szCs w:val="14"/>
                <w:b w:val="1"/>
                <w:bCs w:val="1"/>
                <w:color w:val="auto"/>
              </w:rPr>
              <w:t>Percent</w:t>
            </w:r>
          </w:p>
        </w:tc>
        <w:tc>
          <w:tcPr>
            <w:tcW w:w="21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Segment - Country</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e-pay SRL</w:t>
            </w: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epay - Italy</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ATX</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epay - various</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EFT - Pakistan</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Euronet Services LLC</w:t>
            </w: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EFT - Russia</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EURONET WORLDWIDE, INC.</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Net loss attributable to Euronet Worldwide, Inc. was $3.2 million for the third quarter of 2011 and net income was $26.0 million for the first nine months of 2011 compared to net income of $21.0 million for the third quarter of 2010 and $22.3 million for the first nine months of 2010. As more fully discussed above, the increase in income of $3.7 million for the first nine months of 2011 as compared to the same period in 2010 was primarily the result of the $6.6 million increase in foreign currency exchange gains. Additionally, net interest expense decreased by $1.7 million in the first nine months of 2011 compared to the same period in 2010 and operating income increased by $1.1 million. These increases were partly offset by the recognition of a gain on settlement of $1.0 million during the first quarter of 2011 compared to $3.1 million recognized in the third quarter of 2010, an increase in income tax expense of $2.2 million and a $1.9 million loss on early retirement of debt recorded in the third quarter of 2011. Other items increased net income by $0.5 million during the first nine months of 2011 compared to the same period in 2010.</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September 30, 2011, we had working capital, which is calculated as the difference between total current assets and total current liabilities, of $144.8 million, compared to working capital of $156.7 million as of December 31, 2010. Our ratio of current assets to current liabilities was 1.29 as of September 30, 2011, compared to 1.27 as of December 31, 2010. The decrease in working capital was primarily due to the cash used to purchase cadooz and Euronet common stock, partly offset by working capital produced by operations during the first nine months of 2011 and borrowings under the revolving credit facility.</w:t>
      </w:r>
    </w:p>
    <w:p>
      <w:pPr>
        <w:spacing w:after="0" w:line="8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fiscal period ends. As of September 30, 2011, working capital in the Money Transfer Segment was $93.5 million. We expect that working capital needs will increase as we expand this business. The epay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majority of our cash and cash equivalents are held in jurisdictions outside of the U.S. and expected to be indefinitely reinvested for continued use in foreign operations. Repatriation of these assets to the U.S. could have negative tax consequences.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Cash flows provided by operating activities were $78.0 million for the first nine months of 2011 compared to $85.8 million for the first nine months of 2010. The decrease is primarily due to fluctuations in working capital mainly associated with the timing of the settlement processes with mobile operators in the epay Segment and with correspondents in the Money Transfer Segment, partly offset by improved operating results.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Cash flows used in investing activities were $89.4 million for the first nine months of 2011 compared to $46.7 million for the first nine months of 2010. We used $54.1 million for acquisitions in the first nine months of 2011 compared to $24.4 million for the same period in 2010. Purchases of property and equipment used $32.7 million and $21.1 million of cash for the first nine months of 2011 and 2010, respectively. Additionally, cash used for software development and other investing activities totaled $2.6 million for the first nine months of 2011 and $1.2 million for the first nine months of 2010.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Cash flows provided by financing activities were $8.7 million during the first nine months of 2011 compared to cash used of $43.6 million during the first nine months of 2010. Our financing activities for the first nine months of 2011 centered around the amendment of our credit facility which resulted in net borrowings of $26.1 million compared to net repayments of long-term borrowings of $43.8 million for the first nine months of 2010. To support the short-term cash needs of our Money Transfer Segment, we generally borrow amounts under our revolving credit facility several times each month to fund the correspondent network in advance of collecting remittance amounts from the agency network. These borrowings are repaid over a very short period of time, generally within a few days. As a result of this and the credit facility amendment, during the first nine months of 2011 we had a total of $247.5 million in borrowings and $172.2 million in repayments under our revolving credit facilities. During the first nine months of 2011, we used $127.0 million for repayments of our previous term loan, received proceeds of $80.0 million from our new term loan and paid $3.2 million in debt issuance costs. Additionally, for the nine months ended September 30, 2011 and 2010, we paid $2.2 million and $1.9 million, respectively, for capital lease obligations. Further, we paid cash of $10.4 million for the repurchase of Euronet common stock and received $2.1 million for the issuance of stock in the first nine months of 2011 compared to receiving $1.5 million from the issuance of Euronet common stock in the first nine months of 2010. During the first nine months of 2011, $5.5 million of the payments made in settlement of contingent consideration related to two different acquisitions were recognized as financing activities. We paid $1.1 million and $1.7 million of dividends to noncontrolling interests stockholders during the first nine months of 2011 and 2010, respectively. Finally, in the first nine months of 2011, we received a $0.6 million equity contribution from the noncontrolling interest stockholder of our Pakistan subsidiary.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financing and investing cash requirements primarily depend on our acquisition activity and the related financing needs.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We have a $355 million senior secured credit facility (the "Credit Facility") consisting of a $265 million five-year revolving credit facility, a $10 million five-year India revolving credit facility and an $80 million five-year term loan. The revolving credit facility allows for borrowings in U.S. dollars, euro, British pound sterling, Australian dollars and/or Indian rupees.</w:t>
      </w:r>
    </w:p>
    <w:p>
      <w:pPr>
        <w:spacing w:after="0" w:line="73"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$265 million revolving credit facility contains a $200 million sublimit for the issuance of letters of credit and a $25 million sublimit for swingline loans. We intend to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 Subject to certain conditions, we have the option to increase the Credit Facility by up to an additional $205 million by requesting additional commitments from existing or new lenders. Fees and interest on borrowings vary based upon the Company's consolidated total leverage ratio (as defined in the Amended and Restated Credit Agreement) and will be based, in the case of letter of credit fees, on a margin, and in the case of interest, on a margin over London Inter-Bank Offered Rate ("LIBOR") or a margin over the base rate, as selected by us, with the applicable margin ranging from 1.5% to 2.5% (or 0.5% to 1.5% for base rate loans). The base rate is the highest of (i) the Bank of America prime rate, (ii) the Federal Funds rate plus 0.50% or (iii) the Fixed LIBOR rate plus 1.00%. The term loan is subject to scheduled quarterly amortization payments, as set forth in the Amended and Restated Credit Agreement. The maturity date for the Credit Facility is five years from the closing date, at which time the outstanding principal balance and all accrued interest will be due and payable in full. Financing costs of $3.8 million have been deferred and are being amortized over the terms of the respective loans.</w:t>
      </w:r>
    </w:p>
    <w:p>
      <w:pPr>
        <w:spacing w:after="0" w:line="6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of September 30, 2011, we had borrowings of $80.0 million outstanding under the term loan. We had $75.3 million of borrowings and $38.6 million of stand-by letters of credit outstanding under the revolving credit facility as of September 30, 2011. The remaining $161.1 million under the revolving credit facility was available for borrowing. As of September 30, 2011, our weighted average interest rate was 3.0% under the revolving credit facility and 2.2% under the term loan, excluding amortization of deferred financing costs.</w:t>
      </w:r>
    </w:p>
    <w:p>
      <w:pPr>
        <w:spacing w:after="0" w:line="7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For more information regarding our Credit Facility, please read Note 6, Debt Obligations, to our unaudited consolidated financial statements included elsewhere in this report.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at September 30, 2011 were primarily comprised of the $4.0 million repayment requirement under the term loan. Certain of our subsidiaries also have available credit lines and overdraft facilities to supplement short-term working capital requirements, when necessary, and there was $0.8 million outstanding under these facilities as of September 30, 2011.</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that the short-term debt obligations can be funded through cash generated from operations, together with cash on hand or borrowings under our revolving credit facility.</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We have $171.4 million in principal amount of 3.50% Convertible Debentures Due 2025 that are convertible into 4.2 million shares of Euronet common stock at a conversion price of $40.48 per share upon the occurrence of certain events (relating to the closing prices of Euronet common stock exceeding certain thresholds for specified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On the maturity date, these debentures can be settled in cash or Euronet common stock, at our option, at predetermined conversion rates.</w:t>
      </w:r>
    </w:p>
    <w:p>
      <w:pPr>
        <w:spacing w:after="0" w:line="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Should holders of the 3.50% convertible debentures require us to repurchase their debentures on October 15, 2012, we believe we will have sufficient cash on hand and amounts available under our revolving credit facility to fund these required repurchases. These terms and other material terms and conditions applicable to the convertible debentures are set forth in the indenture agreement governing the debentures.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Debt and equity repurchases</w:t>
      </w:r>
      <w:r>
        <w:rPr>
          <w:rFonts w:ascii="Arial" w:cs="Arial" w:eastAsia="Arial" w:hAnsi="Arial"/>
          <w:sz w:val="18"/>
          <w:szCs w:val="18"/>
          <w:color w:val="auto"/>
        </w:rPr>
        <w:t xml:space="preserve"> — In August 2011, our Board of Directors authorized the repurchase of any of our convertible debentures and up to $100 million or 5 million shares of our common stock. During the third quarter of 2011, we repurchased $10.4 million of our common stock and agreed to repurchase $2.5 million of our common stock and $3.6 million principal value of our convertible debentures. We expect to repurchase additional securities when prices provide attractive returns on capital.</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During the second quarter of 2011, we paid $6.4 million to the sellers of Telecomnet, Inc. and another smaller business in final settlement of the respective contingent consideration.</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 of the net assets acquired in the September 2011 acquisition of cadooz includes a liability for additional purchase price consideration based upon the level of revenue achieved by one of cadooz's subsidiaries for the three-year period ending in February 2014.</w:t>
      </w:r>
    </w:p>
    <w:p>
      <w:pPr>
        <w:spacing w:after="0" w:line="6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have potential contingent obligations to the former owner of the net assets of Movilcarga. Based upon presently available information, we do not believe any additional payments will be required. The seller disputed this conclusion and initiated arbitration as provided for in the purchase agreement. An independent expert was engaged to review the results of the computation, but procedures for such review have never been commenced, principally because the seller is in a bankruptcy proceeding. Any additional payments, if ultimately determined to be owed the seller, will be recorded as additional goodwill and could be made in either cash or a combination of cash and Euronet common stock at our option.</w:t>
      </w:r>
    </w:p>
    <w:p>
      <w:pPr>
        <w:spacing w:after="0" w:line="6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first nine months of 2011 were $33.3 million. These capital expenditures were primarily for the purchase of ATMs in Poland and Germany, the purchase of POS terminals for the epay and Money Transfer Segments, and office, data center and company store computer equipment and software. Total capital expenditures for 2011 are currently estimated to be approximately $45 million to $55 million.</w:t>
      </w:r>
    </w:p>
    <w:p>
      <w:pPr>
        <w:spacing w:after="0" w:line="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epay Segment, approximately 129,000 of the approximately 591,000 POS devices that we operate are Company-owned, with the remaining terminals being operated as integrated cash register devices of our major retail customers or owned by the retailers. As our epay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Australia epay business has recently experienced year-over-year declines in the number of transactions it processes, which</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has reduced its profitability. Continued economic and competitive pressures in Australia may negatively impact the epay Segment's profitability in the near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September 30, 2011, there were no material changes from the disclosure in our Annual Report on Form 10-K for the year ended December 31, 2010. To date, we are not aware of any significant claims made by the indemnified parties or parties to whom we have provided guarantees on behalf of our subsidiaries and, accordingly, no liabilities have been recorded as of September 30, 2011. See also Note 10, Guarantees,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As of September 30, 2011, the only material changes from the disclosures relating to contractual obligations contained in our Annual Report on Form 10-K for the year ended December 31, 2010, are related to amending and extending our Credit Facility. Our debt under the Credit Facility has increased by $28.3 million and the due dates of both the revolving credit facility and term loan were extended until August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technological developments affecting the market for our products and services; foreign currency exchange fluctuations; our ability to renew existing contracts at profitable rates; changes in laws and regulations affecting our business, including immigration laws, and those referred to above and as set forth and more fully described in Part I, Item 1A — Risk Factors of our Annual Report on Form 10-K for the year ended December 31, 2010. We do not intend, and do not undertake, any obligation to update any forward looking statements to reflect future events or circumstances after the date of such statements.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60"/>
        <w:spacing w:after="0" w:line="255" w:lineRule="auto"/>
        <w:rPr>
          <w:sz w:val="20"/>
          <w:szCs w:val="20"/>
          <w:color w:val="auto"/>
        </w:rPr>
      </w:pPr>
      <w:r>
        <w:rPr>
          <w:rFonts w:ascii="Arial" w:cs="Arial" w:eastAsia="Arial" w:hAnsi="Arial"/>
          <w:sz w:val="18"/>
          <w:szCs w:val="18"/>
          <w:color w:val="auto"/>
        </w:rPr>
        <w:t>As of September 30, 2011, our total debt outstanding was $322.4 million. Of this amount, $163.3 million, or 51% of our total debt obligations, relates to contingent convertible debentures having a fixed coupon rate. Our $171.4 million principal amount of contingent convertible debentures, issued in October 2005, accrue cash interest at a rate of 3.50% of the principal amount per annum. Based on quoted market prices, as of September 30, 2011, the fair value of our fixed rate convertible debentures was $169.3 million, compared to a carrying value of $163.3 million. Interest expense for these debentures, including accretion and amortization of deferred debt issuance costs, totals approximately $14.4 million per year, or a weighted average interest rate of 8.9% annually. Additionally, approximately $3.0 million, or 1% of our total debt obligations, relates to capitalized leases with fixed payment and interest terms that expire between 2011 and 2015.</w:t>
      </w:r>
    </w:p>
    <w:p>
      <w:pPr>
        <w:spacing w:after="0" w:line="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remaining $156.1 million, or 48% of our total debt obligations, relates to debt that accrues interest at variable rates. If we were to maintain these borrowings for one year and maximize the potential borrowings available under the revolving credit facility for one year, a 1% increase in the applicable interest rate would result in additional interest expense to the Company of approximately $3.2 million.</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the nine months ended September 30, 2011, 79%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primarily the euro, British pound, Australian dollar, Polish zloty, Brazilian real and Indian rupee. As of September 30, 2011, we estimate that a 10% fluctuation in these foreign currency exchange rates would have the combined annualized effect on reported net income and working capital of approximately $30 million to $40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$40 million to $50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primarily to help offset foreign currency exposure related to the notional value of money transfer transactions collected in currencies other than the U.S. dollar. As of September 30, 2011, we had foreign currency forward contracts outstanding with a notional value of $65.8 million, primarily in euros and U.S. dollars, that were not designated as hedges and mature in a weighted average of 3.7 days. The fair value of these forward contracts as of September 30, 2011 was an unrealized gain of $0.3 million, which was partially offset by the unrealized loss on the related foreign currency receivables.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September 30, 2011.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third quarter of 2011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discussion regarding litigation in Part I, Item 1 — Financial Statements, Note 12, Litigation and Contingencies, to the unaudited consolidated financial statements included elsewhere in this report is incorporated herein by reference.</w:t>
      </w:r>
    </w:p>
    <w:p>
      <w:pPr>
        <w:spacing w:after="0" w:line="6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Currently, there are no other legal proceedings that management believes, either individually or in the aggregate, would have a material adverse effect upon the consolidated results of operations or financial condition of the Company. In accordance with U.S. GAAP, we record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You should carefully consider the risks described in Part I, Item 1A. Risk Factors in our Annual Report on Form 10-K for the fiscal year ended December 31, 2010, as may be updated in our subsequent filings with the SEC, before making an investment decision. The risks and uncertainties described in our Annual Report on Form 10-K, as may be updated by any subsequent Quarterly Reports on Form 10-Q, are not the only ones facing our Company. Additional risks and uncertainties not presently known to us or that we currently deem immaterial may also impair our business operations. If any of the risks identified in our Annual Report on Form 10-K, as may be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in our Risk Factors and elsewhere in this Quarterly Report.</w:t>
      </w:r>
    </w:p>
    <w:p>
      <w:pPr>
        <w:spacing w:after="0" w:line="5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i w:val="1"/>
          <w:iCs w:val="1"/>
          <w:color w:val="auto"/>
        </w:rPr>
        <w:t>There have been no material changes from the risk factors previously disclosed in the Company’s Annual Report on Form 10-K for the year ended December 31, 2010 as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repurchases</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For the three months ended September 30, 2011, the Company purchased 817,589 shares of its common stock in the open market, in accordance with the authorization by its Board of Directors announced on August 22, 2011. Additionally, the Company purchased, in accordance with the 2006 Stock Incentive Plan (Amended and Restated), 145 shares of its common stock for participant income tax withholding in conjunction with the lapse of restrictions on stock awards, as requested by the participants. The following table sets forth information with respect to those shares: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Average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Per Share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Plans or</w:t>
            </w: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7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1 - August 31</w:t>
            </w: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107,600</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15.61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107,600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September 1 - September 30</w:t>
            </w:r>
          </w:p>
        </w:tc>
        <w:tc>
          <w:tcPr>
            <w:tcW w:w="1620" w:type="dxa"/>
            <w:vAlign w:val="bottom"/>
          </w:tcPr>
          <w:p>
            <w:pPr>
              <w:jc w:val="right"/>
              <w:ind w:right="40"/>
              <w:spacing w:after="0"/>
              <w:rPr>
                <w:sz w:val="20"/>
                <w:szCs w:val="20"/>
                <w:color w:val="auto"/>
              </w:rPr>
            </w:pPr>
            <w:r>
              <w:rPr>
                <w:rFonts w:ascii="Arial" w:cs="Arial" w:eastAsia="Arial" w:hAnsi="Arial"/>
                <w:sz w:val="18"/>
                <w:szCs w:val="18"/>
                <w:color w:val="auto"/>
              </w:rPr>
              <w:t>710,134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21"/>
                <w:szCs w:val="21"/>
                <w:color w:val="auto"/>
              </w:rPr>
            </w:pPr>
          </w:p>
        </w:tc>
        <w:tc>
          <w:tcPr>
            <w:tcW w:w="1580" w:type="dxa"/>
            <w:vAlign w:val="bottom"/>
          </w:tcPr>
          <w:p>
            <w:pPr>
              <w:jc w:val="right"/>
              <w:ind w:right="43"/>
              <w:spacing w:after="0"/>
              <w:rPr>
                <w:sz w:val="20"/>
                <w:szCs w:val="20"/>
                <w:color w:val="auto"/>
              </w:rPr>
            </w:pPr>
            <w:r>
              <w:rPr>
                <w:rFonts w:ascii="Arial" w:cs="Arial" w:eastAsia="Arial" w:hAnsi="Arial"/>
                <w:sz w:val="18"/>
                <w:szCs w:val="18"/>
                <w:color w:val="auto"/>
              </w:rPr>
              <w:t>709,989</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817,734</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15.75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817,589</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4,182,411</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w:t>
            </w:r>
          </w:p>
        </w:tc>
        <w:tc>
          <w:tcPr>
            <w:tcW w:w="120" w:type="dxa"/>
            <w:vAlign w:val="bottom"/>
            <w:vMerge w:val="restart"/>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 shares repurchased for participant income tax withholding, the price paid per share is the closing price of the shares on the vesting date.</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authorized to repurchase up to $100 million or 5 million shares of its common stock through August 22,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second quarter of 2009, the Antitrust Division of the United States Department of Justice (the “DOJ”) served Continental Exchange Solutions, Inc. d/b/a Ria Financial Services (“CES”), an indirect, wholly-owned subsidiary of the Company, with a grand jury subpoena requesting documents from CES and its affiliates in connection with an investigation into possible price collusion related to money transmission services to the Dominican Republic (“D.R.”) during the period from January 1, 2004 to the date of the subpoena. We acquired all of the stock of Ria Envia, Inc., the parent of CES, in April 2007. CES foreign exchange transactions between the U.S and the D.R. generated approximately 0.3% of our 2009 consolidated revenues. The Company and CES are fully cooperating with the DOJ in its investigation.</w:t>
      </w:r>
    </w:p>
    <w:p>
      <w:pPr>
        <w:spacing w:after="0" w:line="85"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We believe that, during the period covered by the DOJ investigation, CES generally derived part of its charge for exchanging U.S. dollars into D.R. pesos from a reference rate recommended by ADEREDI, a trade association in the D.R. composed of a CES subsidiary and other D.R. money transfer firms. We further believe, however, that CES set its own service fee on the D.R. transactions and its overall transaction price to customers. Customers were also free during this time period to use CES and other firms to transmit dollars into the D.R., without conversion into D.R. pesos, and we believe such transmissions occurred with increasing frequency over the course of this time period.</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this time, we are unable to predict the outcome of the DOJ investigation, or, if charges were to be brought against CES, the possible range of loss, if any, associated with the resolution of any such charges. Nor can we predict any potential effect on our business, results of operations or financial condition arising from such charges or potential collateral consequences, which could include fines, penalties, limitations on or revocation of CES’s license to engage in the money transfer business in one or more states, and civil liability. In addition, we have incurred and may continue to incur significant fees and expenses in connection with the DOJ investigation and related matters.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6"/>
                <w:szCs w:val="16"/>
                <w:color w:val="auto"/>
              </w:rPr>
            </w:pPr>
          </w:p>
        </w:tc>
        <w:tc>
          <w:tcPr>
            <w:tcW w:w="936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498"/>
        </w:trPr>
        <w:tc>
          <w:tcPr>
            <w:tcW w:w="1040" w:type="dxa"/>
            <w:vAlign w:val="bottom"/>
            <w:tcBorders>
              <w:top w:val="single" w:sz="8" w:color="auto"/>
            </w:tcBorders>
          </w:tcPr>
          <w:p>
            <w:pPr>
              <w:jc w:val="right"/>
              <w:ind w:right="593"/>
              <w:spacing w:after="0"/>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24"/>
                <w:szCs w:val="24"/>
                <w:color w:val="auto"/>
              </w:rPr>
            </w:pPr>
          </w:p>
        </w:tc>
        <w:tc>
          <w:tcPr>
            <w:tcW w:w="102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6"/>
              </w:rPr>
              <w:t>Amended and Restated Credit Agreement dated as of August 18, 2011 among Euronet Worldwide, Inc., and certain Subsidiaries and</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Affiliates, as Borrowers, certain Subsidiaries and Affiliates as Guarantors, the Lenders Party Hereto, Bank of America, N.A., as</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4"/>
              </w:rPr>
              <w:t>Administrative Agent and Collateral Agent, U.S. Bank National Association, as Syndication Agent and Bank of Montreal, BBVA Compass</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4"/>
              </w:rPr>
              <w:t>Bank, Keybank Natioinal Association, as Co-Documentation Agents (filed as Exhibit 10.1 to the Company's Current Report on Form 8-K</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filed on August 23, 2011 and incorporated by reference herein)</w:t>
            </w:r>
          </w:p>
        </w:tc>
      </w:tr>
      <w:tr>
        <w:trPr>
          <w:trHeight w:val="594"/>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12.1</w:t>
            </w:r>
          </w:p>
        </w:tc>
        <w:tc>
          <w:tcPr>
            <w:tcW w:w="120" w:type="dxa"/>
            <w:vAlign w:val="bottom"/>
          </w:tcPr>
          <w:p>
            <w:pPr>
              <w:spacing w:after="0"/>
              <w:rPr>
                <w:sz w:val="24"/>
                <w:szCs w:val="24"/>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Computation of Ratio of Earnings to Fixed Charges (1)</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 (1)</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 (1)</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32.1</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(2)</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32.2</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(2)</w:t>
            </w:r>
          </w:p>
        </w:tc>
      </w:tr>
    </w:tbl>
    <w:p>
      <w:pPr>
        <w:spacing w:after="0" w:line="310" w:lineRule="exact"/>
        <w:rPr>
          <w:sz w:val="20"/>
          <w:szCs w:val="20"/>
          <w:color w:val="auto"/>
        </w:rPr>
      </w:pPr>
    </w:p>
    <w:p>
      <w:pPr>
        <w:ind w:left="1160" w:right="40" w:hanging="1125"/>
        <w:spacing w:after="0" w:line="291" w:lineRule="auto"/>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materials from Euronet Worldwide, Inc.’s Quarterly Report on Form 10-Q for the quarter ended September 30, 2011, formatted in XBRL (eXtensible Business Reporting Language): (i) Consolidated Balance Sheets at September 30, 2011 and December 31, 2010,</w:t>
      </w:r>
    </w:p>
    <w:p>
      <w:pPr>
        <w:ind w:left="1160" w:right="160"/>
        <w:spacing w:after="0" w:line="287" w:lineRule="auto"/>
        <w:rPr>
          <w:rFonts w:ascii="Arial" w:cs="Arial" w:eastAsia="Arial" w:hAnsi="Arial"/>
          <w:sz w:val="16"/>
          <w:szCs w:val="16"/>
          <w:color w:val="auto"/>
        </w:rPr>
      </w:pPr>
      <w:r>
        <w:rPr>
          <w:rFonts w:ascii="Arial" w:cs="Arial" w:eastAsia="Arial" w:hAnsi="Arial"/>
          <w:sz w:val="16"/>
          <w:szCs w:val="16"/>
          <w:color w:val="auto"/>
        </w:rPr>
        <w:t>(ii) Consolidated Statements of Operations for the three and nine months ended September 30, 2011 and 2010, (iii) Consolidated Statements of Comprehensive Income (Loss) for the three and nine months ended September 30, 2011 and 2010, (iv) Consolidated Statements of Cash Flows for the nine months ended September 30, 2011 and 2010, and (v) Notes to the Unaudited Consolidated Financial Statements. (3)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1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10-Q.</w:t>
      </w:r>
    </w:p>
    <w:p>
      <w:pPr>
        <w:spacing w:after="0" w:line="117" w:lineRule="exact"/>
        <w:rPr>
          <w:rFonts w:ascii="Arial" w:cs="Arial" w:eastAsia="Arial" w:hAnsi="Arial"/>
          <w:sz w:val="18"/>
          <w:szCs w:val="18"/>
          <w:color w:val="auto"/>
        </w:rPr>
      </w:pPr>
    </w:p>
    <w:p>
      <w:pPr>
        <w:ind w:left="340" w:right="12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November 4,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spacing w:after="0"/>
              <w:rPr>
                <w:sz w:val="20"/>
                <w:szCs w:val="20"/>
                <w:color w:val="auto"/>
              </w:rPr>
            </w:pPr>
            <w:r>
              <w:rPr>
                <w:rFonts w:ascii="Arial" w:cs="Arial" w:eastAsia="Arial" w:hAnsi="Arial"/>
                <w:sz w:val="18"/>
                <w:szCs w:val="18"/>
                <w:color w:val="auto"/>
                <w:w w:val="97"/>
              </w:rPr>
              <w:t>/s/ MICHAEL J. BROWN</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240" w:top="125" w:right="399"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6"/>
                <w:szCs w:val="16"/>
                <w:color w:val="auto"/>
              </w:rPr>
            </w:pPr>
          </w:p>
        </w:tc>
        <w:tc>
          <w:tcPr>
            <w:tcW w:w="15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7"/>
              </w:rPr>
              <w:t>Nine Months Ended</w:t>
            </w:r>
          </w:p>
        </w:tc>
      </w:tr>
      <w:tr>
        <w:trPr>
          <w:trHeight w:val="276"/>
        </w:trPr>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24"/>
                <w:szCs w:val="24"/>
                <w:color w:val="auto"/>
              </w:rPr>
            </w:pPr>
          </w:p>
        </w:tc>
        <w:tc>
          <w:tcPr>
            <w:tcW w:w="152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2010</w:t>
            </w:r>
          </w:p>
        </w:tc>
      </w:tr>
      <w:tr>
        <w:trPr>
          <w:trHeight w:val="228"/>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Pretax income before adjustment for income from unconsolidated</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subsidiaries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2,934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28,085</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44,969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39,575</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6,278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19,677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18,495</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Dividends received</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Adjusted pretax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9,522</w:t>
            </w:r>
          </w:p>
        </w:tc>
        <w:tc>
          <w:tcPr>
            <w:tcW w:w="10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34,363</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64,764</w:t>
            </w:r>
          </w:p>
        </w:tc>
        <w:tc>
          <w:tcPr>
            <w:tcW w:w="10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58,070</w:t>
            </w:r>
          </w:p>
        </w:tc>
      </w:tr>
      <w:tr>
        <w:trPr>
          <w:trHeight w:val="237"/>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charges:</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5,074</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15,686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15,059</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Estimate of interest within rental expense</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r>
      <w:tr>
        <w:trPr>
          <w:trHeight w:val="297"/>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fixed charges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6,588</w:t>
            </w:r>
          </w:p>
        </w:tc>
        <w:tc>
          <w:tcPr>
            <w:tcW w:w="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6,278</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19,677</w:t>
            </w:r>
          </w:p>
        </w:tc>
        <w:tc>
          <w:tcPr>
            <w:tcW w:w="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18,495</w:t>
            </w: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Ratio of earnings to fixed charges</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ectPr>
          <w:pgSz w:w="11900" w:h="16838" w:orient="portrait"/>
          <w:cols w:equalWidth="0" w:num="1">
            <w:col w:w="9160"/>
          </w:cols>
          <w:pgMar w:left="1380" w:top="580" w:right="13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2011</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2011</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2011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November 4, 2011</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2011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November 4, 2011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R"/>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10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2019-12-10T16:06:38Z</dcterms:created>
  <dcterms:modified xsi:type="dcterms:W3CDTF">2019-12-10T16:06:38Z</dcterms:modified>
</cp:coreProperties>
</file>