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31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 xml:space="preserve">Form </w:t>
      </w:r>
      <w:r>
        <w:rPr>
          <w:rFonts w:ascii="Times New Roman" w:cs="Times New Roman" w:eastAsia="Times New Roman" w:hAnsi="Times New Roman"/>
          <w:sz w:val="32"/>
          <w:szCs w:val="32"/>
          <w:b w:val="1"/>
          <w:bCs w:val="1"/>
          <w:color w:val="auto"/>
        </w:rPr>
        <w:t>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185420</wp:posOffset>
            </wp:positionV>
            <wp:extent cx="1431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2026</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EURONET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31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31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ectPr>
          <w:pgSz w:w="11900" w:h="16838" w:orient="portrait"/>
          <w:cols w:equalWidth="0" w:num="1">
            <w:col w:w="11240"/>
          </w:cols>
          <w:pgMar w:left="320" w:top="209" w:right="339" w:bottom="2" w:gutter="0" w:footer="0" w:header="0"/>
        </w:sectPr>
      </w:pPr>
    </w:p>
    <w:p>
      <w:pPr>
        <w:spacing w:after="0" w:line="200" w:lineRule="exact"/>
        <w:rPr>
          <w:sz w:val="24"/>
          <w:szCs w:val="24"/>
          <w:color w:val="auto"/>
        </w:rPr>
      </w:pPr>
    </w:p>
    <w:p>
      <w:pPr>
        <w:spacing w:after="0" w:line="312"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001-31648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74-2806888</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9" w:lineRule="exact"/>
        <w:rPr>
          <w:sz w:val="24"/>
          <w:szCs w:val="24"/>
          <w:color w:val="auto"/>
        </w:rPr>
      </w:pPr>
    </w:p>
    <w:p>
      <w:pPr>
        <w:sectPr>
          <w:pgSz w:w="11900" w:h="16838" w:orient="portrait"/>
          <w:cols w:equalWidth="0" w:num="3">
            <w:col w:w="3900" w:space="720"/>
            <w:col w:w="2560" w:space="720"/>
            <w:col w:w="3340"/>
          </w:cols>
          <w:pgMar w:left="320" w:top="209" w:right="339" w:bottom="2" w:gutter="0" w:footer="0" w:header="0"/>
          <w:type w:val="continuous"/>
        </w:sectPr>
      </w:pPr>
    </w:p>
    <w:p>
      <w:pPr>
        <w:ind w:left="1460"/>
        <w:spacing w:after="0"/>
        <w:rPr>
          <w:sz w:val="20"/>
          <w:szCs w:val="20"/>
          <w:color w:val="auto"/>
        </w:rPr>
      </w:pPr>
      <w:r>
        <w:rPr>
          <w:rFonts w:ascii="Times New Roman" w:cs="Times New Roman" w:eastAsia="Times New Roman" w:hAnsi="Times New Roman"/>
          <w:sz w:val="18"/>
          <w:szCs w:val="18"/>
          <w:b w:val="1"/>
          <w:bCs w:val="1"/>
          <w:color w:val="auto"/>
        </w:rPr>
        <w:t>organization)</w:t>
      </w:r>
    </w:p>
    <w:p>
      <w:pPr>
        <w:sectPr>
          <w:pgSz w:w="11900" w:h="16838" w:orient="portrait"/>
          <w:cols w:equalWidth="0" w:num="1">
            <w:col w:w="11240"/>
          </w:cols>
          <w:pgMar w:left="320" w:top="209" w:right="339" w:bottom="2" w:gutter="0" w:footer="0" w:header="0"/>
          <w:type w:val="continuous"/>
        </w:sectPr>
      </w:pPr>
    </w:p>
    <w:p>
      <w:pPr>
        <w:spacing w:after="0" w:line="25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11400 Tomahawk Creek Parkway, Suite 300</w:t>
      </w:r>
    </w:p>
    <w:p>
      <w:pPr>
        <w:spacing w:after="0" w:line="4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Leawood, Kansas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ind w:left="3100"/>
        <w:spacing w:after="0"/>
        <w:rPr>
          <w:sz w:val="20"/>
          <w:szCs w:val="20"/>
          <w:color w:val="auto"/>
        </w:rPr>
      </w:pPr>
      <w:r>
        <w:rPr>
          <w:rFonts w:ascii="Times New Roman" w:cs="Times New Roman" w:eastAsia="Times New Roman" w:hAnsi="Times New Roman"/>
          <w:sz w:val="18"/>
          <w:szCs w:val="18"/>
          <w:b w:val="1"/>
          <w:bCs w:val="1"/>
          <w:color w:val="auto"/>
        </w:rPr>
        <w:t>(913) 327-4200</w:t>
      </w:r>
    </w:p>
    <w:p>
      <w:pPr>
        <w:spacing w:after="0" w:line="23" w:lineRule="exact"/>
        <w:rPr>
          <w:sz w:val="24"/>
          <w:szCs w:val="24"/>
          <w:color w:val="auto"/>
        </w:rPr>
      </w:pPr>
    </w:p>
    <w:p>
      <w:pPr>
        <w:jc w:val="center"/>
        <w:ind w:left="310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0"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66211</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54" w:lineRule="exact"/>
        <w:rPr>
          <w:sz w:val="24"/>
          <w:szCs w:val="24"/>
          <w:color w:val="auto"/>
        </w:rPr>
      </w:pPr>
    </w:p>
    <w:p>
      <w:pPr>
        <w:sectPr>
          <w:pgSz w:w="11900" w:h="16838" w:orient="portrait"/>
          <w:cols w:equalWidth="0" w:num="2">
            <w:col w:w="8140" w:space="720"/>
            <w:col w:w="2380"/>
          </w:cols>
          <w:pgMar w:left="320" w:top="209" w:right="339" w:bottom="2"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31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38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jc w:val="both"/>
        <w:ind w:right="4400" w:firstLine="10"/>
        <w:spacing w:after="0" w:line="226" w:lineRule="exact"/>
        <w:tabs>
          <w:tab w:leader="none" w:pos="34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Written communications pursuant to Rule 425 under the Securities Act (17 CFR 230.425)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jc w:val="both"/>
        <w:ind w:right="2800"/>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640" w:type="dxa"/>
            <w:vAlign w:val="bottom"/>
          </w:tcPr>
          <w:p>
            <w:pPr>
              <w:spacing w:after="0"/>
              <w:rPr>
                <w:sz w:val="19"/>
                <w:szCs w:val="19"/>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2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Trading Symbol(s)</w:t>
            </w:r>
          </w:p>
        </w:tc>
        <w:tc>
          <w:tcPr>
            <w:tcW w:w="3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EEFT</w:t>
            </w:r>
          </w:p>
        </w:tc>
        <w:tc>
          <w:tcPr>
            <w:tcW w:w="3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26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EEFT26</w:t>
            </w:r>
          </w:p>
        </w:tc>
        <w:tc>
          <w:tcPr>
            <w:tcW w:w="3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90"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4"/>
          <w:szCs w:val="24"/>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April 28, 2026, Euronet Worldwide, Inc. issued a press release to report its financial results for the quarter ended March 31, 2026. The press release is attached hereto as Exhibit 99.1.</w:t>
      </w:r>
    </w:p>
    <w:p>
      <w:pPr>
        <w:spacing w:after="0" w:line="162" w:lineRule="exact"/>
        <w:rPr>
          <w:sz w:val="24"/>
          <w:szCs w:val="24"/>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information in Item 2.02 to this Current Report, including without limitation Exhibit 99.1, is being furnished and shall not be deemed to be filed for purposes of Section 18 of the Securities Exchange Act of 1934 or incorporated by reference into any document filed under the Securities Act of 1933 or the Securities Exchange Act of 1934 except as shall be expressly set forth by specific reference in such filing.</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2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Exhibit</w:t>
      </w:r>
    </w:p>
    <w:p>
      <w:pPr>
        <w:spacing w:after="0" w:line="27" w:lineRule="exact"/>
        <w:rPr>
          <w:sz w:val="24"/>
          <w:szCs w:val="24"/>
          <w:color w:val="auto"/>
        </w:rPr>
      </w:pPr>
    </w:p>
    <w:p>
      <w:pPr>
        <w:ind w:left="160"/>
        <w:spacing w:after="0"/>
        <w:tabs>
          <w:tab w:leader="none" w:pos="920" w:val="left"/>
        </w:tabs>
        <w:rPr>
          <w:sz w:val="20"/>
          <w:szCs w:val="20"/>
          <w:color w:val="auto"/>
        </w:rPr>
      </w:pPr>
      <w:r>
        <w:rPr>
          <w:rFonts w:ascii="Times New Roman" w:cs="Times New Roman" w:eastAsia="Times New Roman" w:hAnsi="Times New Roman"/>
          <w:sz w:val="18"/>
          <w:szCs w:val="18"/>
          <w:u w:val="single" w:color="auto"/>
          <w:color w:val="auto"/>
        </w:rPr>
        <w:t>Number</w:t>
        <w:tab/>
        <w:t>Description</w:t>
      </w:r>
    </w:p>
    <w:p>
      <w:pPr>
        <w:spacing w:after="0" w:line="18" w:lineRule="exact"/>
        <w:rPr>
          <w:sz w:val="24"/>
          <w:szCs w:val="24"/>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Exhibit 99.1 - Press Release dated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588645</wp:posOffset>
            </wp:positionH>
            <wp:positionV relativeFrom="paragraph">
              <wp:posOffset>-7620</wp:posOffset>
            </wp:positionV>
            <wp:extent cx="2259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9330" cy="8890"/>
                    </a:xfrm>
                    <a:prstGeom prst="rect">
                      <a:avLst/>
                    </a:prstGeom>
                    <a:noFill/>
                  </pic:spPr>
                </pic:pic>
              </a:graphicData>
            </a:graphic>
          </wp:anchor>
        </w:drawing>
      </w:r>
    </w:p>
    <w:p>
      <w:pPr>
        <w:sectPr>
          <w:pgSz w:w="11900" w:h="16838" w:orient="portrait"/>
          <w:cols w:equalWidth="0" w:num="1">
            <w:col w:w="11240"/>
          </w:cols>
          <w:pgMar w:left="320" w:top="209" w:right="339" w:bottom="2" w:gutter="0" w:footer="0" w:header="0"/>
          <w:type w:val="continuous"/>
        </w:sectPr>
      </w:pPr>
    </w:p>
    <w:bookmarkStart w:id="1" w:name="page2"/>
    <w:bookmarkEnd w:id="1"/>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29845"/>
                    </a:xfrm>
                    <a:prstGeom prst="rect">
                      <a:avLst/>
                    </a:prstGeom>
                    <a:noFill/>
                  </pic:spPr>
                </pic:pic>
              </a:graphicData>
            </a:graphic>
          </wp:anchor>
        </w:drawing>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333" w:lineRule="exact"/>
        <w:rPr>
          <w:sz w:val="20"/>
          <w:szCs w:val="20"/>
          <w:color w:val="auto"/>
        </w:rPr>
      </w:pPr>
    </w:p>
    <w:p>
      <w:pPr>
        <w:ind w:left="54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34290</wp:posOffset>
            </wp:positionV>
            <wp:extent cx="3360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Rick L. Weller</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60"/>
          </w:cols>
          <w:pgMar w:left="320" w:top="576" w:right="8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233680</wp:posOffset>
            </wp:positionH>
            <wp:positionV relativeFrom="page">
              <wp:posOffset>114300</wp:posOffset>
            </wp:positionV>
            <wp:extent cx="1474470"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Taylor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+1-913-327-4200</w:t>
      </w:r>
    </w:p>
    <w:p>
      <w:pPr>
        <w:spacing w:after="0" w:line="180" w:lineRule="exact"/>
        <w:rPr>
          <w:sz w:val="20"/>
          <w:szCs w:val="20"/>
          <w:color w:val="auto"/>
        </w:rPr>
      </w:pPr>
    </w:p>
    <w:p>
      <w:pPr>
        <w:jc w:val="center"/>
        <w:ind w:left="1300" w:right="140"/>
        <w:spacing w:after="0" w:line="238" w:lineRule="auto"/>
        <w:rPr>
          <w:sz w:val="20"/>
          <w:szCs w:val="20"/>
          <w:color w:val="auto"/>
        </w:rPr>
      </w:pPr>
      <w:r>
        <w:rPr>
          <w:rFonts w:ascii="Times New Roman" w:cs="Times New Roman" w:eastAsia="Times New Roman" w:hAnsi="Times New Roman"/>
          <w:sz w:val="22"/>
          <w:szCs w:val="22"/>
          <w:b w:val="1"/>
          <w:bCs w:val="1"/>
          <w:color w:val="auto"/>
        </w:rPr>
        <w:t>Euronet Worldwide Reports First Quarter 2026 Financial Results With Strong Adjusted Earnings per Share Growth</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Highlights reflecting key achievements supporting the Company’s strategy and digital goals:</w:t>
      </w:r>
    </w:p>
    <w:p>
      <w:pPr>
        <w:spacing w:after="0" w:line="219" w:lineRule="exact"/>
        <w:rPr>
          <w:sz w:val="20"/>
          <w:szCs w:val="20"/>
          <w:color w:val="auto"/>
        </w:rPr>
      </w:pPr>
    </w:p>
    <w:p>
      <w:pPr>
        <w:ind w:left="660" w:right="400"/>
        <w:spacing w:after="0" w:line="244" w:lineRule="auto"/>
        <w:rPr>
          <w:sz w:val="20"/>
          <w:szCs w:val="20"/>
          <w:color w:val="auto"/>
        </w:rPr>
      </w:pPr>
      <w:r>
        <w:rPr>
          <w:rFonts w:ascii="Times New Roman" w:cs="Times New Roman" w:eastAsia="Times New Roman" w:hAnsi="Times New Roman"/>
          <w:sz w:val="20"/>
          <w:szCs w:val="20"/>
          <w:color w:val="auto"/>
        </w:rPr>
        <w:t>Grew Money Transfer digital revenue and transactions by 42% and 35% year-over-year, respectively, reflecting strong consumer demand</w:t>
      </w:r>
    </w:p>
    <w:p>
      <w:pPr>
        <w:ind w:left="340"/>
        <w:spacing w:after="0"/>
        <w:rPr>
          <w:sz w:val="20"/>
          <w:szCs w:val="20"/>
          <w:color w:val="auto"/>
        </w:rPr>
      </w:pPr>
      <w:r>
        <w:rPr>
          <w:rFonts w:ascii="Times New Roman" w:cs="Times New Roman" w:eastAsia="Times New Roman" w:hAnsi="Times New Roman"/>
          <w:sz w:val="20"/>
          <w:szCs w:val="20"/>
          <w:color w:val="auto"/>
        </w:rPr>
        <w:t>Launched stablecoin payouts during the quarter enabling additional digital payment choices</w:t>
      </w:r>
    </w:p>
    <w:p>
      <w:pPr>
        <w:ind w:left="340"/>
        <w:spacing w:after="0"/>
        <w:rPr>
          <w:sz w:val="20"/>
          <w:szCs w:val="20"/>
          <w:color w:val="auto"/>
        </w:rPr>
      </w:pPr>
      <w:r>
        <w:rPr>
          <w:rFonts w:ascii="Times New Roman" w:cs="Times New Roman" w:eastAsia="Times New Roman" w:hAnsi="Times New Roman"/>
          <w:sz w:val="20"/>
          <w:szCs w:val="20"/>
          <w:color w:val="auto"/>
        </w:rPr>
        <w:t>Added 2,300 new merchants during the quarter to Euronet Merchant Services reflecting strong perceived merchant value</w:t>
      </w:r>
    </w:p>
    <w:p>
      <w:pPr>
        <w:ind w:left="660" w:right="360"/>
        <w:spacing w:after="0" w:line="232" w:lineRule="auto"/>
        <w:rPr>
          <w:sz w:val="20"/>
          <w:szCs w:val="20"/>
          <w:color w:val="auto"/>
        </w:rPr>
      </w:pPr>
      <w:r>
        <w:rPr>
          <w:rFonts w:ascii="Times New Roman" w:cs="Times New Roman" w:eastAsia="Times New Roman" w:hAnsi="Times New Roman"/>
          <w:sz w:val="20"/>
          <w:szCs w:val="20"/>
          <w:color w:val="auto"/>
        </w:rPr>
        <w:t>Migrated Bilt’s 628,000 card portfolio to CoreCard’s processing platform in partnership with Cardless demonstrating CoreCard’s value and flexibility for issuers</w:t>
      </w:r>
    </w:p>
    <w:p>
      <w:pPr>
        <w:ind w:left="660" w:right="1460"/>
        <w:spacing w:after="0" w:line="271" w:lineRule="auto"/>
        <w:rPr>
          <w:sz w:val="20"/>
          <w:szCs w:val="20"/>
          <w:color w:val="auto"/>
        </w:rPr>
      </w:pPr>
      <w:r>
        <w:rPr>
          <w:rFonts w:ascii="Times New Roman" w:cs="Times New Roman" w:eastAsia="Times New Roman" w:hAnsi="Times New Roman"/>
          <w:sz w:val="19"/>
          <w:szCs w:val="19"/>
          <w:color w:val="auto"/>
        </w:rPr>
        <w:t>Signed three EFT payments infrastructure agreements supporting bank and fintech confidence in the REN platform Repurchased $100 million of common stock during the quarter providing strong return of capital to shareholders</w:t>
      </w:r>
    </w:p>
    <w:p>
      <w:pPr>
        <w:spacing w:after="0" w:line="14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LEAWOOD, KANSAS, USA April 28, 2026 - </w:t>
      </w:r>
      <w:r>
        <w:rPr>
          <w:rFonts w:ascii="Times New Roman" w:cs="Times New Roman" w:eastAsia="Times New Roman" w:hAnsi="Times New Roman"/>
          <w:sz w:val="18"/>
          <w:szCs w:val="18"/>
          <w:color w:val="auto"/>
        </w:rPr>
        <w:t>Euronet (“Euronet” or the “Company”) (Nasdaq: EEFT), a global leader in payments processing and cross-border transactions, announced today first quarter 2026 financial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Euronet reports the following consolidated results for the first quarter 2026 compared with the same period of 2025:</w:t>
      </w:r>
    </w:p>
    <w:p>
      <w:pPr>
        <w:spacing w:after="0" w:line="211" w:lineRule="exact"/>
        <w:rPr>
          <w:sz w:val="20"/>
          <w:szCs w:val="20"/>
          <w:color w:val="auto"/>
        </w:rPr>
      </w:pPr>
    </w:p>
    <w:p>
      <w:pPr>
        <w:ind w:left="540" w:hanging="293"/>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$1,011.8 million, an 11% increase from $915.5 million (4% increase on a constant currency</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basis).</w:t>
      </w:r>
    </w:p>
    <w:p>
      <w:pPr>
        <w:ind w:left="560" w:hanging="307"/>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$72.0 million, a 4% decrease from $75.2 million (10% decrease on a constant currency basis).</w:t>
      </w:r>
    </w:p>
    <w:p>
      <w:pPr>
        <w:spacing w:after="0" w:line="7" w:lineRule="exact"/>
        <w:rPr>
          <w:rFonts w:ascii="Times New Roman" w:cs="Times New Roman" w:eastAsia="Times New Roman" w:hAnsi="Times New Roman"/>
          <w:sz w:val="18"/>
          <w:szCs w:val="18"/>
          <w:color w:val="auto"/>
        </w:rPr>
      </w:pPr>
    </w:p>
    <w:p>
      <w:pPr>
        <w:ind w:left="540" w:hanging="293"/>
        <w:spacing w:after="0" w:line="20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of $126.7 million, a 7% increase from $118.7 million (1% increase on a constant currency basis).</w:t>
      </w:r>
    </w:p>
    <w:p>
      <w:pPr>
        <w:ind w:left="540" w:hanging="293"/>
        <w:spacing w:after="0" w:line="249"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Euronet of $37.5 million, or $0.83 diluted earnings per share, compared with $38.4 million, or $0.85 diluted earnings per share.</w:t>
      </w:r>
    </w:p>
    <w:p>
      <w:pPr>
        <w:ind w:left="540" w:hanging="293"/>
        <w:spacing w:after="0" w:line="22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share</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of $1.58 increased 40% from $1.13 in the prior year. Excluding a one-time tax charge of $0.20 per share in the prior-year, adjusted earnings per share increased 19% from $1.33.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reconciliation of non-GAAP items in the attached financial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6216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believe Euronet’s first quarter 2026 results reflect meaningful progress across our growth initiatives as we continue to navigate a challenging geopolitical and economic backdrop,” said Michael J. Brown, Euronet’s Chairman and Chief Executive Officer. “We are off to a strong start toward achieving our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earnings growth targets, with adjusted EPS on a strong trajectory. Notably, Ria Digital delivered standout performance, with revenue growth accelerating to 42%, driven by 35% transaction growth in the first quarter. We also saw continued strength in our merchant acquiring business, and Dandelion posted its best growth quarter to date. Looking ahead, we remain focused on sustaining this momentum and delivering solid results throughout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and Other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The EFT Processing Segment </w:t>
      </w:r>
      <w:r>
        <w:rPr>
          <w:rFonts w:ascii="Times New Roman" w:cs="Times New Roman" w:eastAsia="Times New Roman" w:hAnsi="Times New Roman"/>
          <w:sz w:val="17"/>
          <w:szCs w:val="17"/>
          <w:color w:val="auto"/>
        </w:rPr>
        <w:t>reports the following results for first quarter 2026 compared with the same period or date in 2025:</w:t>
      </w:r>
    </w:p>
    <w:p>
      <w:pPr>
        <w:spacing w:after="0" w:line="238" w:lineRule="exact"/>
        <w:rPr>
          <w:sz w:val="20"/>
          <w:szCs w:val="20"/>
          <w:color w:val="auto"/>
        </w:rPr>
      </w:pPr>
    </w:p>
    <w:p>
      <w:pPr>
        <w:ind w:left="540" w:hanging="293"/>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$295.4 million, a 27% increase from $232.5 million (19% increase on a constant currency basis).</w:t>
      </w:r>
    </w:p>
    <w:p>
      <w:pPr>
        <w:spacing w:after="0" w:line="49" w:lineRule="exact"/>
        <w:rPr>
          <w:rFonts w:ascii="Times New Roman" w:cs="Times New Roman" w:eastAsia="Times New Roman" w:hAnsi="Times New Roman"/>
          <w:sz w:val="18"/>
          <w:szCs w:val="18"/>
          <w:color w:val="auto"/>
        </w:rPr>
      </w:pPr>
    </w:p>
    <w:p>
      <w:pPr>
        <w:ind w:left="540" w:hanging="293"/>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$23.4 million, no change from $23.3 million (1% increase on a constant currency basis).</w:t>
      </w:r>
    </w:p>
    <w:p>
      <w:pPr>
        <w:spacing w:after="0" w:line="49" w:lineRule="exact"/>
        <w:rPr>
          <w:rFonts w:ascii="Times New Roman" w:cs="Times New Roman" w:eastAsia="Times New Roman" w:hAnsi="Times New Roman"/>
          <w:sz w:val="18"/>
          <w:szCs w:val="18"/>
          <w:color w:val="auto"/>
        </w:rPr>
      </w:pPr>
    </w:p>
    <w:p>
      <w:pPr>
        <w:ind w:left="540" w:hanging="293"/>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$55.2 million, a 16% increase from $47.6 million (12% increase on a constant currency basis).</w:t>
      </w:r>
    </w:p>
    <w:p>
      <w:pPr>
        <w:spacing w:after="0" w:line="49" w:lineRule="exact"/>
        <w:rPr>
          <w:rFonts w:ascii="Times New Roman" w:cs="Times New Roman" w:eastAsia="Times New Roman" w:hAnsi="Times New Roman"/>
          <w:sz w:val="18"/>
          <w:szCs w:val="18"/>
          <w:color w:val="auto"/>
        </w:rPr>
      </w:pPr>
    </w:p>
    <w:p>
      <w:pPr>
        <w:ind w:left="540" w:hanging="293"/>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of 56,347 installed ATMs as of March 31, 2026, a 2% increase from 55,512. Total of 52,579 active ATMs as of March 31, 2026, an 1% increase from 51,875 as of March 31, 2025.</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EFT Segment delivered strong constant currency revenue growth of 19% in the first quarter of 2026, driven by continued growth in acquiring, REN infrastructure sales and contributions from the CoreCard acquisition completed in the fourth quarter of 2025. Adjusted EBITDA increased 12%, reflecting the incremental earnings contribution from the revenue drivers, supported by a consistent to improving operating expense profile. Operating income remained relatively flat, largely due to an approximately $5 million increase in a non-cash purchase price amortization related to the CoreCard acquisition; absent this increase, operating income for the segment would have grown 21%.</w:t>
      </w:r>
    </w:p>
    <w:p>
      <w:pPr>
        <w:spacing w:after="0" w:line="206"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Network expansion was modest, with installed ATMs increasing 2% to 56,347 and active ATMs up 1% to 52,579 after deinstalling approximately 1,400 non-performing ATMs.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The epay Segment </w:t>
      </w:r>
      <w:r>
        <w:rPr>
          <w:rFonts w:ascii="Times New Roman" w:cs="Times New Roman" w:eastAsia="Times New Roman" w:hAnsi="Times New Roman"/>
          <w:sz w:val="17"/>
          <w:szCs w:val="17"/>
          <w:color w:val="auto"/>
        </w:rPr>
        <w:t>reports the following results for the first quarter 2026 compared with the same period or date in 2025:</w:t>
      </w:r>
    </w:p>
    <w:p>
      <w:pPr>
        <w:spacing w:after="0" w:line="224" w:lineRule="exact"/>
        <w:rPr>
          <w:sz w:val="20"/>
          <w:szCs w:val="20"/>
          <w:color w:val="auto"/>
        </w:rPr>
      </w:pPr>
    </w:p>
    <w:p>
      <w:pPr>
        <w:ind w:left="540" w:hanging="29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$293.5 million, a 10% increase from $267.4 million (2% increase on a constant currency basis).</w:t>
      </w:r>
    </w:p>
    <w:p>
      <w:pPr>
        <w:spacing w:after="0" w:line="27" w:lineRule="exact"/>
        <w:rPr>
          <w:rFonts w:ascii="Times New Roman" w:cs="Times New Roman" w:eastAsia="Times New Roman" w:hAnsi="Times New Roman"/>
          <w:sz w:val="18"/>
          <w:szCs w:val="18"/>
          <w:color w:val="auto"/>
        </w:rPr>
      </w:pPr>
    </w:p>
    <w:p>
      <w:pPr>
        <w:ind w:left="540" w:hanging="29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$32.4 million, a 21% increase from $26.8 million (13% increase on a constant currency basis).</w:t>
      </w:r>
    </w:p>
    <w:p>
      <w:pPr>
        <w:spacing w:after="0" w:line="9" w:lineRule="exact"/>
        <w:rPr>
          <w:rFonts w:ascii="Times New Roman" w:cs="Times New Roman" w:eastAsia="Times New Roman" w:hAnsi="Times New Roman"/>
          <w:sz w:val="18"/>
          <w:szCs w:val="18"/>
          <w:color w:val="auto"/>
        </w:rPr>
      </w:pPr>
    </w:p>
    <w:p>
      <w:pPr>
        <w:ind w:left="540" w:hanging="29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$33.9 million, a 19% increase from $28.4 million (12% increase on a constant currency basis).</w:t>
      </w:r>
    </w:p>
    <w:p>
      <w:pPr>
        <w:spacing w:after="0" w:line="9" w:lineRule="exact"/>
        <w:rPr>
          <w:rFonts w:ascii="Times New Roman" w:cs="Times New Roman" w:eastAsia="Times New Roman" w:hAnsi="Times New Roman"/>
          <w:sz w:val="18"/>
          <w:szCs w:val="18"/>
          <w:color w:val="auto"/>
        </w:rPr>
      </w:pPr>
    </w:p>
    <w:p>
      <w:pPr>
        <w:ind w:left="540" w:hanging="29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of 1,081 million, a 5% decrease from 1,134 million.</w:t>
      </w:r>
    </w:p>
    <w:p>
      <w:pPr>
        <w:sectPr>
          <w:pgSz w:w="11900" w:h="16838" w:orient="portrait"/>
          <w:cols w:equalWidth="0" w:num="1">
            <w:col w:w="11240"/>
          </w:cols>
          <w:pgMar w:left="320" w:top="970" w:right="339" w:bottom="0" w:gutter="0" w:footer="0" w:header="0"/>
        </w:sectPr>
      </w:pPr>
    </w:p>
    <w:bookmarkStart w:id="3" w:name="page4"/>
    <w:bookmarkEnd w:id="3"/>
    <w:p>
      <w:pPr>
        <w:ind w:left="540" w:hanging="293"/>
        <w:spacing w:after="0"/>
        <w:tabs>
          <w:tab w:leader="none" w:pos="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 terminals of approximately 731,000 as of March 31, 2026, essentially unchanged from 728,000*.</w:t>
      </w:r>
    </w:p>
    <w:p>
      <w:pPr>
        <w:spacing w:after="0" w:line="27" w:lineRule="exact"/>
        <w:rPr>
          <w:rFonts w:ascii="Times New Roman" w:cs="Times New Roman" w:eastAsia="Times New Roman" w:hAnsi="Times New Roman"/>
          <w:sz w:val="18"/>
          <w:szCs w:val="18"/>
          <w:color w:val="auto"/>
        </w:rPr>
      </w:pPr>
    </w:p>
    <w:p>
      <w:pPr>
        <w:ind w:left="540" w:hanging="292"/>
        <w:spacing w:after="0"/>
        <w:tabs>
          <w:tab w:leader="none" w:pos="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Retailer locations of approximately 352,000 as of March 31, 2026, essentially unchanged from 351,000*.</w:t>
      </w:r>
    </w:p>
    <w:p>
      <w:pPr>
        <w:spacing w:after="0" w:line="1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Amounts were restated from previously reported amounts to be comparable to the current presentation</w:t>
      </w:r>
    </w:p>
    <w:p>
      <w:pPr>
        <w:spacing w:after="0" w:line="275"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The epay segment delivered constant currency revenue growth of 2%. Operating income rose 13% and adjusted EBITDA increased 12%. Operating income and adjusted EBITDA benefited from the absence of a $4.5 million one-time operating tax impact recognized in the first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6216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The Money Transfer Segment </w:t>
      </w:r>
      <w:r>
        <w:rPr>
          <w:rFonts w:ascii="Times New Roman" w:cs="Times New Roman" w:eastAsia="Times New Roman" w:hAnsi="Times New Roman"/>
          <w:sz w:val="17"/>
          <w:szCs w:val="17"/>
          <w:color w:val="auto"/>
        </w:rPr>
        <w:t>reports the following results for the first quarter 2026 compared with the same period or date in 2025:</w:t>
      </w:r>
    </w:p>
    <w:p>
      <w:pPr>
        <w:spacing w:after="0" w:line="224" w:lineRule="exact"/>
        <w:rPr>
          <w:sz w:val="20"/>
          <w:szCs w:val="20"/>
          <w:color w:val="auto"/>
        </w:rPr>
      </w:pPr>
    </w:p>
    <w:p>
      <w:pPr>
        <w:ind w:left="460" w:hanging="2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$425.2 million, a 2% increase from $417.7 million (4% decrease on a constant currency basis).</w:t>
      </w:r>
    </w:p>
    <w:p>
      <w:pPr>
        <w:spacing w:after="0" w:line="36" w:lineRule="exact"/>
        <w:rPr>
          <w:rFonts w:ascii="Times New Roman" w:cs="Times New Roman" w:eastAsia="Times New Roman" w:hAnsi="Times New Roman"/>
          <w:sz w:val="18"/>
          <w:szCs w:val="18"/>
          <w:color w:val="auto"/>
        </w:rPr>
      </w:pPr>
    </w:p>
    <w:p>
      <w:pPr>
        <w:ind w:left="460" w:hanging="2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$41.9 million, a 7% decrease from $45.1 million (14% decrease on a constant currency basis).</w:t>
      </w:r>
    </w:p>
    <w:p>
      <w:pPr>
        <w:spacing w:after="0" w:line="27" w:lineRule="exact"/>
        <w:rPr>
          <w:rFonts w:ascii="Times New Roman" w:cs="Times New Roman" w:eastAsia="Times New Roman" w:hAnsi="Times New Roman"/>
          <w:sz w:val="18"/>
          <w:szCs w:val="18"/>
          <w:color w:val="auto"/>
        </w:rPr>
      </w:pPr>
    </w:p>
    <w:p>
      <w:pPr>
        <w:ind w:left="460" w:hanging="2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$48.3 million, a 6% decrease from $51.3 million (12% decrease on a constant currency basis).</w:t>
      </w:r>
    </w:p>
    <w:p>
      <w:pPr>
        <w:spacing w:after="0" w:line="9" w:lineRule="exact"/>
        <w:rPr>
          <w:rFonts w:ascii="Times New Roman" w:cs="Times New Roman" w:eastAsia="Times New Roman" w:hAnsi="Times New Roman"/>
          <w:sz w:val="18"/>
          <w:szCs w:val="18"/>
          <w:color w:val="auto"/>
        </w:rPr>
      </w:pPr>
    </w:p>
    <w:p>
      <w:pPr>
        <w:ind w:left="460" w:hanging="2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transactions of 43.9 million, a 2% decrease from 44.6 million.</w:t>
      </w:r>
    </w:p>
    <w:p>
      <w:pPr>
        <w:spacing w:after="0" w:line="9" w:lineRule="exact"/>
        <w:rPr>
          <w:rFonts w:ascii="Times New Roman" w:cs="Times New Roman" w:eastAsia="Times New Roman" w:hAnsi="Times New Roman"/>
          <w:sz w:val="18"/>
          <w:szCs w:val="18"/>
          <w:color w:val="auto"/>
        </w:rPr>
      </w:pPr>
    </w:p>
    <w:p>
      <w:pPr>
        <w:ind w:left="460" w:hanging="2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digital transactions of 7.1 million, a 35% increase from 5.3 million.</w:t>
      </w:r>
    </w:p>
    <w:p>
      <w:pPr>
        <w:spacing w:after="0" w:line="9" w:lineRule="exact"/>
        <w:rPr>
          <w:rFonts w:ascii="Times New Roman" w:cs="Times New Roman" w:eastAsia="Times New Roman" w:hAnsi="Times New Roman"/>
          <w:sz w:val="18"/>
          <w:szCs w:val="18"/>
          <w:color w:val="auto"/>
        </w:rPr>
      </w:pPr>
    </w:p>
    <w:p>
      <w:pPr>
        <w:ind w:left="460" w:hanging="2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locations of approximately 651,000 as of March 31, 2026, a 4% increase from approximately 624,000.</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Money Transfer segment constant currency revenue declined 4%. Operating income and adjusted EBITDA declined 14% and 12% respectively. The decline in constant currency revenue was largely driven by the impact of immigration reform affecting transfers from the United States to Mexico, as well as reduced volume in the Middle East. Offsetting the decline in transfers to Mexico and the Middle East was growth in all other markets together with accelerated growth in consumer-to-consumer digital transactions and the Money Transfer’s Dandelion product. Operating income benefited from expanded gross margins which were utilized to increase digital marketing expenditure, resulting in reduced operating income year-over-year.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transactions decreased 2% to 43.9 million, while digital transactions grew 35% and network locations expanded 4%.</w:t>
      </w:r>
    </w:p>
    <w:p>
      <w:pPr>
        <w:spacing w:after="0" w:line="2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color w:val="auto"/>
        </w:rPr>
        <w:t xml:space="preserve">Corporate and Other </w:t>
      </w:r>
      <w:r>
        <w:rPr>
          <w:rFonts w:ascii="Times New Roman" w:cs="Times New Roman" w:eastAsia="Times New Roman" w:hAnsi="Times New Roman"/>
          <w:sz w:val="17"/>
          <w:szCs w:val="17"/>
          <w:color w:val="auto"/>
        </w:rPr>
        <w:t>reports $25.7 million of expense for the first quarter 2026 compared with $20.0 million for the first quarter 2025. The increase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corporate expenses was primarily driven by a $3.5 million increase in long-term share-based compensation, which equally impacted consolidated operating income.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and Financial Position</w:t>
      </w:r>
    </w:p>
    <w:p>
      <w:pPr>
        <w:spacing w:after="0" w:line="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cash, including ATM cash, unrestricted cash and cash equivalents and restricted cash, was $2,134.4 million as of March 31, 2026, compared to $1,713.8 million at December 31, 2025. Total indebtedness was $2,556.2 million, up from $2,021.8 million at year-end. Availability under the Company’s revolving credit facilities was approximately $1.2 billion. Net debt increased by $113.8 million during the quarter, primarily driven by $100 million of share repurchases and changes in working capital balances, partially offset by cash generated from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reiterates its 2026 adjusted EPS growth of 10% to 15% year-over-year, consistent with its 10- and 20-year compounded annualized growth rates. This outlook does not include any changes that may develop in foreign exchange rates, interest rates or other unforeseen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6216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 results presented in accordance with U.S. GAAP, the Company presents non-GAAP financial measures, such as constant currency financial measures, adjusted EBITDA, and adjusted earnings per share. These measures should be used in addition to, and not a substitute for, revenues, operating income, net income and earnings per share computed in accordance with U.S. GAAP. We believe that these non-GAAP measures provide useful information to investors regarding the Company's performance and overall results of operations. These non-GAAP measures are also an integral part of the Company's internal reporting and performance assessment for executives and senior management. The non-GAAP measures used by the Company may not be comparable to similarly titled non-GAAP measures used by other companies. The attached schedules provide a full reconciliation of these non-GAAP financial measures to their most directly comparable U.S. GAAP financial measure.</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provide a reconciliation of its forward-looking non-GAAP measures to GAAP due to the inherent difficulty in forecasting and quantifying certain amounts that are necessary for GAAP and the related GAAP and non-GAAP reconciliation, including adjustments that would be necessary for foreign currency exchange rate fluctuations and other charges reflected in the Company's reconciliation of historic numbers, the amount of which, based on historical experience, could be significant.</w:t>
      </w:r>
    </w:p>
    <w:p>
      <w:pPr>
        <w:spacing w:after="0" w:line="247" w:lineRule="exact"/>
        <w:rPr>
          <w:sz w:val="20"/>
          <w:szCs w:val="20"/>
          <w:color w:val="auto"/>
        </w:rPr>
      </w:pPr>
    </w:p>
    <w:p>
      <w:pPr>
        <w:ind w:firstLine="8"/>
        <w:spacing w:after="0" w:line="223" w:lineRule="auto"/>
        <w:tabs>
          <w:tab w:leader="none" w:pos="207"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Constant currency financial measures are computed as if foreign currency exchange rates did not change from the prior period. This information is provided to illustrate the impact of changes in foreign currency exchange rates on the Company's results when compared to the prior period.</w:t>
      </w:r>
    </w:p>
    <w:p>
      <w:pPr>
        <w:spacing w:after="0" w:line="266" w:lineRule="exact"/>
        <w:rPr>
          <w:rFonts w:ascii="Times New Roman" w:cs="Times New Roman" w:eastAsia="Times New Roman" w:hAnsi="Times New Roman"/>
          <w:sz w:val="24"/>
          <w:szCs w:val="24"/>
          <w:color w:val="auto"/>
          <w:vertAlign w:val="superscript"/>
        </w:rPr>
      </w:pPr>
    </w:p>
    <w:p>
      <w:pPr>
        <w:jc w:val="both"/>
        <w:ind w:firstLine="8"/>
        <w:spacing w:after="0" w:line="231" w:lineRule="auto"/>
        <w:tabs>
          <w:tab w:leader="none" w:pos="197"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Adjusted EBITDA is defined as net income excluding, to the extent incurred in the period, interest expense, income tax expense, depreciation, amortization, share-based compensation and other non-operating or non-recurring items that are considered expenses or income under U.S. GAAP. Adjusted EBITDA represents a performance measure and is not intended to represent a liquidity measure.</w:t>
      </w:r>
    </w:p>
    <w:p>
      <w:pPr>
        <w:spacing w:after="0" w:line="280" w:lineRule="exact"/>
        <w:rPr>
          <w:rFonts w:ascii="Times New Roman" w:cs="Times New Roman" w:eastAsia="Times New Roman" w:hAnsi="Times New Roman"/>
          <w:sz w:val="24"/>
          <w:szCs w:val="24"/>
          <w:color w:val="auto"/>
          <w:vertAlign w:val="superscript"/>
        </w:rPr>
      </w:pPr>
    </w:p>
    <w:p>
      <w:pPr>
        <w:jc w:val="both"/>
        <w:ind w:firstLine="8"/>
        <w:spacing w:after="0" w:line="236" w:lineRule="auto"/>
        <w:tabs>
          <w:tab w:leader="none" w:pos="205"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Adjusted earnings per share is defined as diluted U.S. GAAP earnings per share excluding (1), to the extent incurred in the period, the tax-effected impacts of: a) foreign currency exchange gains or losses, b) share-based compensation, c) acquired intangible asset amortization, d) non-cash income tax expense, e) non-cash investment loss/gain, and (f) dilutive shares related to the Company's convertible notes. Adjusted earnings per share represents a performance measure and is not intended to represent a liquidity measure.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Slide Presentation</w:t>
      </w:r>
    </w:p>
    <w:p>
      <w:pPr>
        <w:sectPr>
          <w:pgSz w:w="11900" w:h="16838" w:orient="portrait"/>
          <w:cols w:equalWidth="0" w:num="1">
            <w:col w:w="11240"/>
          </w:cols>
          <w:pgMar w:left="320" w:top="121" w:right="339" w:bottom="0" w:gutter="0" w:footer="0" w:header="0"/>
        </w:sectPr>
      </w:pPr>
    </w:p>
    <w:p>
      <w:pPr>
        <w:spacing w:after="0" w:line="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Euronet Worldwide will host an analyst conference call on April 29, 2026, at 9:00 a.m. Eastern Time to discuss these results. The call may also include discussion of Company developments on the Company's operations, forward-looking information, and other material information about business and</w:t>
      </w:r>
    </w:p>
    <w:p>
      <w:pPr>
        <w:sectPr>
          <w:pgSz w:w="11900" w:h="16838" w:orient="portrait"/>
          <w:cols w:equalWidth="0" w:num="1">
            <w:col w:w="11240"/>
          </w:cols>
          <w:pgMar w:left="320" w:top="121" w:right="339" w:bottom="0" w:gutter="0" w:footer="0" w:header="0"/>
          <w:type w:val="continuous"/>
        </w:sectPr>
      </w:pPr>
    </w:p>
    <w:bookmarkStart w:id="4" w:name="page5"/>
    <w:bookmarkEnd w:id="4"/>
    <w:p>
      <w:pPr>
        <w:spacing w:after="0" w:line="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matters. To listen to the call via telephone please register at Euronet Worldwide First Quarter 2026 Earnings Call. The conference call and accompanying slide show presentation will be accessible via webcast by following the link posted on http://ir.euronetworldwide.com. Participants should register at least five minutes prior to the scheduled start time of the event. A slideshow will be included in the webcast.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webcast replay will be available beginning approximately one hour after the event at http://ir.euronet worldwide.com and will remain available for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6216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Euronet Worldwide, Inc.</w:t>
      </w:r>
    </w:p>
    <w:p>
      <w:pPr>
        <w:spacing w:after="0" w:line="8"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Euronet (Nasdaq: EEFT) is a global leader in payment processing and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transactions, operating for more than 30 years and now serving clients in 200+ countries and territories. We support financial institutions, merchants and global brands with technology-driven solutions, while enabling businesses and consumers to send, receive and spend money seamlessly worldwide. By operating one of the world’s largest independent electronic payment networks spanning merchant acquiring, transaction processing and point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infrastructure, Euronet enables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digital and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movement of money at global scale. In 2025, Euronet processed more than 20 billion transactions across its network. Headquartered in Leawood, Kansas USA, Euronet operates from 74 offices worldwide. For more information, visit www.euronet.com.</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contained in this news release that concern Euronet's or its management's intentions, expectations, or predictions of future performance, are forward-looking statements. Euronet's actual results may vary materially from those anticipated in such forward-looking statements as a result of a number of factors, including: conditions in world financial markets and general economic conditions, including impacts from pandemics or other disease outbreaks; inflation; military conflicts in the Ukraine and the Middle East, and the related economic sanctions; our ability to successfully integrate any acquired operations; economic conditions in specific countries and regions; technological developments, including artificial intelligence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consumer and data protection and privacy; changes in laws and regulations affecting our business, including tax and immigration laws and any laws regulating payments, including dynamic currency conversion transactions and digital assets;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 SEC's Edgar website or by contacting the Company. Any forward-looking statements made in this release speak only as of the date of this release. Except as may be required by law, Euronet does not intend to update these forward-looking statements and undertakes no duty to any person to provide any such update under any circumstances. The Company regularly posts important information to the investor relations section of its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6216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91"/>
        </w:trPr>
        <w:tc>
          <w:tcPr>
            <w:tcW w:w="566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1,040.3</w:t>
            </w:r>
          </w:p>
        </w:tc>
        <w:tc>
          <w:tcPr>
            <w:tcW w:w="0" w:type="dxa"/>
            <w:vAlign w:val="bottom"/>
          </w:tcPr>
          <w:p>
            <w:pPr>
              <w:spacing w:after="0"/>
              <w:rPr>
                <w:sz w:val="1"/>
                <w:szCs w:val="1"/>
                <w:color w:val="auto"/>
              </w:rPr>
            </w:pPr>
          </w:p>
        </w:tc>
      </w:tr>
      <w:tr>
        <w:trPr>
          <w:trHeight w:val="216"/>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ATM cash</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650.3</w:t>
            </w:r>
          </w:p>
        </w:tc>
        <w:tc>
          <w:tcPr>
            <w:tcW w:w="0" w:type="dxa"/>
            <w:vAlign w:val="bottom"/>
          </w:tcPr>
          <w:p>
            <w:pPr>
              <w:spacing w:after="0"/>
              <w:rPr>
                <w:sz w:val="1"/>
                <w:szCs w:val="1"/>
                <w:color w:val="auto"/>
              </w:rPr>
            </w:pPr>
          </w:p>
        </w:tc>
      </w:tr>
      <w:tr>
        <w:trPr>
          <w:trHeight w:val="216"/>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cash</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Settlement assets</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1,910.4</w:t>
            </w:r>
          </w:p>
        </w:tc>
        <w:tc>
          <w:tcPr>
            <w:tcW w:w="0" w:type="dxa"/>
            <w:vAlign w:val="bottom"/>
          </w:tcPr>
          <w:p>
            <w:pPr>
              <w:spacing w:after="0"/>
              <w:rPr>
                <w:sz w:val="1"/>
                <w:szCs w:val="1"/>
                <w:color w:val="auto"/>
              </w:rPr>
            </w:pPr>
          </w:p>
        </w:tc>
      </w:tr>
      <w:tr>
        <w:trPr>
          <w:trHeight w:val="216"/>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34"/>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28"/>
        </w:trPr>
        <w:tc>
          <w:tcPr>
            <w:tcW w:w="5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4,270.2</w:t>
            </w:r>
          </w:p>
        </w:tc>
        <w:tc>
          <w:tcPr>
            <w:tcW w:w="0" w:type="dxa"/>
            <w:vAlign w:val="bottom"/>
          </w:tcPr>
          <w:p>
            <w:pPr>
              <w:spacing w:after="0"/>
              <w:rPr>
                <w:sz w:val="1"/>
                <w:szCs w:val="1"/>
                <w:color w:val="auto"/>
              </w:rPr>
            </w:pPr>
          </w:p>
        </w:tc>
      </w:tr>
      <w:tr>
        <w:trPr>
          <w:trHeight w:val="39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lease asset, net</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acquired intangible assets, net</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1,303.5</w:t>
            </w:r>
          </w:p>
        </w:tc>
        <w:tc>
          <w:tcPr>
            <w:tcW w:w="0" w:type="dxa"/>
            <w:vAlign w:val="bottom"/>
          </w:tcPr>
          <w:p>
            <w:pPr>
              <w:spacing w:after="0"/>
              <w:rPr>
                <w:sz w:val="1"/>
                <w:szCs w:val="1"/>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10"/>
        </w:trPr>
        <w:tc>
          <w:tcPr>
            <w:tcW w:w="5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04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6,332.0</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6,488.7</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66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Settlement obligations</w:t>
            </w:r>
          </w:p>
        </w:tc>
        <w:tc>
          <w:tcPr>
            <w:tcW w:w="2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1,381.4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1,910.4</w:t>
            </w:r>
          </w:p>
        </w:tc>
        <w:tc>
          <w:tcPr>
            <w:tcW w:w="0" w:type="dxa"/>
            <w:vAlign w:val="bottom"/>
          </w:tcPr>
          <w:p>
            <w:pPr>
              <w:spacing w:after="0"/>
              <w:rPr>
                <w:sz w:val="1"/>
                <w:szCs w:val="1"/>
                <w:color w:val="auto"/>
              </w:rPr>
            </w:pPr>
          </w:p>
        </w:tc>
      </w:tr>
      <w:tr>
        <w:trPr>
          <w:trHeight w:val="216"/>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905.2</w:t>
            </w:r>
          </w:p>
        </w:tc>
        <w:tc>
          <w:tcPr>
            <w:tcW w:w="0" w:type="dxa"/>
            <w:vAlign w:val="bottom"/>
          </w:tcPr>
          <w:p>
            <w:pPr>
              <w:spacing w:after="0"/>
              <w:rPr>
                <w:sz w:val="1"/>
                <w:szCs w:val="1"/>
                <w:color w:val="auto"/>
              </w:rPr>
            </w:pPr>
          </w:p>
        </w:tc>
      </w:tr>
      <w:tr>
        <w:trPr>
          <w:trHeight w:val="216"/>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34"/>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Short-term debt obligations</w:t>
            </w:r>
          </w:p>
        </w:tc>
        <w:tc>
          <w:tcPr>
            <w:tcW w:w="2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971.1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984.2</w:t>
            </w:r>
          </w:p>
        </w:tc>
        <w:tc>
          <w:tcPr>
            <w:tcW w:w="0" w:type="dxa"/>
            <w:vAlign w:val="bottom"/>
          </w:tcPr>
          <w:p>
            <w:pPr>
              <w:spacing w:after="0"/>
              <w:rPr>
                <w:sz w:val="1"/>
                <w:szCs w:val="1"/>
                <w:color w:val="auto"/>
              </w:rPr>
            </w:pPr>
          </w:p>
        </w:tc>
      </w:tr>
      <w:tr>
        <w:trPr>
          <w:trHeight w:val="228"/>
        </w:trPr>
        <w:tc>
          <w:tcPr>
            <w:tcW w:w="5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3,854.7</w:t>
            </w:r>
          </w:p>
        </w:tc>
        <w:tc>
          <w:tcPr>
            <w:tcW w:w="0" w:type="dxa"/>
            <w:vAlign w:val="bottom"/>
          </w:tcPr>
          <w:p>
            <w:pPr>
              <w:spacing w:after="0"/>
              <w:rPr>
                <w:sz w:val="1"/>
                <w:szCs w:val="1"/>
                <w:color w:val="auto"/>
              </w:rPr>
            </w:pPr>
          </w:p>
        </w:tc>
      </w:tr>
      <w:tr>
        <w:trPr>
          <w:trHeight w:val="39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1,037.0</w:t>
            </w:r>
          </w:p>
        </w:tc>
        <w:tc>
          <w:tcPr>
            <w:tcW w:w="0" w:type="dxa"/>
            <w:vAlign w:val="bottom"/>
          </w:tcPr>
          <w:p>
            <w:pPr>
              <w:spacing w:after="0"/>
              <w:rPr>
                <w:sz w:val="1"/>
                <w:szCs w:val="1"/>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bl>
    <w:p>
      <w:pPr>
        <w:sectPr>
          <w:pgSz w:w="11900" w:h="16851" w:orient="portrait"/>
          <w:cols w:equalWidth="0" w:num="1">
            <w:col w:w="11240"/>
          </w:cols>
          <w:pgMar w:left="320" w:top="121"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480" w:type="dxa"/>
            <w:vAlign w:val="bottom"/>
          </w:tcPr>
          <w:p>
            <w:pPr>
              <w:ind w:left="760"/>
              <w:spacing w:after="0" w:line="191" w:lineRule="exact"/>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5,105.1</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5,166.2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1,226.9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6,332.0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EURONET WORLDWIDE, INC.</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3"/>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(unaudited - in millions, except share and per share data)</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7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6"/>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1,011.8</w:t>
            </w:r>
          </w:p>
        </w:tc>
        <w:tc>
          <w:tcPr>
            <w:tcW w:w="40" w:type="dxa"/>
            <w:vAlign w:val="bottom"/>
          </w:tcPr>
          <w:p>
            <w:pPr>
              <w:spacing w:after="0"/>
              <w:rPr>
                <w:sz w:val="24"/>
                <w:szCs w:val="24"/>
                <w:color w:val="auto"/>
              </w:rPr>
            </w:pPr>
          </w:p>
        </w:tc>
        <w:tc>
          <w:tcPr>
            <w:tcW w:w="5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gain (loss), net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480" w:type="dxa"/>
            <w:vAlign w:val="bottom"/>
          </w:tcPr>
          <w:p>
            <w:pPr>
              <w:ind w:left="320"/>
              <w:spacing w:after="0" w:line="205" w:lineRule="exact"/>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37.5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 Interest expense from assumed conversion of convertible notes, net of tax</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for diluted earnings per share calculation</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Earnings per share attributable to Euronet</w:t>
            </w: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0.83</w:t>
            </w:r>
          </w:p>
        </w:tc>
        <w:tc>
          <w:tcPr>
            <w:tcW w:w="40" w:type="dxa"/>
            <w:vAlign w:val="bottom"/>
          </w:tcPr>
          <w:p>
            <w:pPr>
              <w:spacing w:after="0"/>
              <w:rPr>
                <w:sz w:val="16"/>
                <w:szCs w:val="16"/>
                <w:color w:val="auto"/>
              </w:rPr>
            </w:pPr>
          </w:p>
        </w:tc>
        <w:tc>
          <w:tcPr>
            <w:tcW w:w="560" w:type="dxa"/>
            <w:vAlign w:val="bottom"/>
            <w:gridSpan w:val="2"/>
            <w:vMerge w:val="restart"/>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Worldwide, Inc. stockholders - diluted</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46,990,091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46,239,523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-5643880</wp:posOffset>
            </wp:positionV>
            <wp:extent cx="33655"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33655"/>
                    </a:xfrm>
                    <a:prstGeom prst="rect">
                      <a:avLst/>
                    </a:prstGeom>
                    <a:noFill/>
                  </pic:spPr>
                </pic:pic>
              </a:graphicData>
            </a:graphic>
          </wp:anchor>
        </w:drawing>
        <w:drawing>
          <wp:anchor simplePos="0" relativeHeight="251657728" behindDoc="1" locked="0" layoutInCell="0" allowOverlap="1">
            <wp:simplePos x="0" y="0"/>
            <wp:positionH relativeFrom="column">
              <wp:posOffset>7132955</wp:posOffset>
            </wp:positionH>
            <wp:positionV relativeFrom="paragraph">
              <wp:posOffset>-20320</wp:posOffset>
            </wp:positionV>
            <wp:extent cx="3365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336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Net Income to Operating Income (Expense) and Adjusted EBITDA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epay</w:t>
            </w:r>
          </w:p>
        </w:tc>
        <w:tc>
          <w:tcPr>
            <w:tcW w:w="14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Money Transfer</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35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Add: Income tax expense</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Add: Total other expense, net</w:t>
            </w: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4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(expense)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46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22"/>
                <w:szCs w:val="22"/>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85"/>
        </w:trPr>
        <w:tc>
          <w:tcPr>
            <w:tcW w:w="4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Earnings before interest, taxes, depreciation, amortization,</w:t>
            </w: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55.2</w:t>
            </w:r>
          </w:p>
        </w:tc>
        <w:tc>
          <w:tcPr>
            <w:tcW w:w="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32"/>
        </w:trPr>
        <w:tc>
          <w:tcPr>
            <w:tcW w:w="4360" w:type="dxa"/>
            <w:vAlign w:val="bottom"/>
          </w:tcPr>
          <w:p>
            <w:pPr>
              <w:spacing w:after="0" w:line="227" w:lineRule="exact"/>
              <w:rPr>
                <w:sz w:val="20"/>
                <w:szCs w:val="20"/>
                <w:color w:val="auto"/>
              </w:rPr>
            </w:pPr>
            <w:r>
              <w:rPr>
                <w:rFonts w:ascii="Times New Roman" w:cs="Times New Roman" w:eastAsia="Times New Roman" w:hAnsi="Times New Roman"/>
                <w:sz w:val="18"/>
                <w:szCs w:val="18"/>
                <w:color w:val="auto"/>
              </w:rPr>
              <w:t xml:space="preserve">share-based compensation (Adjusted EBITDA) </w:t>
            </w:r>
            <w:r>
              <w:rPr>
                <w:rFonts w:ascii="Times New Roman" w:cs="Times New Roman" w:eastAsia="Times New Roman" w:hAnsi="Times New Roman"/>
                <w:sz w:val="24"/>
                <w:szCs w:val="24"/>
                <w:color w:val="auto"/>
                <w:vertAlign w:val="superscript"/>
              </w:rPr>
              <w:t>(1)</w:t>
            </w:r>
          </w:p>
        </w:tc>
        <w:tc>
          <w:tcPr>
            <w:tcW w:w="4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320" w:type="dxa"/>
            <w:vAlign w:val="bottom"/>
            <w:tcBorders>
              <w:bottom w:val="single" w:sz="8" w:color="auto"/>
            </w:tcBorders>
          </w:tcPr>
          <w:p>
            <w:pPr>
              <w:spacing w:after="0"/>
              <w:rPr>
                <w:sz w:val="20"/>
                <w:szCs w:val="20"/>
                <w:color w:val="auto"/>
              </w:rPr>
            </w:pPr>
          </w:p>
        </w:tc>
      </w:tr>
      <w:tr>
        <w:trPr>
          <w:trHeight w:val="187"/>
        </w:trPr>
        <w:tc>
          <w:tcPr>
            <w:tcW w:w="4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320" w:type="dxa"/>
            <w:vAlign w:val="bottom"/>
          </w:tcPr>
          <w:p>
            <w:pPr>
              <w:spacing w:after="0"/>
              <w:rPr>
                <w:sz w:val="16"/>
                <w:szCs w:val="16"/>
                <w:color w:val="auto"/>
              </w:rPr>
            </w:pPr>
          </w:p>
        </w:tc>
      </w:tr>
      <w:tr>
        <w:trPr>
          <w:trHeight w:val="238"/>
        </w:trPr>
        <w:tc>
          <w:tcPr>
            <w:tcW w:w="4360" w:type="dxa"/>
            <w:vAlign w:val="bottom"/>
          </w:tcPr>
          <w:p>
            <w:pPr>
              <w:spacing w:after="0"/>
              <w:rPr>
                <w:sz w:val="20"/>
                <w:szCs w:val="20"/>
                <w:color w:val="auto"/>
              </w:rPr>
            </w:pPr>
          </w:p>
        </w:tc>
        <w:tc>
          <w:tcPr>
            <w:tcW w:w="1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epay</w:t>
            </w:r>
          </w:p>
        </w:tc>
        <w:tc>
          <w:tcPr>
            <w:tcW w:w="16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Money Transfer</w:t>
            </w: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r>
    </w:tbl>
    <w:p>
      <w:pPr>
        <w:sectPr>
          <w:pgSz w:w="11900" w:h="16838" w:orient="portrait"/>
          <w:cols w:equalWidth="0" w:num="1">
            <w:col w:w="11260"/>
          </w:cols>
          <w:pgMar w:left="320" w:top="121" w:right="319" w:bottom="0" w:gutter="0" w:footer="0" w:header="0"/>
        </w:sectPr>
      </w:pPr>
    </w:p>
    <w:bookmarkStart w:id="6" w:name="page7"/>
    <w:bookmarkEnd w:id="6"/>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Add: Income tax expense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Add: Total other expense, net</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52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(expense)</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23.3</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26.8</w:t>
            </w:r>
          </w:p>
        </w:tc>
        <w:tc>
          <w:tcPr>
            <w:tcW w:w="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24.3</w:t>
            </w:r>
          </w:p>
        </w:tc>
        <w:tc>
          <w:tcPr>
            <w:tcW w:w="56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24"/>
                <w:szCs w:val="24"/>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9"/>
        </w:trPr>
        <w:tc>
          <w:tcPr>
            <w:tcW w:w="42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Earnings before interest, taxes, depreciation, amortization,</w:t>
            </w:r>
          </w:p>
        </w:tc>
        <w:tc>
          <w:tcPr>
            <w:tcW w:w="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47.6</w:t>
            </w:r>
          </w:p>
        </w:tc>
        <w:tc>
          <w:tcPr>
            <w:tcW w:w="5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c>
          <w:tcPr>
            <w:tcW w:w="5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51.3</w:t>
            </w:r>
          </w:p>
        </w:tc>
        <w:tc>
          <w:tcPr>
            <w:tcW w:w="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64"/>
        </w:trPr>
        <w:tc>
          <w:tcPr>
            <w:tcW w:w="4280" w:type="dxa"/>
            <w:vAlign w:val="bottom"/>
          </w:tcPr>
          <w:p>
            <w:pPr>
              <w:spacing w:after="0" w:line="264" w:lineRule="exact"/>
              <w:rPr>
                <w:sz w:val="20"/>
                <w:szCs w:val="20"/>
                <w:color w:val="auto"/>
              </w:rPr>
            </w:pPr>
            <w:r>
              <w:rPr>
                <w:rFonts w:ascii="Times New Roman" w:cs="Times New Roman" w:eastAsia="Times New Roman" w:hAnsi="Times New Roman"/>
                <w:sz w:val="18"/>
                <w:szCs w:val="18"/>
                <w:color w:val="auto"/>
              </w:rPr>
              <w:t xml:space="preserve">share-based compensation (Adjusted EBITDA) </w:t>
            </w:r>
            <w:r>
              <w:rPr>
                <w:rFonts w:ascii="Times New Roman" w:cs="Times New Roman" w:eastAsia="Times New Roman" w:hAnsi="Times New Roman"/>
                <w:sz w:val="24"/>
                <w:szCs w:val="24"/>
                <w:color w:val="auto"/>
                <w:vertAlign w:val="superscript"/>
              </w:rPr>
              <w:t>(1)</w:t>
            </w:r>
          </w:p>
        </w:tc>
        <w:tc>
          <w:tcPr>
            <w:tcW w:w="520" w:type="dxa"/>
            <w:vAlign w:val="bottom"/>
            <w:gridSpan w:val="2"/>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56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56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-22860</wp:posOffset>
            </wp:positionV>
            <wp:extent cx="43287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2879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-5715</wp:posOffset>
            </wp:positionV>
            <wp:extent cx="43287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234" w:lineRule="auto"/>
        <w:rPr>
          <w:sz w:val="20"/>
          <w:szCs w:val="20"/>
          <w:color w:val="auto"/>
        </w:rPr>
      </w:pPr>
      <w:r>
        <w:rPr>
          <w:rFonts w:ascii="Times New Roman" w:cs="Times New Roman" w:eastAsia="Times New Roman" w:hAnsi="Times New Roman"/>
          <w:sz w:val="22"/>
          <w:szCs w:val="22"/>
          <w:color w:val="FFFFFF"/>
        </w:rPr>
        <w:t>.</w:t>
      </w:r>
    </w:p>
    <w:p>
      <w:pPr>
        <w:spacing w:after="0" w:line="1" w:lineRule="exact"/>
        <w:rPr>
          <w:sz w:val="20"/>
          <w:szCs w:val="20"/>
          <w:color w:val="auto"/>
        </w:rPr>
      </w:pPr>
    </w:p>
    <w:p>
      <w:pPr>
        <w:ind w:left="260" w:hanging="252"/>
        <w:spacing w:after="0" w:line="220" w:lineRule="auto"/>
        <w:tabs>
          <w:tab w:leader="none" w:pos="199"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Adjusted EBITDA is a non-GAAP measure that should be considered in addition to, and not a substitute for, net income computed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62165"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Reconciliation of Adjusted Earnings per Share</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 in millions, except share and per share data)</w:t>
      </w:r>
    </w:p>
    <w:p>
      <w:pPr>
        <w:spacing w:after="0" w:line="333"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70"/>
        </w:trPr>
        <w:tc>
          <w:tcPr>
            <w:tcW w:w="80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3"/>
                <w:szCs w:val="23"/>
                <w:color w:val="auto"/>
              </w:rPr>
            </w:pPr>
          </w:p>
        </w:tc>
      </w:tr>
      <w:tr>
        <w:trPr>
          <w:trHeight w:val="250"/>
        </w:trPr>
        <w:tc>
          <w:tcPr>
            <w:tcW w:w="80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r>
      <w:tr>
        <w:trPr>
          <w:trHeight w:val="48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r>
      <w:tr>
        <w:trPr>
          <w:trHeight w:val="30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Intangible asset amortization </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80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270"/>
        </w:trPr>
        <w:tc>
          <w:tcPr>
            <w:tcW w:w="80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Income tax effect of above adjustments </w:t>
            </w:r>
            <w:r>
              <w:rPr>
                <w:rFonts w:ascii="Times New Roman" w:cs="Times New Roman" w:eastAsia="Times New Roman" w:hAnsi="Times New Roman"/>
                <w:sz w:val="24"/>
                <w:szCs w:val="24"/>
                <w:color w:val="auto"/>
                <w:vertAlign w:val="superscript"/>
              </w:rPr>
              <w:t>(3)</w:t>
            </w:r>
          </w:p>
        </w:tc>
        <w:tc>
          <w:tcPr>
            <w:tcW w:w="28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Non-cash investment loss (gain) </w:t>
            </w:r>
            <w:r>
              <w:rPr>
                <w:rFonts w:ascii="Times New Roman" w:cs="Times New Roman" w:eastAsia="Times New Roman" w:hAnsi="Times New Roman"/>
                <w:sz w:val="24"/>
                <w:szCs w:val="24"/>
                <w:color w:val="auto"/>
                <w:vertAlign w:val="superscript"/>
              </w:rPr>
              <w:t>(4)</w:t>
            </w:r>
          </w:p>
        </w:tc>
        <w:tc>
          <w:tcPr>
            <w:tcW w:w="28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40"/>
        </w:trPr>
        <w:tc>
          <w:tcPr>
            <w:tcW w:w="804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 xml:space="preserve">Non-cash GAAP tax expense (benefit) </w:t>
            </w:r>
            <w:r>
              <w:rPr>
                <w:rFonts w:ascii="Times New Roman" w:cs="Times New Roman" w:eastAsia="Times New Roman" w:hAnsi="Times New Roman"/>
                <w:sz w:val="24"/>
                <w:szCs w:val="24"/>
                <w:color w:val="auto"/>
                <w:vertAlign w:val="superscript"/>
              </w:rPr>
              <w:t>(5)</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r>
      <w:tr>
        <w:trPr>
          <w:trHeight w:val="48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earnings </w:t>
            </w:r>
            <w:r>
              <w:rPr>
                <w:rFonts w:ascii="Times New Roman" w:cs="Times New Roman" w:eastAsia="Times New Roman" w:hAnsi="Times New Roman"/>
                <w:sz w:val="24"/>
                <w:szCs w:val="24"/>
                <w:color w:val="auto"/>
                <w:vertAlign w:val="superscript"/>
              </w:rPr>
              <w:t>(6)</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48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earnings per share - diluted </w:t>
            </w:r>
            <w:r>
              <w:rPr>
                <w:rFonts w:ascii="Times New Roman" w:cs="Times New Roman" w:eastAsia="Times New Roman" w:hAnsi="Times New Roman"/>
                <w:sz w:val="24"/>
                <w:szCs w:val="24"/>
                <w:color w:val="auto"/>
                <w:vertAlign w:val="superscript"/>
              </w:rPr>
              <w:t>(6)</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r>
      <w:tr>
        <w:trPr>
          <w:trHeight w:val="48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 (GAAP)</w:t>
            </w:r>
          </w:p>
        </w:tc>
        <w:tc>
          <w:tcPr>
            <w:tcW w:w="2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46,990,091</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46,239,523</w:t>
            </w:r>
          </w:p>
        </w:tc>
      </w:tr>
      <w:tr>
        <w:trPr>
          <w:trHeight w:val="27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Effect of adjusted EPS dilution of convertible notes</w:t>
            </w:r>
          </w:p>
        </w:tc>
        <w:tc>
          <w:tcPr>
            <w:tcW w:w="28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(8,047,923)</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(2,347,536)</w:t>
            </w:r>
          </w:p>
        </w:tc>
      </w:tr>
      <w:tr>
        <w:trPr>
          <w:trHeight w:val="27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Effect of unrecognized share-based compensation on diluted shares outstanding</w:t>
            </w: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590,657</w:t>
            </w:r>
          </w:p>
        </w:tc>
        <w:tc>
          <w:tcPr>
            <w:tcW w:w="2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371,757</w:t>
            </w:r>
          </w:p>
        </w:tc>
      </w:tr>
      <w:tr>
        <w:trPr>
          <w:trHeight w:val="25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39,532,825</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44,263,744</w:t>
            </w:r>
          </w:p>
        </w:tc>
      </w:tr>
    </w:tbl>
    <w:p>
      <w:pPr>
        <w:spacing w:after="0" w:line="198" w:lineRule="exact"/>
        <w:rPr>
          <w:sz w:val="20"/>
          <w:szCs w:val="20"/>
          <w:color w:val="auto"/>
        </w:rPr>
      </w:pPr>
    </w:p>
    <w:p>
      <w:pPr>
        <w:ind w:firstLine="8"/>
        <w:spacing w:after="0" w:line="282" w:lineRule="auto"/>
        <w:tabs>
          <w:tab w:leader="none" w:pos="2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amortization of $9.5 million and $4.5 million are included in depreciation and amortization expense of $39.9 million and $32.2 million for the three months ended March 31, 2026 and March 31, 2025, respectively, in the consolidated statements of operations.</w:t>
      </w:r>
    </w:p>
    <w:p>
      <w:pPr>
        <w:spacing w:after="0" w:line="94"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of $14.8 million and $11.3 million are included in salaries and benefits expense of $189.9 million and $164.1 million for the three months ended March 31, 2026 and March 31, 2025, respectively, in the consolidated statements of operations.</w:t>
      </w:r>
    </w:p>
    <w:p>
      <w:pPr>
        <w:spacing w:after="0" w:line="80"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is the aggregate U.S. GAAP income tax effect on the preceding adjustments determined by applying the applicable statutory U.S. federal, state and/or foreign income tax rates.</w:t>
      </w:r>
    </w:p>
    <w:p>
      <w:pPr>
        <w:spacing w:after="0" w:line="94" w:lineRule="exact"/>
        <w:rPr>
          <w:rFonts w:ascii="Times New Roman" w:cs="Times New Roman" w:eastAsia="Times New Roman" w:hAnsi="Times New Roman"/>
          <w:sz w:val="18"/>
          <w:szCs w:val="18"/>
          <w:color w:val="auto"/>
        </w:rPr>
      </w:pPr>
    </w:p>
    <w:p>
      <w:pPr>
        <w:jc w:val="both"/>
        <w:ind w:firstLine="8"/>
        <w:spacing w:after="0" w:line="266" w:lineRule="auto"/>
        <w:tabs>
          <w:tab w:leader="none" w:pos="2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 loss of $4.1 million is included in other income in the consolidated statement of operations for the three months ended March 31, 2026. Non-cash investment gain of $3.0 million is included in other income in the consolidated statement of operations for the three months ended March 31, 2025.</w:t>
      </w:r>
    </w:p>
    <w:p>
      <w:pPr>
        <w:spacing w:after="0" w:line="108" w:lineRule="exact"/>
        <w:rPr>
          <w:rFonts w:ascii="Times New Roman" w:cs="Times New Roman" w:eastAsia="Times New Roman" w:hAnsi="Times New Roman"/>
          <w:sz w:val="18"/>
          <w:szCs w:val="18"/>
          <w:color w:val="auto"/>
        </w:rPr>
      </w:pPr>
    </w:p>
    <w:p>
      <w:pPr>
        <w:ind w:firstLine="8"/>
        <w:spacing w:after="0" w:line="282" w:lineRule="auto"/>
        <w:tabs>
          <w:tab w:leader="none" w:pos="2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is the non-cash GAAP tax impact recognized on certain items such as the utilization of certain material net deferred tax assets and amortization of indefinite-lived intangible assets.</w:t>
      </w:r>
    </w:p>
    <w:p>
      <w:pPr>
        <w:spacing w:after="0" w:line="80" w:lineRule="exact"/>
        <w:rPr>
          <w:rFonts w:ascii="Times New Roman" w:cs="Times New Roman" w:eastAsia="Times New Roman" w:hAnsi="Times New Roman"/>
          <w:sz w:val="18"/>
          <w:szCs w:val="18"/>
          <w:color w:val="auto"/>
        </w:rPr>
      </w:pPr>
    </w:p>
    <w:p>
      <w:pPr>
        <w:ind w:firstLine="8"/>
        <w:spacing w:after="0" w:line="282" w:lineRule="auto"/>
        <w:tabs>
          <w:tab w:leader="none" w:pos="2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and adjusted earnings per share are non-GAAP measures that should be considered in addition to, and not as a substitute for, net income and earnings per share computed in accordance with U.S. GAAP.</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2026-04-29T07:17:39Z</dcterms:created>
  <dcterms:modified xsi:type="dcterms:W3CDTF">2026-04-29T07:17:39Z</dcterms:modified>
</cp:coreProperties>
</file>