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0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0" w:right="1460" w:firstLine="318"/>
        <w:spacing w:after="0" w:line="26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Emerging growth company </w:t>
      </w:r>
      <w:r>
        <w:rPr>
          <w:rFonts w:ascii="Arial" w:cs="Arial" w:eastAsia="Arial" w:hAnsi="Arial"/>
          <w:sz w:val="16"/>
          <w:szCs w:val="16"/>
          <w:color w:val="auto"/>
        </w:rPr>
        <w:t>o</w:t>
      </w:r>
    </w:p>
    <w:p>
      <w:pPr>
        <w:spacing w:after="0" w:line="310" w:lineRule="exact"/>
        <w:rPr>
          <w:sz w:val="24"/>
          <w:szCs w:val="24"/>
          <w:color w:val="auto"/>
        </w:rPr>
      </w:pPr>
    </w:p>
    <w:p>
      <w:pPr>
        <w:ind w:left="40" w:right="40"/>
        <w:spacing w:after="0" w:line="25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5" w:lineRule="exact"/>
        <w:rPr>
          <w:sz w:val="24"/>
          <w:szCs w:val="24"/>
          <w:color w:val="auto"/>
        </w:rPr>
      </w:pPr>
    </w:p>
    <w:tbl>
      <w:tblPr>
        <w:tblLayout w:type="fixed"/>
        <w:tblInd w:w="890" w:type="dxa"/>
        <w:tblCellMar>
          <w:top w:w="0" w:type="dxa"/>
          <w:left w:w="0" w:type="dxa"/>
          <w:bottom w:w="0" w:type="dxa"/>
          <w:right w:w="0" w:type="dxa"/>
        </w:tblCellMar>
      </w:tblPr>
      <w:tr>
        <w:trPr>
          <w:trHeight w:val="242"/>
        </w:trPr>
        <w:tc>
          <w:tcPr>
            <w:tcW w:w="2240" w:type="dxa"/>
            <w:vAlign w:val="bottom"/>
            <w:tcBorders>
              <w:top w:val="single" w:sz="8" w:color="auto"/>
              <w:left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w:t>
            </w:r>
          </w:p>
        </w:tc>
        <w:tc>
          <w:tcPr>
            <w:tcW w:w="6100" w:type="dxa"/>
            <w:vAlign w:val="bottom"/>
            <w:tcBorders>
              <w:top w:val="single" w:sz="8" w:color="auto"/>
              <w:right w:val="single" w:sz="8" w:color="auto"/>
            </w:tcBorders>
          </w:tcPr>
          <w:p>
            <w:pPr>
              <w:spacing w:after="0"/>
              <w:rPr>
                <w:sz w:val="21"/>
                <w:szCs w:val="21"/>
                <w:color w:val="auto"/>
              </w:rPr>
            </w:pPr>
          </w:p>
        </w:tc>
      </w:tr>
      <w:tr>
        <w:trPr>
          <w:trHeight w:val="230"/>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Symbol(s)</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22"/>
        </w:trPr>
        <w:tc>
          <w:tcPr>
            <w:tcW w:w="224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Nasdaq Stock Market, LLC</w:t>
            </w:r>
          </w:p>
        </w:tc>
      </w:tr>
      <w:tr>
        <w:trPr>
          <w:trHeight w:val="230"/>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EEFT</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ectPr>
          <w:pgSz w:w="11900" w:h="16838" w:orient="portrait"/>
          <w:cols w:equalWidth="0" w:num="1">
            <w:col w:w="11340"/>
          </w:cols>
          <w:pgMar w:left="240" w:top="535" w:right="319" w:bottom="1440" w:gutter="0" w:footer="0" w:header="0"/>
        </w:sectPr>
      </w:pP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On May 6, 2019, Euronet Worldwide, Inc. had 51,964,031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201295</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114935</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535"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as of March 31, 2019 and December 31, 2018</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for the Three Months Ended March 31, 2019 and 2018</w:t>
              </w:r>
            </w:hyperlink>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for the Three Months Ended March 31, 2019 and 2018</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0" w:type="dxa"/>
            <w:vAlign w:val="bottom"/>
            <w:gridSpan w:val="14"/>
          </w:tcPr>
          <w:p>
            <w:pPr>
              <w:spacing w:after="0"/>
              <w:rPr>
                <w:rFonts w:ascii="Arial" w:cs="Arial" w:eastAsia="Arial" w:hAnsi="Arial"/>
                <w:sz w:val="16"/>
                <w:szCs w:val="16"/>
                <w:color w:val="0000EE"/>
                <w:w w:val="91"/>
              </w:rPr>
            </w:pPr>
            <w:hyperlink w:anchor="page6">
              <w:r>
                <w:rPr>
                  <w:rFonts w:ascii="Arial" w:cs="Arial" w:eastAsia="Arial" w:hAnsi="Arial"/>
                  <w:sz w:val="16"/>
                  <w:szCs w:val="16"/>
                  <w:color w:val="0000EE"/>
                  <w:w w:val="91"/>
                </w:rPr>
                <w:t>Consolidated Statements of Changes in Equity for the Three Months Ended March 31, 2019 and 2018</w:t>
              </w:r>
            </w:hyperlink>
          </w:p>
        </w:tc>
        <w:tc>
          <w:tcPr>
            <w:tcW w:w="3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0" w:type="dxa"/>
            <w:vAlign w:val="bottom"/>
            <w:gridSpan w:val="14"/>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Consolidated Statements of Cash Flows for the Three Months Ended March 31, 2019 and 2018</w:t>
              </w:r>
            </w:hyperlink>
          </w:p>
        </w:tc>
        <w:tc>
          <w:tcPr>
            <w:tcW w:w="302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3"/>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the Unaudited Consolidated Financial Statements</w:t>
              </w:r>
            </w:hyperlink>
          </w:p>
        </w:tc>
        <w:tc>
          <w:tcPr>
            <w:tcW w:w="346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9">
              <w:r>
                <w:rPr>
                  <w:rFonts w:ascii="Arial" w:cs="Arial" w:eastAsia="Arial" w:hAnsi="Arial"/>
                  <w:sz w:val="17"/>
                  <w:szCs w:val="17"/>
                  <w:color w:val="0000EE"/>
                </w:rPr>
                <w:t>9</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2">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5"/>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22">
              <w:r>
                <w:rPr>
                  <w:rFonts w:ascii="Arial" w:cs="Arial" w:eastAsia="Arial" w:hAnsi="Arial"/>
                  <w:sz w:val="17"/>
                  <w:szCs w:val="17"/>
                  <w:color w:val="0000EE"/>
                </w:rPr>
                <w:t>22</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320" w:type="dxa"/>
            <w:vAlign w:val="bottom"/>
            <w:tcBorders>
              <w:bottom w:val="single" w:sz="8" w:color="0000EE"/>
            </w:tcBorders>
            <w:gridSpan w:val="4"/>
            <w:shd w:val="clear" w:color="auto" w:fill="0000EE"/>
          </w:tcPr>
          <w:p>
            <w:pPr>
              <w:spacing w:after="0" w:line="20" w:lineRule="exact"/>
              <w:rPr>
                <w:sz w:val="1"/>
                <w:szCs w:val="1"/>
                <w:color w:val="auto"/>
              </w:rPr>
            </w:pPr>
          </w:p>
        </w:tc>
        <w:tc>
          <w:tcPr>
            <w:tcW w:w="19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1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18"/>
                <w:szCs w:val="18"/>
                <w:color w:val="auto"/>
              </w:rPr>
            </w:pPr>
          </w:p>
        </w:tc>
        <w:tc>
          <w:tcPr>
            <w:tcW w:w="3900" w:type="dxa"/>
            <w:vAlign w:val="bottom"/>
            <w:gridSpan w:val="9"/>
          </w:tcPr>
          <w:p>
            <w:pPr>
              <w:spacing w:after="0"/>
              <w:rPr>
                <w:rFonts w:ascii="Arial" w:cs="Arial" w:eastAsia="Arial" w:hAnsi="Arial"/>
                <w:sz w:val="16"/>
                <w:szCs w:val="16"/>
                <w:color w:val="0000EE"/>
                <w:w w:val="92"/>
              </w:rPr>
            </w:pPr>
            <w:hyperlink w:anchor="page40">
              <w:r>
                <w:rPr>
                  <w:rFonts w:ascii="Arial" w:cs="Arial" w:eastAsia="Arial" w:hAnsi="Arial"/>
                  <w:sz w:val="16"/>
                  <w:szCs w:val="16"/>
                  <w:color w:val="0000EE"/>
                  <w:w w:val="92"/>
                </w:rPr>
                <w:t>Quantitative and Qualitative Disclosures About Market Risk</w:t>
              </w:r>
            </w:hyperlink>
          </w:p>
        </w:tc>
        <w:tc>
          <w:tcPr>
            <w:tcW w:w="5720" w:type="dxa"/>
            <w:vAlign w:val="bottom"/>
            <w:gridSpan w:val="7"/>
          </w:tcPr>
          <w:p>
            <w:pPr>
              <w:spacing w:after="0"/>
              <w:rPr>
                <w:sz w:val="18"/>
                <w:szCs w:val="18"/>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Controls and Procedures</w:t>
              </w:r>
            </w:hyperlink>
          </w:p>
        </w:tc>
        <w:tc>
          <w:tcPr>
            <w:tcW w:w="5720" w:type="dxa"/>
            <w:vAlign w:val="bottom"/>
            <w:gridSpan w:val="7"/>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PART II—OTHER INFORMATION</w:t>
              </w:r>
            </w:hyperlink>
          </w:p>
        </w:tc>
        <w:tc>
          <w:tcPr>
            <w:tcW w:w="8040" w:type="dxa"/>
            <w:vAlign w:val="bottom"/>
            <w:gridSpan w:val="11"/>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Legal Proceedings</w:t>
              </w:r>
            </w:hyperlink>
          </w:p>
        </w:tc>
        <w:tc>
          <w:tcPr>
            <w:tcW w:w="8420" w:type="dxa"/>
            <w:vAlign w:val="bottom"/>
            <w:gridSpan w:val="1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6"/>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6"/>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Exhibits</w:t>
              </w:r>
            </w:hyperlink>
          </w:p>
        </w:tc>
        <w:tc>
          <w:tcPr>
            <w:tcW w:w="5720" w:type="dxa"/>
            <w:vAlign w:val="bottom"/>
            <w:gridSpan w:val="7"/>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4">
              <w:r>
                <w:rPr>
                  <w:rFonts w:ascii="Arial" w:cs="Arial" w:eastAsia="Arial" w:hAnsi="Arial"/>
                  <w:sz w:val="16"/>
                  <w:szCs w:val="16"/>
                  <w:color w:val="0000EE"/>
                  <w:w w:val="86"/>
                </w:rPr>
                <w:t>Signatures</w:t>
              </w:r>
            </w:hyperlink>
          </w:p>
        </w:tc>
        <w:tc>
          <w:tcPr>
            <w:tcW w:w="8940" w:type="dxa"/>
            <w:vAlign w:val="bottom"/>
            <w:gridSpan w:val="14"/>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4">
              <w:r>
                <w:rPr>
                  <w:rFonts w:ascii="Arial" w:cs="Arial" w:eastAsia="Arial" w:hAnsi="Arial"/>
                  <w:sz w:val="17"/>
                  <w:szCs w:val="17"/>
                  <w:color w:val="0000EE"/>
                </w:rPr>
                <w:t>44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1,054,357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76,595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$24,564 at March 31, 2019 and $24,287 at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715,612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693,616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228,675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263,019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2,235,529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2,087,587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right of use lease asset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351,169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$381,406 at March 31, 2019 and $373,180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303,796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291,869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704,054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704,197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Acquired intangible assets, net of accumulated amortization of $197,060 at March 31, 2019 and $190,920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114,485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Other assets, net of accumulated amortization of $52,514 at March 31, 2019 and $50,821 at December 31, 2018</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109,362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123,017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3,814,053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408,798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528,913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712,012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114,654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59,293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1,744,407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1,378,394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225,093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62,992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2,526,143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2,088,313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60,035,677 issued at March 31, 2019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59,897,309 issued at 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1,142,691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1,104,264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Treasury stock, at cost, 8,085,537 shares at March 31, 2019 and 8,077,311 shares at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704,348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669,805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1,287,734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1,232,673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1,287,910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3,814,053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550,515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343,324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85,706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26,002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521,415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505,043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56,094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40,011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(13,667)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34,543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26,413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51,880,534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51,899,282</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55,576,867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53,953,246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26,344</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22,948</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49,292</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49,307</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3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52,808,158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1,072,005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116,358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(1,418,895)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51,505,621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1,078,502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562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24"/>
                <w:szCs w:val="2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24"/>
                <w:szCs w:val="24"/>
                <w:color w:val="auto"/>
              </w:rPr>
            </w:pPr>
          </w:p>
        </w:tc>
        <w:tc>
          <w:tcPr>
            <w:tcW w:w="11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51,819,998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1,104,264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130,136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Repurchases and conversions of convertible notes, net of tax</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51,950,140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1,142,691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(393,307)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 Earnings</w:t>
            </w:r>
          </w:p>
        </w:tc>
        <w:tc>
          <w:tcPr>
            <w:tcW w:w="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Comprehensive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436,954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26,413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463,367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1,129,032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Retained Earnings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1,232,842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Repurchases and conversions of convertible notes,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704,348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(167,199)</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1,287,910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26,002</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4,029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2,818</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3,477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51,720</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36,763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(98,581)</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(28,241)</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3,488</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(24,415)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(33,279)</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(126,577)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1,010,643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(1,425,398)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(841,786)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borrowings from short-term debt obligations,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192,702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41,896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12,525</w:t>
            </w:r>
          </w:p>
        </w:tc>
      </w:tr>
      <w:tr>
        <w:trPr>
          <w:trHeight w:val="243"/>
        </w:trPr>
        <w:tc>
          <w:tcPr>
            <w:tcW w:w="8780" w:type="dxa"/>
            <w:vAlign w:val="bottom"/>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48,970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900,518</w:t>
            </w:r>
          </w:p>
        </w:tc>
      </w:tr>
      <w:tr>
        <w:trPr>
          <w:trHeight w:val="230"/>
        </w:trPr>
        <w:tc>
          <w:tcPr>
            <w:tcW w:w="8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1,291,242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949,488</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5,621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11,981</w:t>
            </w:r>
          </w:p>
        </w:tc>
      </w:tr>
      <w:tr>
        <w:trPr>
          <w:trHeight w:val="230"/>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2018, including the notes thereto, set forth in the Company’s 2018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Euronet’s EFT Processing Segment experiences its heaviest demand for ATM cash withdrawal transaction and dynamic currency conversion ("DCC") services during the third quarter of the fiscal year, coinciding with the tourism season followed by lower transaction levels during the fourth quarter. Additionally, the epay Segments is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 xml:space="preserve">The Company adopted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amended, as of January 1, 2019, using the modified retrospective approach and comparative periods were not restated. The new standards provide a number of optional practical expedients in transition.</w:t>
      </w:r>
    </w:p>
    <w:p>
      <w:pPr>
        <w:spacing w:after="0" w:line="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elected the “package of practical expedients” which permits the Company not to reassess under the new standard the Company’s prior conclusions about lease identification, lease classification and initial direct costs. The Company also elected to combine lease and non-lease components and to include short-term leases with an initial term of 12 months or less on the balance sheet.</w:t>
      </w:r>
    </w:p>
    <w:p>
      <w:pPr>
        <w:spacing w:after="0" w:line="10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the Company elected the hindsight practical expedient to determine the lease term for existing leases. The election of the hindsight practical expedient resulted in, for substantially all leases in effect on January 1, 2019, the lease term for implementation of this pronouncement, as the lease’s life being January 1, 2019 through the lease’s contractual termination date, rather than the actual lease life as set out in the lease agreement. Lease lives for lease agreements committed to on January 1, 2019 and, thereafter, are included based on the lease’s commencement date and termination date. In the application of hindsight, the Company evaluated the performance of all the leases and the associated markets in relation to the Company’s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operations, which resulted in the determination that the exercise of renewal options would not be reasonably certain in determining the expected lease term.</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Adoption of the new standard resulted in the recognition of additional operating right of use lease assets and lease liabilities of approximately $296.9 million, as of January 1, 2019. The Company reclassified $16.6 million and $2.7 million of deferred cost and deferred credits, respectively, to Right of use (ROU) lease assets as of March 31, 2019.</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is permitted for all entities for fiscal years, and interim periods within those fiscal years, beginning after December 15, 2018. The Company is currently in the process of evaluating the effect of the adoption of ASU 2016-13 on its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42"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13335</wp:posOffset>
            </wp:positionV>
            <wp:extent cx="16376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51,880,534</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51,899,282</w:t>
            </w:r>
          </w:p>
        </w:tc>
      </w:tr>
      <w:tr>
        <w:trPr>
          <w:trHeight w:val="27"/>
        </w:trPr>
        <w:tc>
          <w:tcPr>
            <w:tcW w:w="8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1,285,139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1,578,071</w:t>
            </w: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2,411,194</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475,893</w:t>
            </w:r>
          </w:p>
        </w:tc>
      </w:tr>
      <w:tr>
        <w:trPr>
          <w:trHeight w:val="27"/>
        </w:trPr>
        <w:tc>
          <w:tcPr>
            <w:tcW w:w="86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55,576,867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53,953,246</w:t>
            </w:r>
          </w:p>
        </w:tc>
      </w:tr>
      <w:tr>
        <w:trPr>
          <w:trHeight w:val="20"/>
        </w:trPr>
        <w:tc>
          <w:tcPr>
            <w:tcW w:w="8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months ended March 31, 2019 and 2018. The calculation of diluted earnings per share excludes stock options or shares of restricted stock that are anti-dilutive to the Company’s weighted average common shares outstanding of approximately 402,000 for the three months ended March 31, 2019 and approximately 1,151,000 for the three months ended March 31, 2018.</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convertible notes have settlement features requiring the Company upon conversion to settle the principal amount of the debt and any conversion value in excess of the principal value ("conversion premium"), for cash or shares of the Company's common stock or a combination thereof, at the Company's option. At issuance, the Company stated its 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$188.73 per share and $72.18 per share for the new Convertible Senior Notes ("Convertible Notes") issued on March 18, 2019 and the existing convertible notes due on 2044, respectively. The dilutive effect increases the more the market price exceeds the conversion price. Upon issuance of the Convertible Notes, the Company provided a notice of redemption to the trustee of the indenture governing the existing convertible notes. As of March 31, 2019 and 2018, the stock price exceeded the conversion price and the existing convertible notes were dilutive to earnings per share. Further, as a result of the share price increasing from $78.92 at March 31, 2018 to $142.59 at March 31, 2019, there was an increase in shares from the assumed conversion of convertible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Board of Directors has authorized a stock repurchase program ("Repurchase Program") allowing Euronet to repurchase up to $375 million in value or 10.0 million shares of stock through March 31, 2020. For the three months ended March 31, 2019, the remaining maximum dollar value of shares that may yet be purchased under the Repurchase program was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$200.0 million. Repurchases under the Repurchase Program may take place in the open market or in privately negotiated transactions, including derivative transactions, and may be made under a Rule 10b5-1 plan. For the first quarter of 2019, the Company did not make any repurchases under the Repurchase Program. In connection with the issuance of the Convertible Notes, the Board of Directors of the Company authorized the Company to repurchase up to $120 million of the Company’s common stock concurrently with or following the issuance of the Convertible Notes. This authorization will expire on March 11, 2021. For the first quarter 2019, the Company did not make any repurchases under this special authorization.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Accumulated other comprehensive loss consists entirely of foreign currency translation adjustments. The Company recorded foreign currency translation losses of $16.2 million for the three months ended March 31, 2019, and gains of $22.9 million for the three months ended March 31, 2018. There were no reclassifications of foreign currency translation into the consolidated statements of income for the three months ended March 31, 2019 and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2019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818,682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110,143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704,054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814,197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March 31, 2019, is expected to total $15.5 million for the remainder of 2019, $19.9 million for 2020, $19.0 million for 2021, $18.0 million for 2022, $13.2 million for 2023 and $6.7 million for 2024.</w:t>
      </w:r>
    </w:p>
    <w:p>
      <w:pPr>
        <w:spacing w:after="0" w:line="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completed the acquisitions of a small Indonesian business for an immaterial amount of cash consideration. The acquisition has been accounted for as business combinations in accordance with U.S. GAAP and the results of operations have been included from the date of acquisition in the EFT Processing Segment.</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2018 resulted in no impairment charge.</w:t>
      </w:r>
    </w:p>
    <w:p>
      <w:pPr>
        <w:spacing w:after="0" w:line="6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2018 annual impairment test could change, which may result in the Company recording material non-cash impairment charges during the year in which these changes take 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464,888</w:t>
            </w:r>
          </w:p>
        </w:tc>
        <w:tc>
          <w:tcPr>
            <w:tcW w:w="540" w:type="dxa"/>
            <w:vAlign w:val="bottom"/>
            <w:gridSpan w:val="3"/>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310,710</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540" w:type="dxa"/>
            <w:vAlign w:val="bottom"/>
            <w:tcBorders>
              <w:bottom w:val="single" w:sz="8" w:color="CCEEFF"/>
            </w:tcBorders>
            <w:gridSpan w:val="3"/>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293,864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amounts due to mobile operators and other content providers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758,914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712,012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UNEARNED REVENUES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requires the deferral of incremental costs to obtain customer contracts, known as contract assets, which are then amortized to expense as part of selling, general and administrative expense over the respective periods of expected benefit. Such costs are not material; however, the Company has implemented processes and controls to record such costs on an ongoing basis and will disclose them if they become material.</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records deferred revenues when cash payments are received or due in advance of its performance. The increase in the deferred revenue balance for the first quarter of 2019 is primarily driven by $16.0 million of cash payments received in the current year for which the Company has not yet satisfied the performance obligations, largely offset by $13.9 million of revenues recognized that were included in the deferred revenue balance as of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Revolving credit agreements, due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215,725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Convertible Debt: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379,859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0.75% convertible notes, unsecured, due 2049</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425,947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38,513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786,678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634,097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773,220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627,799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412,862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589,782</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October 17, 2018, the Company entered into a new unsecured revolving credit agreement (the "Credit Facility") for $1.0 billion that expires on</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October 17, 2023. Fees and interest on borrowings are based upon the Company's corporate credit rating and are based, in the case of letter of credit fees, on a margin ,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Euros, Hungarian Forints, Japanese Yen, New Zealand Dollars, Norwegian Krone, Polish Zlotys, Swedish Krona, Swiss Francs, and U.S. Dollars.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5" w:lineRule="exact"/>
        <w:rPr>
          <w:sz w:val="20"/>
          <w:szCs w:val="20"/>
          <w:color w:val="auto"/>
        </w:rPr>
      </w:pPr>
    </w:p>
    <w:p>
      <w:pPr>
        <w:ind w:right="160"/>
        <w:spacing w:after="0" w:line="281" w:lineRule="auto"/>
        <w:rPr>
          <w:sz w:val="20"/>
          <w:szCs w:val="20"/>
          <w:color w:val="auto"/>
        </w:rPr>
      </w:pPr>
      <w:r>
        <w:rPr>
          <w:rFonts w:ascii="Arial" w:cs="Arial" w:eastAsia="Arial" w:hAnsi="Arial"/>
          <w:sz w:val="19"/>
          <w:szCs w:val="19"/>
          <w:color w:val="auto"/>
        </w:rPr>
        <w:t>O</w:t>
      </w:r>
      <w:r>
        <w:rPr>
          <w:rFonts w:ascii="Arial" w:cs="Arial" w:eastAsia="Arial" w:hAnsi="Arial"/>
          <w:sz w:val="17"/>
          <w:szCs w:val="17"/>
          <w:color w:val="auto"/>
        </w:rPr>
        <w:t>n March 18, 2019, the Company completed the sale of $525 million of Convertible Senior Notes ("Convertible Notes"). The Convertible Notes mature in</w:t>
      </w:r>
      <w:r>
        <w:rPr>
          <w:rFonts w:ascii="Arial" w:cs="Arial" w:eastAsia="Arial" w:hAnsi="Arial"/>
          <w:sz w:val="19"/>
          <w:szCs w:val="19"/>
          <w:color w:val="auto"/>
        </w:rPr>
        <w:t xml:space="preserve"> </w:t>
      </w:r>
      <w:r>
        <w:rPr>
          <w:rFonts w:ascii="Arial" w:cs="Arial" w:eastAsia="Arial" w:hAnsi="Arial"/>
          <w:sz w:val="17"/>
          <w:szCs w:val="17"/>
          <w:color w:val="auto"/>
        </w:rPr>
        <w:t>March 2049 unless repurchased or converted prior to such date, and are convertible into shares of Euronet Common Stock at a conversion price of approximately $188.73 per share. The Company used $94.2 million of the new debt to repurchase $49 million aggregate principal amount of the Company's 1.5% Convertible Senior Notes outstanding due 2044 (the "Existing Convertible Notes") from a limited number of holders in privately negotiated transactions. The Company expects to use the remainder of the net proceeds for general corporate purposes, which may include redeeming the remaining Existing Convertible Notes, repaying borrowings outstanding under the Credit Facility, share repurchases or acquisitions.</w:t>
      </w:r>
    </w:p>
    <w:p>
      <w:pPr>
        <w:spacing w:after="0" w:line="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March 18, 2019, the Company provided a notice of redemption to the trustee of the indenture governing the Existing Convertible Notes (the "Existing Indenture"), pursuant to which the Company will redeem all of the remaining principal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amount outstanding of the Existing Convertible Notes on May 28, 2019 (the "Redemption Date"). The redemption price of the Existing Convertible Notes to be redeemed is cash equal to 100% of the principal amount of the Existing Convertible Notes redeemed plus accrued and unpaid interest, if any, to, but excluding, the Redemption Date.</w:t>
      </w:r>
    </w:p>
    <w:p>
      <w:pPr>
        <w:spacing w:after="0" w:line="20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and $66.1 million for the Convertible Notes and the Existing Convertible Notes, respectively. The issuance of the Convertible Notes and the redemption of the Existing Convertible Notes resulted in a net $21.5 million recognition of deferred tax liabilities within the additional paid-in capital.</w:t>
      </w:r>
    </w:p>
    <w:p>
      <w:pPr>
        <w:spacing w:after="0" w:line="5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Contractual interest expense for the Existing Convertible Notes was $1.5 million for the three months ended March 31, 2019 and 2018, respectively. Accretion expense was $2.9 million and $2.8 million for the three months ended March 31, 2019 and 2018, respectively. The effective interest rate was 4.7% for both the three months ended March 31, 2019 and 2018. As of March 31, 2019, the unamortized discount was $16.4 million.</w:t>
      </w:r>
    </w:p>
    <w:p>
      <w:pPr>
        <w:spacing w:after="0" w:line="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Contractual interest expense for the Convertible Notes was $0.2 million for the three months ended March 31, 2019. Accretion expense was $0.6 million for the three months ended March 31, 2019. The effective interest rate was 4.4% for the three months ended March 31, 2019. As of March 31, 2019, the unamortized discount was $99.1 million and will be amortized through March 2025.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Topic 815")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either the relatively short duration of the contract term or the effects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being reflected concurrently in earnings for both the derivative instrument and the hedged transaction and having an offsetting effect.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March 31, 2019, the Company held in its Ria operations foreign currency forward contracts outstanding in the U.S. with a notional value of $338 million, primarily in Australian dollars, Canadian dollars, British pounds, euros and Mexican pesos.</w:t>
      </w:r>
    </w:p>
    <w:p>
      <w:pPr>
        <w:spacing w:after="0" w:line="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March 31, 2019, the Company had foreign currency forward contracts outstanding with a notional value of $166 million, primarily in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$18.6 million and $18.7 million for the three months ended March 31, 2019 and 2018.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March 31, 2019 was approximately $1.3 billion. The majority of customer contracts are written in major currencies such as the U.S. dollar, euro, New Zealand dollar, British pound, and Australian dollar.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ind w:left="158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bottom w:val="single" w:sz="8" w:color="auto"/>
            </w:tcBorders>
            <w:gridSpan w:val="4"/>
          </w:tcPr>
          <w:p>
            <w:pPr>
              <w:jc w:val="center"/>
              <w:ind w:left="1059"/>
              <w:spacing w:after="0"/>
              <w:rPr>
                <w:sz w:val="20"/>
                <w:szCs w:val="20"/>
                <w:color w:val="auto"/>
              </w:rPr>
            </w:pPr>
            <w:r>
              <w:rPr>
                <w:rFonts w:ascii="Arial" w:cs="Arial" w:eastAsia="Arial" w:hAnsi="Arial"/>
                <w:sz w:val="14"/>
                <w:szCs w:val="14"/>
                <w:b w:val="1"/>
                <w:bCs w:val="1"/>
                <w:color w:val="auto"/>
                <w:w w:val="95"/>
              </w:rPr>
              <w:t>Liability Derivatives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2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Balance Sheet Location</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Derivatives not designated</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hedging instruments</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jc w:val="right"/>
              <w:ind w:right="359"/>
              <w:spacing w:after="0"/>
              <w:rPr>
                <w:sz w:val="20"/>
                <w:szCs w:val="20"/>
                <w:color w:val="auto"/>
              </w:rPr>
            </w:pPr>
            <w:r>
              <w:rPr>
                <w:rFonts w:ascii="Arial" w:cs="Arial" w:eastAsia="Arial" w:hAnsi="Arial"/>
                <w:sz w:val="18"/>
                <w:szCs w:val="18"/>
                <w:color w:val="auto"/>
                <w:w w:val="96"/>
              </w:rPr>
              <w:t>Accrued expenses and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Prepaid expenses and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right"/>
              <w:ind w:right="179"/>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other current assets</w:t>
            </w: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45,542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44,637</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594"/>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59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March 31, 2019 and December 31, 2018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Gross Amounts Not Offset in the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Consolidated Balance Sheet</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Gross Amounts</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Net Amounts</w:t>
            </w: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 Amounts of</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4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Cash Collateral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Recognized Assets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Received</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45,542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45,542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44,637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44,637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20" w:type="dxa"/>
            <w:vAlign w:val="bottom"/>
            <w:gridSpan w:val="4"/>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Gross Amounts Not Offset in the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0"/>
              </w:rPr>
              <w:t>Consolidated Balance Sheet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0"/>
              </w:rPr>
              <w:t>Gross Amounts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Cash Collateral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2019</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Net Amounts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Instruments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Paid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months ended March 31, 2019 and 2018:</w:t>
      </w:r>
    </w:p>
    <w:p>
      <w:pPr>
        <w:spacing w:after="0" w:line="108" w:lineRule="exact"/>
        <w:rPr>
          <w:sz w:val="20"/>
          <w:szCs w:val="20"/>
          <w:color w:val="auto"/>
        </w:rPr>
      </w:pPr>
    </w:p>
    <w:p>
      <w:pPr>
        <w:ind w:left="9400"/>
        <w:spacing w:after="0"/>
        <w:rPr>
          <w:sz w:val="20"/>
          <w:szCs w:val="20"/>
          <w:color w:val="auto"/>
        </w:rPr>
      </w:pPr>
      <w:r>
        <w:rPr>
          <w:rFonts w:ascii="Arial" w:cs="Arial" w:eastAsia="Arial" w:hAnsi="Arial"/>
          <w:sz w:val="13"/>
          <w:szCs w:val="13"/>
          <w:b w:val="1"/>
          <w:bCs w:val="1"/>
          <w:color w:val="auto"/>
        </w:rPr>
        <w:t>Amount of Gain Recognized in</w:t>
      </w:r>
    </w:p>
    <w:p>
      <w:pPr>
        <w:spacing w:after="0" w:line="14" w:lineRule="exact"/>
        <w:rPr>
          <w:sz w:val="20"/>
          <w:szCs w:val="20"/>
          <w:color w:val="auto"/>
        </w:rPr>
      </w:pPr>
    </w:p>
    <w:p>
      <w:pPr>
        <w:ind w:left="9380"/>
        <w:spacing w:after="0"/>
        <w:rPr>
          <w:sz w:val="20"/>
          <w:szCs w:val="20"/>
          <w:color w:val="auto"/>
        </w:rPr>
      </w:pPr>
      <w:r>
        <w:rPr>
          <w:rFonts w:ascii="Arial" w:cs="Arial" w:eastAsia="Arial" w:hAnsi="Arial"/>
          <w:sz w:val="13"/>
          <w:szCs w:val="13"/>
          <w:b w:val="1"/>
          <w:bCs w:val="1"/>
          <w:color w:val="auto"/>
        </w:rPr>
        <w:t>Income on Derivative Contracts</w:t>
      </w:r>
    </w:p>
    <w:p>
      <w:pPr>
        <w:ind w:left="1026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13335</wp:posOffset>
            </wp:positionV>
            <wp:extent cx="1286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9"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13335</wp:posOffset>
            </wp:positionV>
            <wp:extent cx="1286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Location of Gain Recognized in Income on Derivative Contracts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1,295</w:t>
            </w: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ind w:right="6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As of March 31, 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45,542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45,542</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44,637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44,637</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March 31, 2019 and December 31, 2018, the fair values of the Existing Convertible Notes were $660.8 million and $571.6 million, respectively, with carrying values of $333.9 million and $379.9 million, respectively. As of March 31, 2019, the fair value of the Convertible Notes was $581.0 million with carrying value of $425.9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20" w:hanging="648"/>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and the United States. The Company provides comprehensive electronic payment solutions consisting of ATM cash withdrawal services, ATM network participation, outsourced ATM and POS management solutions, credit and debit card outsourcing, dynamic currency conversion, domestic and international surcharge and other value added services. Through this segment, the Company also offers a suite of integrated electronic financial transaction software solutions for electronic payment and transaction delivery systems.</w:t>
      </w:r>
    </w:p>
    <w:p>
      <w:pPr>
        <w:spacing w:after="0" w:line="50" w:lineRule="exact"/>
        <w:rPr>
          <w:rFonts w:ascii="Arial" w:cs="Arial" w:eastAsia="Arial" w:hAnsi="Arial"/>
          <w:sz w:val="16"/>
          <w:szCs w:val="16"/>
          <w:color w:val="auto"/>
        </w:rPr>
      </w:pPr>
    </w:p>
    <w:p>
      <w:pPr>
        <w:ind w:left="980" w:right="68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80" w:hanging="648"/>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8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ended March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For the Three Months Ended March 31, 2019</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256,581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577,509</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353,833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92,795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48,147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16,642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521,415</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16,768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17,999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30,774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For the Three Months Ended March 31, 2018</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550,515</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343,324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85,706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26,002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159,950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505,043</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11,547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16,895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45,472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1,533,051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1,220,141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31,172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689,573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780,220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1,461,137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1,310,775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130,292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303,796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291,869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3,814,053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Processing</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Transfer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107,611</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114,906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308,076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39,664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134,832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182,701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77,964</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57"/>
        </w:trPr>
        <w:tc>
          <w:tcPr>
            <w:tcW w:w="3380" w:type="dxa"/>
            <w:vAlign w:val="bottom"/>
          </w:tcPr>
          <w:p>
            <w:pPr>
              <w:ind w:left="180"/>
              <w:spacing w:after="0"/>
              <w:rPr>
                <w:sz w:val="20"/>
                <w:szCs w:val="20"/>
                <w:color w:val="auto"/>
              </w:rPr>
            </w:pPr>
            <w:r>
              <w:rPr>
                <w:rFonts w:ascii="Arial" w:cs="Arial" w:eastAsia="Arial" w:hAnsi="Arial"/>
                <w:sz w:val="18"/>
                <w:szCs w:val="18"/>
                <w:color w:val="auto"/>
              </w:rPr>
              <w:t>Total</w:t>
            </w:r>
          </w:p>
        </w:tc>
        <w:tc>
          <w:tcPr>
            <w:tcW w:w="33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145,703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176,114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256,581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577,509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360" w:type="dxa"/>
            <w:vAlign w:val="bottom"/>
            <w:vMerge w:val="restart"/>
          </w:tcPr>
          <w:p>
            <w:pPr>
              <w:jc w:val="right"/>
              <w:ind w:right="85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For the Three Months Ended March 31, 2018</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epay</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Money</w:t>
            </w: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Processing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Transfer</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287,496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8,016</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41,051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128,984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178,051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176,845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238,836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550,515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Company's effective income tax rate was 31.6% and 34.2% for the three months ended </w:t>
      </w:r>
      <w:r>
        <w:rPr>
          <w:rFonts w:ascii="Arial" w:cs="Arial" w:eastAsia="Arial" w:hAnsi="Arial"/>
          <w:sz w:val="18"/>
          <w:szCs w:val="18"/>
          <w:color w:val="252525"/>
        </w:rPr>
        <w:t>March 31, 2019</w:t>
      </w:r>
      <w:r>
        <w:rPr>
          <w:rFonts w:ascii="Arial" w:cs="Arial" w:eastAsia="Arial" w:hAnsi="Arial"/>
          <w:sz w:val="18"/>
          <w:szCs w:val="18"/>
          <w:color w:val="auto"/>
        </w:rPr>
        <w:t xml:space="preserve"> and 2018, respectively. The Company's effective income tax rates for the three months ended </w:t>
      </w:r>
      <w:r>
        <w:rPr>
          <w:rFonts w:ascii="Arial" w:cs="Arial" w:eastAsia="Arial" w:hAnsi="Arial"/>
          <w:sz w:val="18"/>
          <w:szCs w:val="18"/>
          <w:color w:val="252525"/>
        </w:rPr>
        <w:t>March 31, 2019</w:t>
      </w:r>
      <w:r>
        <w:rPr>
          <w:rFonts w:ascii="Arial" w:cs="Arial" w:eastAsia="Arial" w:hAnsi="Arial"/>
          <w:sz w:val="18"/>
          <w:szCs w:val="18"/>
          <w:color w:val="auto"/>
        </w:rPr>
        <w:t xml:space="preserve"> and 2018 were higher than the applicable statutory income tax rate of 21% as a result of certain foreign earnings of the Company being subject to higher local statutory income tax rates and the application to the Company of the U.S. global intangible low-taxed income ("GILTI") tax provision. The GILTI provision subjects the Company's current foreign earnings to U.S. taxation creating additional U.S.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31, 2019, the Company had $76.7 million of stand-by letters of credit/bank guarantees issued on its behalf, of which $46.2 million are outstanding under the Credit Facility. The remaining stand-by letters of credit/bank guarantees are collateralized by $3.7 million of cash deposits held by the respective issuing banks.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2019, the Company had granted off balance sheet guarantees for cash in various ATM networks amounting to $12.3 million over the terms of the cash supply agreements and performance guarantees amounting to approximately $54.6 million over the terms of agreements with the customers.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6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2019, the balance of cash used in the Company's ATM networks for which the Company was responsible was approximately $461 million. The Company maintains insurance policies to mitigate this exposure;</w:t>
      </w:r>
    </w:p>
    <w:p>
      <w:pPr>
        <w:spacing w:after="0" w:line="78" w:lineRule="exact"/>
        <w:rPr>
          <w:rFonts w:ascii="Arial" w:cs="Arial" w:eastAsia="Arial" w:hAnsi="Arial"/>
          <w:sz w:val="18"/>
          <w:szCs w:val="18"/>
          <w:color w:val="auto"/>
        </w:rPr>
      </w:pPr>
    </w:p>
    <w:p>
      <w:pPr>
        <w:ind w:left="580" w:right="12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8" w:lineRule="exact"/>
        <w:rPr>
          <w:rFonts w:ascii="Arial" w:cs="Arial" w:eastAsia="Arial" w:hAnsi="Arial"/>
          <w:sz w:val="18"/>
          <w:szCs w:val="18"/>
          <w:color w:val="auto"/>
        </w:rPr>
      </w:pPr>
    </w:p>
    <w:p>
      <w:pPr>
        <w:ind w:left="580" w:right="18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60" w:hanging="329"/>
        <w:spacing w:after="0" w:line="293"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2019 or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enters into operating leases for ATM sites, office space, retail stores and equipment. The Company's finance leases are immaterial. Right of use assets and lease liabilities are recognized at commencement date based on the present value of the lease payment over the lease term. The present value of lease payments is determined using the incremental borrowing rate based on information available at the lease commencement date. All leases with fixed payments, including leases with an initial term of 12 months or less are recorded on the balance sheet. The Company recognizes lease expense for these leases on a straight-line basis over the lease term.</w:t>
      </w:r>
    </w:p>
    <w:p>
      <w:pPr>
        <w:spacing w:after="0" w:line="10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Most leases include an option to renew, with renewal terms that can extend the lease term. The exercise of lease renewal options is at the Company’s sole discretion. The depreciable life of assets and leasehold improvements are limited by the expected lease term. The Company also has a unilateral termination right for a majority of the ATM site leases. Since the Company is not reasonably certain to exercise the renewal or terminal options, the options are not considered in determining the lease term, and associated payment impacts are excluded from lease payments.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operating leases as of March 31, 2019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As of March 31, 2019</w:t>
            </w:r>
          </w:p>
        </w:tc>
      </w:tr>
      <w:tr>
        <w:trPr>
          <w:trHeight w:val="251"/>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2580" w:type="dxa"/>
            <w:vAlign w:val="bottom"/>
          </w:tcPr>
          <w:p>
            <w:pPr>
              <w:jc w:val="right"/>
              <w:ind w:right="13"/>
              <w:spacing w:after="0"/>
              <w:rPr>
                <w:sz w:val="20"/>
                <w:szCs w:val="20"/>
                <w:color w:val="auto"/>
              </w:rPr>
            </w:pPr>
            <w:r>
              <w:rPr>
                <w:rFonts w:ascii="Arial" w:cs="Arial" w:eastAsia="Arial" w:hAnsi="Arial"/>
                <w:sz w:val="18"/>
                <w:szCs w:val="18"/>
                <w:color w:val="auto"/>
              </w:rPr>
              <w:t>93,975</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2580" w:type="dxa"/>
            <w:vAlign w:val="bottom"/>
          </w:tcPr>
          <w:p>
            <w:pPr>
              <w:jc w:val="right"/>
              <w:ind w:right="13"/>
              <w:spacing w:after="0"/>
              <w:rPr>
                <w:sz w:val="20"/>
                <w:szCs w:val="20"/>
                <w:color w:val="auto"/>
              </w:rPr>
            </w:pPr>
            <w:r>
              <w:rPr>
                <w:rFonts w:ascii="Arial" w:cs="Arial" w:eastAsia="Arial" w:hAnsi="Arial"/>
                <w:sz w:val="18"/>
                <w:szCs w:val="18"/>
                <w:color w:val="auto"/>
              </w:rPr>
              <w:t>43,471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2580" w:type="dxa"/>
            <w:vAlign w:val="bottom"/>
          </w:tcPr>
          <w:p>
            <w:pPr>
              <w:jc w:val="right"/>
              <w:ind w:right="13"/>
              <w:spacing w:after="0"/>
              <w:rPr>
                <w:sz w:val="20"/>
                <w:szCs w:val="20"/>
                <w:color w:val="auto"/>
              </w:rPr>
            </w:pPr>
            <w:r>
              <w:rPr>
                <w:rFonts w:ascii="Arial" w:cs="Arial" w:eastAsia="Arial" w:hAnsi="Arial"/>
                <w:sz w:val="18"/>
                <w:szCs w:val="18"/>
                <w:color w:val="auto"/>
              </w:rPr>
              <w:t>45,003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391,530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(51,783)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339,747</w:t>
            </w:r>
          </w:p>
        </w:tc>
      </w:tr>
      <w:tr>
        <w:trPr>
          <w:trHeight w:val="20"/>
        </w:trPr>
        <w:tc>
          <w:tcPr>
            <w:tcW w:w="8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Future minimum lease payments under the non-cancelable operating leases (with initial lease terms in excess of one year) as of December 31, 2018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880" w:type="dxa"/>
            <w:vAlign w:val="bottom"/>
          </w:tcPr>
          <w:p>
            <w:pPr>
              <w:ind w:left="160"/>
              <w:spacing w:after="0"/>
              <w:rPr>
                <w:sz w:val="20"/>
                <w:szCs w:val="20"/>
                <w:color w:val="auto"/>
              </w:rPr>
            </w:pPr>
            <w:r>
              <w:rPr>
                <w:rFonts w:ascii="Arial" w:cs="Arial" w:eastAsia="Arial" w:hAnsi="Arial"/>
                <w:sz w:val="18"/>
                <w:szCs w:val="18"/>
                <w:color w:val="auto"/>
              </w:rPr>
              <w:t>2019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80,803</w:t>
            </w: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65,590</w:t>
            </w:r>
          </w:p>
        </w:tc>
      </w:tr>
      <w:tr>
        <w:trPr>
          <w:trHeight w:val="243"/>
        </w:trPr>
        <w:tc>
          <w:tcPr>
            <w:tcW w:w="9880" w:type="dxa"/>
            <w:vAlign w:val="bottom"/>
          </w:tcPr>
          <w:p>
            <w:pPr>
              <w:ind w:left="16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49,052</w:t>
            </w: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37,823</w:t>
            </w:r>
          </w:p>
        </w:tc>
      </w:tr>
      <w:tr>
        <w:trPr>
          <w:trHeight w:val="243"/>
        </w:trPr>
        <w:tc>
          <w:tcPr>
            <w:tcW w:w="9880" w:type="dxa"/>
            <w:vAlign w:val="bottom"/>
          </w:tcPr>
          <w:p>
            <w:pPr>
              <w:ind w:left="16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30,192</w:t>
            </w: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48,191</w:t>
            </w:r>
          </w:p>
        </w:tc>
      </w:tr>
      <w:tr>
        <w:trPr>
          <w:trHeight w:val="237"/>
        </w:trPr>
        <w:tc>
          <w:tcPr>
            <w:tcW w:w="9880" w:type="dxa"/>
            <w:vAlign w:val="bottom"/>
          </w:tcPr>
          <w:p>
            <w:pPr>
              <w:ind w:left="28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311,651</w:t>
            </w:r>
          </w:p>
        </w:tc>
      </w:tr>
      <w:tr>
        <w:trPr>
          <w:trHeight w:val="27"/>
        </w:trPr>
        <w:tc>
          <w:tcPr>
            <w:tcW w:w="9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Lease expense recognized in the Consolidated Statements of Income is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Lease Expense </w:t>
            </w:r>
            <w:r>
              <w:rPr>
                <w:rFonts w:ascii="Arial" w:cs="Arial" w:eastAsia="Arial" w:hAnsi="Arial"/>
                <w:sz w:val="14"/>
                <w:szCs w:val="14"/>
                <w:i w:val="1"/>
                <w:iCs w:val="1"/>
                <w:color w:val="auto"/>
              </w:rPr>
              <w:t>(in thousands)</w:t>
            </w:r>
          </w:p>
        </w:tc>
        <w:tc>
          <w:tcPr>
            <w:tcW w:w="49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Income Statement Classification</w:t>
            </w:r>
          </w:p>
        </w:tc>
        <w:tc>
          <w:tcPr>
            <w:tcW w:w="200" w:type="dxa"/>
            <w:vAlign w:val="bottom"/>
          </w:tcPr>
          <w:p>
            <w:pPr>
              <w:spacing w:after="0"/>
              <w:rPr>
                <w:sz w:val="14"/>
                <w:szCs w:val="14"/>
                <w:color w:val="auto"/>
              </w:rPr>
            </w:pPr>
          </w:p>
        </w:tc>
        <w:tc>
          <w:tcPr>
            <w:tcW w:w="21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4960" w:type="dxa"/>
            <w:vAlign w:val="bottom"/>
          </w:tcPr>
          <w:p>
            <w:pPr>
              <w:ind w:left="140"/>
              <w:spacing w:after="0"/>
              <w:rPr>
                <w:sz w:val="20"/>
                <w:szCs w:val="20"/>
                <w:color w:val="auto"/>
              </w:rPr>
            </w:pPr>
            <w:r>
              <w:rPr>
                <w:rFonts w:ascii="Arial" w:cs="Arial" w:eastAsia="Arial" w:hAnsi="Arial"/>
                <w:sz w:val="18"/>
                <w:szCs w:val="18"/>
                <w:color w:val="auto"/>
                <w:w w:val="98"/>
              </w:rPr>
              <w:t>Selling, general and administrative and Direct operating costs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30,460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Selling, general and administrative and Direct operating costs</w:t>
            </w:r>
          </w:p>
        </w:tc>
        <w:tc>
          <w:tcPr>
            <w:tcW w:w="200" w:type="dxa"/>
            <w:vAlign w:val="bottom"/>
            <w:shd w:val="clear" w:color="auto" w:fill="CCEEFF"/>
          </w:tcPr>
          <w:p>
            <w:pPr>
              <w:spacing w:after="0"/>
              <w:rPr>
                <w:sz w:val="21"/>
                <w:szCs w:val="21"/>
                <w:color w:val="auto"/>
              </w:rPr>
            </w:pPr>
          </w:p>
        </w:tc>
        <w:tc>
          <w:tcPr>
            <w:tcW w:w="21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Borders>
              <w:bottom w:val="single" w:sz="8" w:color="CCEEFF"/>
            </w:tcBorders>
            <w:vMerge w:val="continue"/>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lease expense</w:t>
            </w:r>
          </w:p>
        </w:tc>
        <w:tc>
          <w:tcPr>
            <w:tcW w:w="49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37,029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9080" w:type="dxa"/>
            <w:vAlign w:val="bottom"/>
            <w:gridSpan w:val="3"/>
          </w:tcPr>
          <w:p>
            <w:pPr>
              <w:spacing w:after="0"/>
              <w:rPr>
                <w:sz w:val="20"/>
                <w:szCs w:val="20"/>
                <w:color w:val="auto"/>
              </w:rPr>
            </w:pPr>
            <w:r>
              <w:rPr>
                <w:rFonts w:ascii="Arial" w:cs="Arial" w:eastAsia="Arial" w:hAnsi="Arial"/>
                <w:sz w:val="18"/>
                <w:szCs w:val="18"/>
                <w:color w:val="auto"/>
                <w:w w:val="97"/>
              </w:rPr>
              <w:t>Other information about lease amounts recognized in the consolidated financial statements is summarized as follows:</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Lease Term and Discount Rate of Operating Leases</w:t>
            </w:r>
          </w:p>
        </w:tc>
        <w:tc>
          <w:tcPr>
            <w:tcW w:w="4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As of March 31, 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496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96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tcPr>
          <w:p>
            <w:pPr>
              <w:ind w:left="1720"/>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432"/>
        </w:trPr>
        <w:tc>
          <w:tcPr>
            <w:tcW w:w="9080" w:type="dxa"/>
            <w:vAlign w:val="bottom"/>
            <w:gridSpan w:val="3"/>
          </w:tcPr>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30,083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60" w:type="dxa"/>
            <w:vAlign w:val="bottom"/>
            <w:gridSpan w:val="2"/>
          </w:tcPr>
          <w:p>
            <w:pPr>
              <w:ind w:left="26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71,378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960" w:type="dxa"/>
            <w:vAlign w:val="bottom"/>
          </w:tcPr>
          <w:p>
            <w:pPr>
              <w:ind w:left="15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-1860550</wp:posOffset>
            </wp:positionV>
            <wp:extent cx="137223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3517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negotiations related to the United Kingdom's proposed departure of from the European Union,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Visa's announced rule change to allow our ATMs to provide DCC beginning mid-April 2019; our ability to comply with increasingly stringent regulatory requirements, including anti-money laundering, anti-terrorism, anti-bribery, consumer and data protection and GDPR or PSD2, requirements; changes in laws and regulations affecting our business, including tax and immigration laws and any laws regulating payments, including DCC transactions; changes in our relationships with, general economic, financial and market conditions and the duration and extent of any future economic downturns; the cost of borrowing, availability of credit and terms of and compliance with debt covenants; renewal of sources of funding as they expire and the availability of replacement funding; and the outlook for markets we serve;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2018.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and cloud based payment solutions; electronic distribution of prepaid mobile airtime and other electronic payment products; foreign currency exchange services and global money transfer services. We operate in the following three segments:</w:t>
      </w:r>
    </w:p>
    <w:p>
      <w:pPr>
        <w:spacing w:after="0" w:line="80" w:lineRule="exact"/>
        <w:rPr>
          <w:sz w:val="20"/>
          <w:szCs w:val="20"/>
          <w:color w:val="auto"/>
        </w:rPr>
      </w:pPr>
    </w:p>
    <w:p>
      <w:pPr>
        <w:ind w:left="980" w:right="220" w:hanging="648"/>
        <w:spacing w:after="0" w:line="27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42,034 ATMs and approximately 298,000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domestic and international surcharge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jc w:val="both"/>
        <w:ind w:left="980" w:hanging="648"/>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digital media (formerly referred to as non-mobile content) and prepaid mobile airtime. We operate a network of approximately 718,000 POS terminals providing electronic processing of digital media and prepaid mobile airtime top-up services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40" w:hanging="648"/>
        <w:spacing w:after="0" w:line="289"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xe also provides global account-to-account money transfer services. We offer services under the brand names Ria and IME through a network of sending agents, Company-owned stores (primarily in North America, Europe and Malaysia) and Ria branded websites (riamoneytransfer.com and online.imeremit.com), disbursing money transfers through a worldwide correspondent network that includes approximately 377,000 locations. xe offers money transfer services on its websites (xe.com and x-rates.com) and through its customer service representatives. The xe websites also provide foreign currency exchange information.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59" w:lineRule="exact"/>
        <w:rPr>
          <w:sz w:val="20"/>
          <w:szCs w:val="20"/>
          <w:color w:val="auto"/>
        </w:rPr>
      </w:pPr>
    </w:p>
    <w:p>
      <w:pPr>
        <w:ind w:left="60" w:right="10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nine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25% of total consolidated revenues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2019,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31% of total consolidated revenues for the first quarter of 2019, are</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digital media now produces approximately 63%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44%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2019,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xe and HiFX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73"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changes in laws and regulations affecting the profitability of our services, including regulation of DCC transactions by the E.U.;</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right="4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digital media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right="34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52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considerations regarding the use of our various trade names within the money transfer business.</w:t>
      </w:r>
    </w:p>
    <w:p>
      <w:pPr>
        <w:spacing w:after="0" w:line="3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maintain current processing technology and efficiencies, as well as deliver new and innovative services to compete in the marketplace.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2019 and 2018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2"/>
              </w:rPr>
              <w:t>Revenues for the 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vMerge w:val="restart"/>
          </w:tcPr>
          <w:p>
            <w:pPr>
              <w:jc w:val="right"/>
              <w:ind w:right="162"/>
              <w:spacing w:after="0"/>
              <w:rPr>
                <w:sz w:val="20"/>
                <w:szCs w:val="20"/>
                <w:color w:val="auto"/>
              </w:rPr>
            </w:pPr>
            <w:r>
              <w:rPr>
                <w:rFonts w:ascii="Arial" w:cs="Arial" w:eastAsia="Arial" w:hAnsi="Arial"/>
                <w:sz w:val="14"/>
                <w:szCs w:val="14"/>
                <w:b w:val="1"/>
                <w:bCs w:val="1"/>
                <w:color w:val="auto"/>
                <w:w w:val="98"/>
              </w:rPr>
              <w:t>Year-over-Year 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left="635"/>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4"/>
              </w:rPr>
              <w:t>Increase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57"/>
              <w:spacing w:after="0" w:line="149" w:lineRule="exact"/>
              <w:rPr>
                <w:sz w:val="20"/>
                <w:szCs w:val="20"/>
                <w:color w:val="auto"/>
              </w:rPr>
            </w:pPr>
            <w:r>
              <w:rPr>
                <w:rFonts w:ascii="Arial" w:cs="Arial" w:eastAsia="Arial" w:hAnsi="Arial"/>
                <w:sz w:val="14"/>
                <w:szCs w:val="14"/>
                <w:b w:val="1"/>
                <w:bCs w:val="1"/>
                <w:color w:val="auto"/>
              </w:rPr>
              <w:t>(Decrease)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9,999</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176,114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176,845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256,581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238,836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17,745</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578,398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551,385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27,013</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577,509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550,515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26,994</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3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Operating Income (Expense) for the</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4"/>
              </w:rPr>
              <w:t>Three Months Ended March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7"/>
              <w:spacing w:after="0" w:line="153" w:lineRule="exact"/>
              <w:rPr>
                <w:sz w:val="20"/>
                <w:szCs w:val="20"/>
                <w:color w:val="auto"/>
              </w:rPr>
            </w:pPr>
            <w:r>
              <w:rPr>
                <w:rFonts w:ascii="Arial" w:cs="Arial" w:eastAsia="Arial" w:hAnsi="Arial"/>
                <w:sz w:val="14"/>
                <w:szCs w:val="14"/>
                <w:b w:val="1"/>
                <w:bCs w:val="1"/>
                <w:color w:val="auto"/>
              </w:rPr>
              <w:t>Increase</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1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17,999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1,104</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30,774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1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65,541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20" w:type="dxa"/>
            <w:vAlign w:val="bottom"/>
            <w:tcBorders>
              <w:top w:val="single" w:sz="8" w:color="auto"/>
            </w:tcBorders>
          </w:tcPr>
          <w:p>
            <w:pPr>
              <w:spacing w:after="0"/>
              <w:rPr>
                <w:sz w:val="20"/>
                <w:szCs w:val="20"/>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56,094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45,472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10,622</w:t>
            </w: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8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first quarter of 2019 was 5% less, due to the changes in foreign currency exchange rates when compared to the same period of 2018.</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71"/>
        </w:trPr>
        <w:tc>
          <w:tcPr>
            <w:tcW w:w="39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1.3024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0.0039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0.2445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0.2550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0.6813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0.7270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0.2639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0.2941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94"/>
        </w:trPr>
        <w:tc>
          <w:tcPr>
            <w:tcW w:w="3920" w:type="dxa"/>
            <w:vAlign w:val="bottom"/>
          </w:tcPr>
          <w:p>
            <w:pPr>
              <w:spacing w:after="0"/>
              <w:rPr>
                <w:sz w:val="24"/>
                <w:szCs w:val="24"/>
                <w:color w:val="auto"/>
              </w:rPr>
            </w:pPr>
          </w:p>
        </w:tc>
        <w:tc>
          <w:tcPr>
            <w:tcW w:w="3400" w:type="dxa"/>
            <w:vAlign w:val="bottom"/>
          </w:tcPr>
          <w:p>
            <w:pPr>
              <w:jc w:val="right"/>
              <w:ind w:right="14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2019 and 2018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00" w:type="dxa"/>
            <w:vAlign w:val="bottom"/>
            <w:gridSpan w:val="3"/>
            <w:vMerge w:val="restart"/>
          </w:tcPr>
          <w:p>
            <w:pPr>
              <w:jc w:val="right"/>
              <w:ind w:right="20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135,704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9,999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17,005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2,426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16,642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124,157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16,768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11,547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5,221</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42,034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3,676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40,918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37,651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EFT Processing Segment total revenues for the three months ended March 31, 2019 were $145.7 million, an increase of $10.0 million or 7% as compared to the same period in 2018. The increase in total revenues for the three months ended March 31, 2019 was primarily due to an increase in the number of ATMs under management in Europe. Specifically, the increase in the number of ATMs contributed to increases in the number of transactions processed. The transaction growth includes an increase in value-added transactions on the ATMs and point-of-sale terminals, including DCC, domestic and international surcharge, and foreign currency dispensing. Foreign currency exchange rate movements decreased total revenues by approximately $11.7 million for the first quarter of 2019 as compared to the same period in 2018.</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Average monthly revenues per ATM were $1,187 for the three months ended March 31, 2019 compared to $1,201for the three months ended March 31, 2018. Revenues per transaction were $0.21 for the first quarter of 2019 compared to $0.22 for the first quarter of 2018. The decrease in average monthly revenues per ATM for the first quarter of 2019 was primarily the result of the impact of the strengthening of the U.S. dollar against key foreign currencies, partly offset by an increase in value-added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EFT Processing Segment direct operating costs were $83.8 million for the three months ended March 31, 2019, an increase of $1.9 million or 2% as compared to the same period in 2018.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months ended March 31, 2019 were primarily due to an increase in the number of ATMs under management, particularly our independent ATM network, partly offset by the impact of the strengthening of the U.S. dollar against key foreign currencies.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Gross profit, which is calculated as revenues less direct operating costs, was $61.9 million for the three months ended March 31, 2019, compared to $53.9 million for the three months ended March 31, 2018. The increases in gross profit were primarily due to the growth in revenues from increases in ATMs under management, DCC transactions, domestic and international surcharge, and foreign currency dispensing. The net impact of the U.S. dollar strengthening against key foreign currencies partly offset the increase in gross profit for the first quarter of 2019. Gross profit as a percentage of revenues (“gross margin”) was 42.5% for the three months ended March 31, 2019, as compared to 39.7% for the three months ended March 31, 2018. For the three months ended March 31, 2019, the increase in gross margin was attributable to increases in DCC transactions, domestic and international surcharge, foreign currency dispensing, and also a higher volume of sales of POS devices in Greece in the first quarter of 2018 on which we earned a lower margin which did not occur in the current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Salaries and benefits expense increased $2.4 million or 14% for the three months ended March 31, 2019, compared to the same period in 2018. As a percentage of revenues, these costs increased to 13.3% for the first quarter of 2019, compared to 12.5% for the first quarter of 2018. The increases were primarily due to additional headcount to support an increase in the number of ATMs and POS devices under management.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general and administrative expenses for the three months ended March 31, 2019 were $9.1 million, which was consistent with the same period in 2018. As a percentage of revenues, selling, general and administrative expenses were 6.2% for the three months ended March 31, 2019, compared to 6.7% for the three months ended March 31,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Depreciation and amortization expense increased $0.4 million for the three months ended March 31, 2019, compared to the same period in 2018. The increase was primarily attributable to the deployment of additional ATMs under management and software assets. As a percentage of revenues, depreciation and amortization expense was 11.4% for the first quarter of 2019, as compared to 11.9% for the same period of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EFT Processing Segment operating income for the three months ended March 31, 2019 was $16.8 million, an increase of $5.2 million or 45% as compared to the same period in 2018. EFT Processing Segment operating income for the three months ended March 31, 2019 increased primarily due to increases in the number of DCC transactions, domestic and international surcharge, and foreign currency dispensing as a result of the increased number of ATMs, partly offset by the impact of the strengthening of the U.S. dollar against key foreign currencies.</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Operating income as a percentage of revenues (“operating margin”) was 11.5% for the first quarter of 2019 compared to 8.5% for the first quarter of 2018. The increase in operating margin was primarily due to higher operating revenues partially offset by expenses incurred to support the increased revenues and additional ATMs under management. Operating income per transaction was $0.02 for the both the first quarter of 2019 and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2019 and 2018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176,114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176,845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134,922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14,753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158,115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159,950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17,999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1,104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epay Segment total revenues for the three months ended March 31, 2019 were $176.1 million, a decrease of $0.7 million as compared to the same period in 2018. Foreign currency exchange rate movements decreased total revenues by approximately $11.8 million for the first quarter of 2019 as compared to the same period in 2018.</w:t>
      </w:r>
    </w:p>
    <w:p>
      <w:pPr>
        <w:spacing w:after="0" w:line="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Revenues per transaction were $0.52 for the first quarter compared to $0.69 for the same period in 2018. The decrease in revenues per transaction was primarily the result of the increase in a high-volume, low-margin transactions processed in India.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epay Segment direct operating costs were $133.5 million for the three months ended March 31, 2019, a decrease of $1.4 million as compared to the same period in 2018.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decrease in direct operating costs for the first quarter of 2019 was primarily due to the net impact of the U.S. dollar strengthening against key foreign currencies partially offset by the increase in the commission paid to wholesalers.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Gross profit was $42.6 million for the three months ended March 31, 2019, as compared to $41.9 million for the three months ended March 31, 2018. The increase was primarily due to the growth in digital media transactions processed, partly offset by a decrease in prepaid mobile transactions processed in certain markets and the net impact of the U.S. dollar strengthening against key foreign currencies.</w:t>
      </w:r>
    </w:p>
    <w:p>
      <w:pPr>
        <w:spacing w:after="0" w:line="7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During the three months ended March 31, 2019, the gross margin was 24.2% for the three months ended March 31, 2019, as compared to 23.7% for the same period in 2018 due to the increase in the percentage of digital media transactions processed for which we earn a higher gross margin than mobile transactions.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Salaries and benefits expense increased $0.3 million or 2% for the three months ended March 31, 2019, compared to the same period in 2018. The increase was mainly driven by increased headcount to support growth in the segment. As a percentage of revenues, salaries and benefits were 8.4% for the three months ended March 31, 2019 which was generally consistent with 8.2% for the same period in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were $8.1 million for the three months ended March 31, 2019, a decrease of 8% as compared to the same period in 2018. The decrease for the first quarter of 2019 was mainly due to higher promotional cost for certain digital media products in 2018 which did not recur in the current period. As a percentage of revenues, selling, general and administrative expenses were 4.6% for the three months ended March 31, 2019 compared to 4.9% for the same period in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primarily represents depreciation of POS terminals we place in retail stores and the amortization of acquired intangible assets. Depreciation and amortization expense was $1.8 million for the three months ended March 31, 2019, a decrease of 5% as compared to the same period in 2018. As a percentage of revenues, depreciation and amortization expense was 1.0% for the three months ended March 31, 2019 as compared to 1.1% for the three months ended March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epay Segment operating income for the three months ended March 31, 2019 was $18.0 million, an increase of $1.1 million as compared to the same period in 2018. Operating income for the three months ended March 31, 2019 improved as a result of the increased gross profit from the distribution of more digital media products, along with operating cost controls.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margin increased to 10.2% for the three months ended March 31, 2019 from 9.6% for the same period in 2018. The increase was mainly due to an increase in the percentage of revenues from digital media products which earn a higher margin than mobile transactions. Operating income per transaction decreased to $0.05 for the three months ended March 31, 2019 from $0.07 for the same period in 2018. The decrease was primarily due to the increase in high volume, low margin transactions processed in India.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2019 and 2018 for the Money Transfer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256,581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238,836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17,745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137,404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127,431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3,799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225,807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212,382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30,774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26,454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4,320</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Money Transfer Segment total revenues for the three months ended March 31, 2019 were $256.6 million, an increase of $17.7 million or 7% as compared to the same period in 2018. The increase in total revenues for the three months ended March 31, 2019 was primarily due to an increase in the number of money transfers processed, driven by growth in the U.S. and foreign agent and correspondent payout networks.</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Revenues per transaction decreased to $9.65 for the first quarter of 2019, from $9.83 for the same period in 2018. The decrease was primarily due to the impact of the U.S. dollar strengthening against key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Money Transfer Segment direct operating costs were $137.4 million for the three months ended March 31, 2019, an increase of $10.0 million or 8% as compared to the same period in 2018.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for the three months of 2019 was primarily due to growth in the number of money transfer transactions processed in both the U.S. and foreign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Gross profit was $119.2 million for the three months ended March 31, 2019, respectively, as compared to $111.4 million for the three months ended March 31, 2018. The increase in gross profit was primarily due to growth in the number of money transfer transactions processed in both the U.S. and foreign markets.</w:t>
      </w:r>
    </w:p>
    <w:p>
      <w:pPr>
        <w:spacing w:after="0" w:line="73"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 xml:space="preserve">During the three months ended March 31, 2019, gross margin remained flat at 46.4%, as compared to 46.6% for the three months ended March 31, 2018. </w:t>
      </w:r>
      <w:r>
        <w:rPr>
          <w:rFonts w:ascii="Arial" w:cs="Arial" w:eastAsia="Arial" w:hAnsi="Arial"/>
          <w:sz w:val="18"/>
          <w:szCs w:val="18"/>
          <w:i w:val="1"/>
          <w:iCs w:val="1"/>
          <w:color w:val="auto"/>
        </w:rPr>
        <w:t>Salaries and benefits</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Salaries and benefits expense increased $3.8 million or 8% for the three months ended March 31, 2019, as compared to the same period in 2018. The increase in salaries and benefits was primarily due to the expansion of our operations in the U.S. and foreign markets. As a percentage of revenues, salaries and benefits were essentially flat at 19.9% for the three months ended March 31, 2019, as compared to 19.8% for the same period in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Selling, general and administrative expenses for the three months ended March 31, 2019 were $29.1 million, a decrease of $0.6 million or 2%, as compared to the same period in 2018. The decrease was primarily due to a decrease in the impact of the U.S. dollar strengthening against key foreign currencies partially offset by expenses incurred to support the growth of our money transfer services in both the U.S. and foreign markets.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were 11.3% for the three months ended March 31, 2019, as compared to 12.4% for the same period in 2018. For the first quarter of 2019, the decrease was primarily due to the increase in the number of money transfers processed, which did not require similar increases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Depreciation and amortization expense increased $0.2 million or 3% for the three months ended March 31, 2019, as compared to the same period in 2018, largely due to the increased capital additions as a result of business growth.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depreciation and amortization expense was 3.2% for the first quarter of 2019 as compared to 3.3% for the same period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certain intangible assets becoming fully amortized.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Money Transfer Segment operating income for the three months ended March 31, 2019 was $30.8 million, an increase of $4.3 million or 16% as compared to the same period of 2018. Operating income for the three months ended March 31, 2019 increased primarily due to the growth in the number of money transfers processed partly offset by the additional salaries and benefits costs incurred.</w:t>
      </w:r>
    </w:p>
    <w:p>
      <w:pPr>
        <w:spacing w:after="0" w:line="7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a percentage of revenues, operating margin was 12.0% for the three months ended March 31, 2019, as compared to 11.1% for the same period in 2018. Operating income per transaction increased to $1.16 for the three months ended March 31, 2019, from $1.09 for the same period in 2018. The increase in operating margin and operating income per transaction was primarily due to the growth in the number of money transfers processed which did not require similar increases in support costs.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2019 and 2018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5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Overall, operating expenses for Corporate Services were $9.4 million for the three months ended March 31, 2019, which were consistent when compared to the same period in 2018. The operating expenses for the three months ended March 31, 2019 included an increase in share-based compensation, largely offset by a decrease in professional services fees.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9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7"/>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shd w:val="clear" w:color="auto" w:fill="CCEEFF"/>
          </w:tcPr>
          <w:p>
            <w:pPr>
              <w:spacing w:after="0"/>
              <w:rPr>
                <w:sz w:val="21"/>
                <w:szCs w:val="2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Other (loss) gains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income for the first quarter of March 31, 2019 was consistent compared to the same period in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increase in interest expense for the three months ended March 31, 2019 compared to the same period in 2018 was primarily related to the issuance of the Convertible Notes partially offset by a decrease in the Credit Facility as the Company used the proceeds from the Convertible Notes to repay revolving credit loans under the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recorded net foreign currency exchange gains of $3.2 million for the three months ended March 31, 2019, as compared to net foreign currency exchange gains of $1.9 million for the same period in 2018. These realized and unrealized foreign currency exchange losses and gains reflect the fluctuation in the value of the U.S. dollar against the currencies of the countries in which we operated during the respective periods.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Company's effective income tax rate was 31.6% and 34.2% for the three months ended </w:t>
      </w:r>
      <w:r>
        <w:rPr>
          <w:rFonts w:ascii="Arial" w:cs="Arial" w:eastAsia="Arial" w:hAnsi="Arial"/>
          <w:sz w:val="18"/>
          <w:szCs w:val="18"/>
          <w:color w:val="252525"/>
        </w:rPr>
        <w:t>March 31, 2019</w:t>
      </w:r>
      <w:r>
        <w:rPr>
          <w:rFonts w:ascii="Arial" w:cs="Arial" w:eastAsia="Arial" w:hAnsi="Arial"/>
          <w:sz w:val="18"/>
          <w:szCs w:val="18"/>
          <w:color w:val="auto"/>
        </w:rPr>
        <w:t xml:space="preserve"> and 2018, respectively. The Company's effective income tax rate for the three months ended </w:t>
      </w:r>
      <w:r>
        <w:rPr>
          <w:rFonts w:ascii="Arial" w:cs="Arial" w:eastAsia="Arial" w:hAnsi="Arial"/>
          <w:sz w:val="18"/>
          <w:szCs w:val="18"/>
          <w:color w:val="252525"/>
        </w:rPr>
        <w:t>March 31, 2019</w:t>
      </w:r>
      <w:r>
        <w:rPr>
          <w:rFonts w:ascii="Arial" w:cs="Arial" w:eastAsia="Arial" w:hAnsi="Arial"/>
          <w:sz w:val="18"/>
          <w:szCs w:val="18"/>
          <w:color w:val="auto"/>
        </w:rPr>
        <w:t xml:space="preserve"> and 2018 were higher than the applicable statutory income tax rate of 21% as a result of certain foreign earnings of the Company being subject to higher local statutory income tax rates and the application to the Company of the U.S. global intangible low-taxed income ("GILTI") tax provision. The GILTI provision subjects the Company's current foreign earnings to U.S. taxation creating additional U.S. tax expense. The decrease in the effective tax rate for the first quarter of 2019 compared to the same period in 2018 is largely due to the tax effects of stock based compensation activity in 2019.</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EFT - India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attributable to Euronet was $34.5 million for the three months ended March 31, 2019, an increase of $8.1 million as compared to the same period in 2018. The increase in net income for the first quarter of 2019 was primarily due to an increase in operating income of $10.6 million and a $1.3 million increase in net foreign currency exchange gain, partly offset by a $2.3 million increase in income tax expense, an increase in loss on early extinguishment on debt of $0.9 million, and an increase in interest expense of $0.6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2019 and December 31, 2018, we had working capital, which is calculated as the difference between total current assets and total current liabilities, of $491.1 million and $709.2 million, respectively. Our ratio of current assets to current liabilities at March 31, 2019 and December 31, 2018 was 1.28 and 1.51, respectively. The decrease in the ratio was primarily driven by the Existing Convertible Notes and the current portion of operating lease liabilities being classified as current liabilities as of March 31, 2019.</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domestic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March 31, 2019, we had approximately $526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$1,216 million at March 31, 2019, of which $882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three month periods ended March 31, 2019 and 2018 (in thousands):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12,961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27,828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192,702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41,896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12,525</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160,290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48,970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flows provided by operating activities were $13.0 million for the first quarter of 2019 compared to $27.8 million for the first quarter of 2018.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flows used in investing activities were $33.0 million for the first quarter of 2019 compared to $33.3 million for the first quarter of 2018. During the first quarter of 2018, we used $7.3 million for a business acquisition. There was no material acquisition in the first quarter of 2019. We used $31.4 million for purchases of property and equipment for the first quarter of 2019 compared to $24.4 million for the first quarter of 2018. Cash used for software development and other investing activities totaled $1.6 million for both the first quarter of 2019 and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Cash flows provided by financing activities were $192.7 million for the first quarter of 2019 compared to $41.9 million for the first quarter of 2018. Our financing activities for the first quarter of 2019 consisted of net borrowings of $203.1 million compared to net borrowings of $168.0 million for the first quarter of 2018. The increase in net borrowings for the first quarter of 2019 compared to the same period of 2018 was the result of the issuance of $525.0 million of new convertible notes to fund the operating cash of our IAD networks, repay revolving credit facility borrowings and repurchase a portion of existing convertible notes. We repurchased $2.3 million and $126.6 million of our stock during the first quarter of 2019 and 2018, respectively. During the first quarter of 2018, we repurchased $126.6 million of our shares and paid $1.6 million for the amount of payroll taxes represented by the common stock withheld on restricted stock vestings and stock option exercises compared to $2.3 million for the same period of 2019. We received proceeds from stock option exercises of $5.2 million and $2.3 million for the first quarter of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Credit Facility</w:t>
      </w:r>
      <w:r>
        <w:rPr>
          <w:rFonts w:ascii="Arial" w:cs="Arial" w:eastAsia="Arial" w:hAnsi="Arial"/>
          <w:sz w:val="16"/>
          <w:szCs w:val="16"/>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Euros, Hungarian Forints, Japanese Yen, New Zealand Dollars, Norwegian Krone, Polish Zlotys, Swedish Krona, Swiss Francs, and US Dollars.</w:t>
      </w:r>
    </w:p>
    <w:p>
      <w:pPr>
        <w:spacing w:after="0" w:line="14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 of March 31, 2019, fees and interest on borrowings are based upon the Company's corporate credit rating (as defined in the Credit Facility)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March 31, 2019, there were no borrowings outstanding under the Credit Facility and $46.2 million of stand-by letters of credit outstanding under the Credit Facility. The remaining $953.8 million under the Credit Facility was available for borrowing based upon the borrowing base and financial covenants in our Credit Facility.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the Company and U.S. Bank National Association ,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The Company used $94.2 million of the new debt to repurchase $49.0 million aggregate principal amount of the Company's outstanding 1.5% Convertible Senior Notes due 2044 (the "Existing Convertible Notes") from a limited number of holders in privately negotiated transactions. Additionally, some of the proceeds were used to payoff the revolving credit facility borrowings. The Company expects to use the remainder of the net proceeds for general corporate purposes, which may include redeeming the remaining Existing Convertible Notes, share repurchases or acquisitions.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may not redeem the Notes prior to September 20, 2022. The Company may redeem for cash all or any portion of the Convertible Notes, at its option, (i) on or after September 20, 2022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w:t>
      </w:r>
    </w:p>
    <w:p>
      <w:pPr>
        <w:spacing w:after="0" w:line="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Additionally, holders have the right to require the Company to repurchase for cash all or part of their Convertible Notes on each of March 15, 2025, March 15, 2029, March 15, 2034, March 15, 2039 and March 15, 2044 at a repurchase price equal to 100% of the principal amount of the Notes to be repurchased, plus accrued and unpaid interest to, but excluding, the relevant repurchase date. In addition, if a fundamental change, as defined in the Indenture, occurs prior to the maturity date, holders may require the Company to repurchase for cash all or part of their Convertible Notes at a repurchase price equal to 100% of the principal amount of the Notes to be repurchased, plus accrued and unpaid interest to, but excluding, the fundamental change repurchase date.</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Other debt obligations</w:t>
      </w:r>
      <w:r>
        <w:rPr>
          <w:rFonts w:ascii="Arial" w:cs="Arial" w:eastAsia="Arial" w:hAnsi="Arial"/>
          <w:sz w:val="17"/>
          <w:szCs w:val="17"/>
          <w:color w:val="auto"/>
        </w:rPr>
        <w:t xml:space="preserve"> - Certain of our subsidiaries also have available credit lines and overdraft facilities to generally supplement short-term working capital requirements. As of March 31, 2019, there was $26.8 million outstanding under these other obligation arrangements. Short-term debt obligations, as of March 31, 2019 were primarily comprised of $333.9 million of Existing Convertible Notes which we announced on March 18, 2019 that we would fully redeem on May 28, 2019. Holders of the Existing Convertible Notes may surrender their notes for conversion into shares of the Company's common stock at any time prior to the close of business on the business day immediately preceding the Redemption Date. In accordance with the Existing Indenture, the Company has the right to settle the redemption in cash and shares or all shares. The Company intends to meet its redemption obligation on May 28, 2019 through the use of available cash and/or available borrowing capacity under its Credit Facility for the remaining $352.5 million principal amount of the Existing Convertible Notes together with the issuance of approximately 2.4 million shares of its Common Stock, subject to changes and its volume weighted average common stock trading price through May 22,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quarter of 2019 were $35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2019 are currently estimated to range from approximately $130 million to $140 million.</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2019, there were no material changes from the disclosure in our Annual Report on Form 10-K for the year ended December 31, 2018. To date, we are not aware of any significant claims made by the indemnified parties or parties to whom we have provided guarantees on behalf of our subsidiaries and, accordingly, no liabilities have been recorded as of March 31, 2019.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March 31, 2019, there have been no material changes outside the ordinary course of business in our future contractual obligations from the amounts reported within our Annual Report on Form 10-K for the year ended December 31, 2018, other than those resulting from changes in the amount of debt outstanding discussed in the Liquidity and Capital Resources section.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line="289" w:lineRule="auto"/>
        <w:rPr>
          <w:sz w:val="20"/>
          <w:szCs w:val="20"/>
          <w:color w:val="auto"/>
        </w:rPr>
      </w:pPr>
      <w:r>
        <w:rPr>
          <w:rFonts w:ascii="Arial" w:cs="Arial" w:eastAsia="Arial" w:hAnsi="Arial"/>
          <w:sz w:val="16"/>
          <w:szCs w:val="16"/>
          <w:color w:val="auto"/>
        </w:rPr>
        <w:t>As of March 31, 2019, our total debt outstanding was $786.7 million. Of this amount, $759.8 million, net of debt discounts, or 97% of our total debt obligations, relates to our Convertible Notes and Existing Convertible Notes that have a fixed coupon rate. The $352.5 aggregate principal amount of the Existing Convertible Notes, accrue cash interest at a rate of 1.5% of the principal amount per annum. Based on quoted market prices, as of March 31, 2019, the fair value of our fixed rate Existing Convertible Notes was $660.8 million, compared to a carrying value of $333.9 million. Interest expense for these notes, including accretion and amortization of deferred debt issuance costs, has a weighted average interest rate of 4.7% annually. The $525 million aggregate principal amount of the Convertible Notes issued on March 18, 2019, accrue cash interest at a rate of 0.75% of the principal amount per annum. The fair value of the fixed rate Convertible Notes was $581.0 million as of March 31, 2019 based on quoted market prices, compared to a carrying value of $425.9 million. If we were to maximize the potential borrowings available under the Credit Facility and maintain these borrowings for one year, a 1% (100 basis points) increase in the applicable interest rate would result in additional annual interest expense to the Company of approximately $9.5 million.</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remaining $26.8 million, or 3%, of our total debt obligations as of March 31, 2019,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first quarter of 2019, approximately 70%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2019, we estimate that a 10% fluctuation in these foreign currency exchange rates would have the combined annualized effect on reported net income and working capital of approximately $120 million to $125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$132 million to</w:t>
      </w:r>
    </w:p>
    <w:p>
      <w:pPr>
        <w:spacing w:after="0"/>
        <w:rPr>
          <w:sz w:val="20"/>
          <w:szCs w:val="20"/>
          <w:color w:val="auto"/>
        </w:rPr>
      </w:pPr>
      <w:r>
        <w:rPr>
          <w:rFonts w:ascii="Arial" w:cs="Arial" w:eastAsia="Arial" w:hAnsi="Arial"/>
          <w:sz w:val="16"/>
          <w:szCs w:val="16"/>
          <w:color w:val="auto"/>
        </w:rPr>
        <w:t>$137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March 31, 2019, we had foreign currency derivative contracts outstanding with a notional value of $338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2019,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5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March 31, 2019, the Company had foreign currency forward contracts outstanding with a notional value of $166 million, primarily in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8,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2019 that have materially affected, or are reasonably likely to materially affect, our internal control over financial reporting. Effective January 1, 2019, the Company implemented certain new internal controls related to the required adoption of the new lease accounting standard Topic 842.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w:t>
      </w:r>
      <w:r>
        <w:rPr>
          <w:rFonts w:ascii="Arial" w:cs="Arial" w:eastAsia="Arial" w:hAnsi="Arial"/>
          <w:sz w:val="18"/>
          <w:szCs w:val="18"/>
          <w:color w:val="000000"/>
        </w:rPr>
        <w:t>December 31, 2018, as filed with the SEC.</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In accepting Visa and Mastercard logo’d cards, we are required to comply with rules issued by Visa and MasterCard that may be interpreted and applied in ways that are unfavorable to us.</w:t>
      </w:r>
    </w:p>
    <w:p>
      <w:pPr>
        <w:spacing w:after="0" w:line="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Visa and Mastercard have each established rules for the acceptance of cards bearing their logos on ATM networks. Among other things, those rules set the fees paid by card issuers for ATM transactions on their cards (referred to as “interchange fees”) and determine whether and where we can charge cardholders direct access fees (sometimes referred to as a “surcharge”) or offer DCC transactions for cash withdrawals. Visa and Mastercard have a stated interest in reducing the amount of cash in circulation in order to promote card transactions and we believe they promote the interests of card issuers over acquirers of transactions such as ATM networks. Visa's and Mastercard’s rules are sometimes unclear, vary from country to country and are frequently modified, including in ways that are unfavorable to ATM networks such as ours. These rules negatively impact our business; for example, by limiting the levels of interchange fees we receive, prohibiting direct access fees in many markets and limiting our ability to offer DCC transactions. Visa has recently adopted a rule, applicable in July 2019, that would prohibit direct access fees on euro denominated cards in the eurozone. If Visa and/or Mastercard were to adopt more unfavorable rules or interpretations of rules that are harmful to our business, this could materially and adversely affect our business.</w:t>
      </w:r>
    </w:p>
    <w:p>
      <w:pPr>
        <w:spacing w:after="0" w:line="2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March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w w:val="98"/>
              </w:rPr>
              <w:t>Maximum Dollar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Programs (in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740" w:type="dxa"/>
            <w:vAlign w:val="bottom"/>
          </w:tcPr>
          <w:p>
            <w:pPr>
              <w:ind w:left="560"/>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6"/>
                <w:szCs w:val="16"/>
                <w:color w:val="auto"/>
              </w:rPr>
            </w:pPr>
          </w:p>
        </w:tc>
        <w:tc>
          <w:tcPr>
            <w:tcW w:w="1680" w:type="dxa"/>
            <w:vAlign w:val="bottom"/>
          </w:tcPr>
          <w:p>
            <w:pPr>
              <w:ind w:left="560"/>
              <w:spacing w:after="0"/>
              <w:rPr>
                <w:sz w:val="20"/>
                <w:szCs w:val="20"/>
                <w:color w:val="auto"/>
              </w:rPr>
            </w:pPr>
            <w:r>
              <w:rPr>
                <w:rFonts w:ascii="Arial" w:cs="Arial" w:eastAsia="Arial" w:hAnsi="Arial"/>
                <w:sz w:val="14"/>
                <w:szCs w:val="14"/>
                <w:b w:val="1"/>
                <w:bCs w:val="1"/>
                <w:color w:val="auto"/>
              </w:rPr>
              <w:t>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220" w:type="dxa"/>
            <w:vAlign w:val="bottom"/>
          </w:tcPr>
          <w:p>
            <w:pPr>
              <w:spacing w:after="0"/>
              <w:rPr>
                <w:sz w:val="16"/>
                <w:szCs w:val="16"/>
                <w:color w:val="auto"/>
              </w:rPr>
            </w:pPr>
          </w:p>
        </w:tc>
        <w:tc>
          <w:tcPr>
            <w:tcW w:w="15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thousands) (1)</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 2019</w:t>
            </w:r>
          </w:p>
        </w:tc>
        <w:tc>
          <w:tcPr>
            <w:tcW w:w="1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February 1 - February 28, 2019</w:t>
            </w:r>
          </w:p>
        </w:tc>
        <w:tc>
          <w:tcPr>
            <w:tcW w:w="1740" w:type="dxa"/>
            <w:vAlign w:val="bottom"/>
          </w:tcPr>
          <w:p>
            <w:pPr>
              <w:ind w:left="1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80" w:type="dxa"/>
            <w:vAlign w:val="bottom"/>
          </w:tcPr>
          <w:p>
            <w:pPr>
              <w:ind w:left="1300"/>
              <w:spacing w:after="0"/>
              <w:rPr>
                <w:sz w:val="20"/>
                <w:szCs w:val="20"/>
                <w:color w:val="auto"/>
              </w:rPr>
            </w:pPr>
            <w:r>
              <w:rPr>
                <w:rFonts w:ascii="Arial" w:cs="Arial" w:eastAsia="Arial" w:hAnsi="Arial"/>
                <w:sz w:val="18"/>
                <w:szCs w:val="18"/>
                <w:color w:val="auto"/>
              </w:rPr>
              <w:t>—</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 2019</w:t>
            </w:r>
          </w:p>
        </w:tc>
        <w:tc>
          <w:tcPr>
            <w:tcW w:w="1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ind w:left="130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of Directors has authorized a stock repurchase program ("Repurchase Program") allowing Euronet to repurchase up to $375 million in value or</w:t>
      </w:r>
    </w:p>
    <w:p>
      <w:pPr>
        <w:spacing w:after="0" w:line="46" w:lineRule="exact"/>
        <w:rPr>
          <w:rFonts w:ascii="Arial" w:cs="Arial" w:eastAsia="Arial" w:hAnsi="Arial"/>
          <w:sz w:val="16"/>
          <w:szCs w:val="16"/>
          <w:color w:val="auto"/>
        </w:rPr>
      </w:pPr>
    </w:p>
    <w:p>
      <w:pPr>
        <w:ind w:right="160"/>
        <w:spacing w:after="0" w:line="254" w:lineRule="auto"/>
        <w:rPr>
          <w:rFonts w:ascii="Arial" w:cs="Arial" w:eastAsia="Arial" w:hAnsi="Arial"/>
          <w:sz w:val="16"/>
          <w:szCs w:val="16"/>
          <w:color w:val="auto"/>
        </w:rPr>
      </w:pPr>
      <w:r>
        <w:rPr>
          <w:rFonts w:ascii="Arial" w:cs="Arial" w:eastAsia="Arial" w:hAnsi="Arial"/>
          <w:sz w:val="18"/>
          <w:szCs w:val="18"/>
          <w:color w:val="auto"/>
        </w:rPr>
        <w:t>10.0 million shares of stock through March 31, 2020. Euronet has repurchased $175 million of stock under the Repurchase Program. On March 11, 2019, in connection with the issuance of the 2049 Convertible Notes, the Board of Directors authorized an additional repurchase program of $120 million in value of Euronet’s common stock through March 11, 2021. Repurchases under either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40" w:type="dxa"/>
            <w:vAlign w:val="bottom"/>
            <w:gridSpan w:val="4"/>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7"/>
          </w:tcPr>
          <w:p>
            <w:pPr>
              <w:spacing w:after="0"/>
              <w:rPr>
                <w:rFonts w:ascii="Arial" w:cs="Arial" w:eastAsia="Arial" w:hAnsi="Arial"/>
                <w:sz w:val="18"/>
                <w:szCs w:val="18"/>
                <w:color w:val="0000FF"/>
                <w:w w:val="98"/>
              </w:rPr>
            </w:pPr>
            <w:hyperlink r:id="rId20">
              <w:r>
                <w:rPr>
                  <w:rFonts w:ascii="Arial" w:cs="Arial" w:eastAsia="Arial" w:hAnsi="Arial"/>
                  <w:sz w:val="18"/>
                  <w:szCs w:val="18"/>
                  <w:color w:val="0000FF"/>
                  <w:w w:val="98"/>
                </w:rPr>
                <w:t>Indenture, dated March 18, 2019, between the Company and U.S. Bank National Association, as trustee (filed as Exhibit 4.1 to the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6"/>
          </w:tcPr>
          <w:p>
            <w:pPr>
              <w:spacing w:after="0" w:line="196"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Company's Current Report on Form 8-K filed on March 18, 2019 (File No. 001-31648) and incorporated herein by reference.</w:t>
              </w:r>
            </w:hyperlink>
          </w:p>
        </w:tc>
        <w:tc>
          <w:tcPr>
            <w:tcW w:w="840" w:type="dxa"/>
            <w:vAlign w:val="bottom"/>
          </w:tcPr>
          <w:p>
            <w:pPr>
              <w:spacing w:after="0"/>
              <w:rPr>
                <w:sz w:val="17"/>
                <w:szCs w:val="17"/>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20" w:type="dxa"/>
            <w:vAlign w:val="bottom"/>
            <w:tcBorders>
              <w:top w:val="single" w:sz="8" w:color="0000FF"/>
            </w:tcBorders>
            <w:gridSpan w:val="5"/>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 of 0.75% Convertible Senior Note due 2049 (included as Exhibit A to Exhibit 4.1 above</w:t>
              </w:r>
            </w:hyperlink>
            <w:r>
              <w:rPr>
                <w:rFonts w:ascii="Arial" w:cs="Arial" w:eastAsia="Arial" w:hAnsi="Arial"/>
                <w:sz w:val="18"/>
                <w:szCs w:val="18"/>
                <w:color w:val="000000"/>
              </w:rPr>
              <w:t>)</w:t>
            </w:r>
          </w:p>
        </w:tc>
        <w:tc>
          <w:tcPr>
            <w:tcW w:w="1220" w:type="dxa"/>
            <w:vAlign w:val="bottom"/>
            <w:gridSpan w:val="2"/>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tcBorders>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Section 302</w:t>
              </w:r>
            </w:hyperlink>
          </w:p>
        </w:tc>
        <w:tc>
          <w:tcPr>
            <w:tcW w:w="5900" w:type="dxa"/>
            <w:vAlign w:val="bottom"/>
            <w:tcBorders>
              <w:top w:val="single" w:sz="8" w:color="0000FF"/>
            </w:tcBorders>
            <w:gridSpan w:val="3"/>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 Certification of Chief Executive Officer</w:t>
              </w:r>
            </w:hyperlink>
          </w:p>
        </w:tc>
        <w:tc>
          <w:tcPr>
            <w:tcW w:w="3460" w:type="dxa"/>
            <w:vAlign w:val="bottom"/>
            <w:gridSpan w:val="3"/>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Section 302</w:t>
              </w:r>
            </w:hyperlink>
          </w:p>
        </w:tc>
        <w:tc>
          <w:tcPr>
            <w:tcW w:w="3080" w:type="dxa"/>
            <w:vAlign w:val="bottom"/>
            <w:tcBorders>
              <w:top w:val="single" w:sz="8" w:color="0000FF"/>
              <w:bottom w:val="single" w:sz="8" w:color="0000FF"/>
            </w:tcBorders>
          </w:tcPr>
          <w:p>
            <w:pPr>
              <w:ind w:left="20"/>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gridSpan w:val="4"/>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Section 906</w:t>
              </w:r>
            </w:hyperlink>
          </w:p>
        </w:tc>
        <w:tc>
          <w:tcPr>
            <w:tcW w:w="9360" w:type="dxa"/>
            <w:vAlign w:val="bottom"/>
            <w:gridSpan w:val="6"/>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Section 906</w:t>
              </w:r>
            </w:hyperlink>
          </w:p>
        </w:tc>
        <w:tc>
          <w:tcPr>
            <w:tcW w:w="3080" w:type="dxa"/>
            <w:vAlign w:val="bottom"/>
            <w:tcBorders>
              <w:top w:val="single" w:sz="8" w:color="0000FF"/>
              <w:bottom w:val="single" w:sz="8" w:color="0000FF"/>
            </w:tcBorders>
          </w:tcPr>
          <w:p>
            <w:pPr>
              <w:ind w:left="20"/>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gridSpan w:val="4"/>
          </w:tcPr>
          <w:p>
            <w:pPr>
              <w:spacing w:after="0"/>
              <w:rPr>
                <w:sz w:val="21"/>
                <w:szCs w:val="21"/>
                <w:color w:val="auto"/>
              </w:rPr>
            </w:pPr>
          </w:p>
        </w:tc>
      </w:tr>
      <w:tr>
        <w:trPr>
          <w:trHeight w:val="27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2019, formatted 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auto"/>
                <w:w w:val="92"/>
              </w:rPr>
              <w:t>XBRL (eXtensible Business Reporting Language): (i) Consolidated Balance Sheets at March 31, 2018 (unaudited) and December 31, 2018,</w:t>
            </w:r>
          </w:p>
        </w:tc>
      </w:tr>
    </w:tbl>
    <w:p>
      <w:pPr>
        <w:ind w:left="1180" w:right="100"/>
        <w:spacing w:after="0" w:line="269" w:lineRule="auto"/>
        <w:rPr>
          <w:sz w:val="20"/>
          <w:szCs w:val="20"/>
          <w:color w:val="auto"/>
        </w:rPr>
      </w:pPr>
      <w:r>
        <w:rPr>
          <w:rFonts w:ascii="Arial" w:cs="Arial" w:eastAsia="Arial" w:hAnsi="Arial"/>
          <w:sz w:val="17"/>
          <w:szCs w:val="17"/>
          <w:color w:val="auto"/>
        </w:rPr>
        <w:t>(ii) Consolidated Statements of Income (unaudited) for the three months ended March 31, 2019 and 2018, (iii) Consolidated Statements of Comprehensive Income (Loss) (unaudited) for the three ended March 31, 2019 and 2018, (iv) Consolidated Statements of Changes in Equity (unaudited) for the three months ended March 31, 2019 and 2018 (v) Consolidated Statements of Cash Flows (unaudited) for the three months ended March 31, 2019 and 2018, and (vi)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125" w:right="3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0" Type="http://schemas.openxmlformats.org/officeDocument/2006/relationships/hyperlink" Target="http://www.sec.gov/Archives/edgar/data/1029199/000102919919000025/exhibit41indenture.htm" TargetMode="External"/><Relationship Id="rId21" Type="http://schemas.openxmlformats.org/officeDocument/2006/relationships/hyperlink" Target="http://www.sec.gov/Archives/edgar/data/1029199/000102919919000025/a8-kconvertbondscomplete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2019-12-28T12:55:09Z</dcterms:created>
  <dcterms:modified xsi:type="dcterms:W3CDTF">2019-12-28T12:55:09Z</dcterms:modified>
</cp:coreProperties>
</file>