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5930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93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Caponecchi Kevin J</w:t>
              </w:r>
            </w:hyperlink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spacing w:after="0" w:line="173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EURONET WORLDWIDE,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EEFT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5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  <w:bottom w:val="single" w:sz="8" w:color="EEEEEE"/>
            </w:tcBorders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68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CEO, epay and APAC Division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EURONET WORLDWIDE, INC.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02/26/2026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11400 TOMAHAWK CREEK PARKWAY, SUITE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LEAWOOD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66211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$0.02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02/26/2026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15,701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112,241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$0.02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02/26/2026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7,052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70.93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105,189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$0.02 per share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3,238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4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Vesting of shares from performance-based stock awards granted on December 7, 2021 (1,153), December 6, 2022 (11,506), December 12, 2023 (1,618) and December 10, 2024 (1,424).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surrendered to Euronet Worldwide, Inc. by the Reporting Person to satisfy tax withholding liability obligations associated with the vesting of performance-based restricted stock.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March 10, 2025, the Reporting Person acquired 101 shares of the Issuer's common stock pursuant to the Euronet Worldwide, Inc. 401K plan.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By Adam Godderz,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899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9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 for Kevin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Caponecchi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194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4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04138" TargetMode="External"/><Relationship Id="rId14" Type="http://schemas.openxmlformats.org/officeDocument/2006/relationships/hyperlink" Target="http://www.sec.gov/cgi-bin/browse-edgar?action=getcompany&amp;CIK=000102919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2026-03-02T14:47:45Z</dcterms:created>
  <dcterms:modified xsi:type="dcterms:W3CDTF">2026-03-02T14:47:45Z</dcterms:modified>
</cp:coreProperties>
</file>