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32"/>
        </w:rPr>
      </w:pPr>
      <w:bookmarkStart w:id="0" w:name="EXH_6a169a3bc508677b4b67fdb6"/>
      <w:bookmarkStart w:id="1" w:name="eeft-20260730.htm"/>
      <w:bookmarkStart w:id="2" w:name="kseeft20260730"/>
      <w:bookmarkEnd w:id="0"/>
      <w:bookmarkEnd w:id="1"/>
      <w:bookmarkEnd w:id="2"/>
      <w:r>
        <w:rPr>
          <w:b/>
          <w:sz w:val="32"/>
        </w:rPr>
        <w:t>UNITED STATES</w:t>
      </w:r>
    </w:p>
    <w:p>
      <w:pPr>
        <w:pStyle w:val="TextBody"/>
        <w:bidi w:val="0"/>
        <w:spacing w:before="0" w:after="0"/>
        <w:jc w:val="center"/>
        <w:rPr>
          <w:b/>
          <w:sz w:val="32"/>
        </w:rPr>
      </w:pPr>
      <w:r>
        <w:rPr>
          <w:b/>
          <w:sz w:val="32"/>
        </w:rPr>
        <w:t>SECURITIES AND EXCHANGE COMMISSION</w:t>
      </w:r>
    </w:p>
    <w:p>
      <w:pPr>
        <w:pStyle w:val="TextBody"/>
        <w:bidi w:val="0"/>
        <w:spacing w:before="0" w:after="0"/>
        <w:jc w:val="center"/>
        <w:rPr>
          <w:b/>
          <w:sz w:val="20"/>
        </w:rPr>
      </w:pPr>
      <w:r>
        <w:rPr>
          <w:b/>
          <w:sz w:val="20"/>
        </w:rPr>
        <w:t>Washington, D.C. 20549</w:t>
      </w:r>
    </w:p>
    <w:p>
      <w:pPr>
        <w:pStyle w:val="TextBody"/>
        <w:bidi w:val="0"/>
        <w:spacing w:before="0" w:after="0"/>
        <w:jc w:val="center"/>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center"/>
              <w:rPr/>
            </w:pPr>
            <w:r>
              <w:rPr/>
              <w:t> </w:t>
            </w:r>
          </w:p>
        </w:tc>
      </w:tr>
    </w:tbl>
    <w:p>
      <w:pPr>
        <w:pStyle w:val="TextBody"/>
        <w:bidi w:val="0"/>
        <w:spacing w:before="0" w:after="0"/>
        <w:jc w:val="center"/>
        <w:rPr/>
      </w:pPr>
      <w:r>
        <w:rPr/>
        <w:t>    </w:t>
      </w:r>
    </w:p>
    <w:p>
      <w:pPr>
        <w:pStyle w:val="TextBody"/>
        <w:bidi w:val="0"/>
        <w:spacing w:before="0" w:after="0"/>
        <w:jc w:val="center"/>
        <w:rPr>
          <w:sz w:val="40"/>
        </w:rPr>
      </w:pPr>
      <w:r>
        <w:rPr>
          <w:b/>
          <w:sz w:val="40"/>
        </w:rPr>
        <w:t>Form</w:t>
      </w:r>
      <w:r>
        <w:rPr>
          <w:sz w:val="40"/>
        </w:rPr>
        <w:t> </w:t>
      </w:r>
      <w:r>
        <w:rPr>
          <w:rFonts w:ascii="Times New Roman" w:hAnsi="Times New Roman"/>
          <w:b/>
          <w:sz w:val="36"/>
        </w:rPr>
        <w:t>8-K</w:t>
      </w:r>
    </w:p>
    <w:p>
      <w:pPr>
        <w:pStyle w:val="TextBody"/>
        <w:bidi w:val="0"/>
        <w:spacing w:before="0" w:after="0"/>
        <w:jc w:val="center"/>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center"/>
              <w:rPr/>
            </w:pPr>
            <w:r>
              <w:rPr/>
              <w:t> </w:t>
            </w:r>
          </w:p>
        </w:tc>
      </w:tr>
    </w:tbl>
    <w:p>
      <w:pPr>
        <w:pStyle w:val="TextBody"/>
        <w:bidi w:val="0"/>
        <w:spacing w:before="0" w:after="0"/>
        <w:jc w:val="center"/>
        <w:rPr/>
      </w:pPr>
      <w:r>
        <w:rPr/>
        <w:t> </w:t>
      </w:r>
    </w:p>
    <w:p>
      <w:pPr>
        <w:pStyle w:val="TextBody"/>
        <w:bidi w:val="0"/>
        <w:spacing w:before="0" w:after="0"/>
        <w:jc w:val="center"/>
        <w:rPr>
          <w:b/>
        </w:rPr>
      </w:pPr>
      <w:r>
        <w:rPr>
          <w:b/>
        </w:rPr>
        <w:t>CURRENT REPORT</w:t>
      </w:r>
    </w:p>
    <w:p>
      <w:pPr>
        <w:pStyle w:val="TextBody"/>
        <w:bidi w:val="0"/>
        <w:spacing w:before="0" w:after="0"/>
        <w:jc w:val="center"/>
        <w:rPr/>
      </w:pPr>
      <w:r>
        <w:rPr/>
        <w:t> </w:t>
      </w:r>
    </w:p>
    <w:p>
      <w:pPr>
        <w:pStyle w:val="TextBody"/>
        <w:bidi w:val="0"/>
        <w:spacing w:before="0" w:after="0"/>
        <w:jc w:val="center"/>
        <w:rPr>
          <w:b/>
          <w:sz w:val="20"/>
        </w:rPr>
      </w:pPr>
      <w:r>
        <w:rPr>
          <w:b/>
          <w:sz w:val="20"/>
        </w:rPr>
        <w:t>Pursuant to Section 13 or 15(d) of the</w:t>
      </w:r>
    </w:p>
    <w:p>
      <w:pPr>
        <w:pStyle w:val="TextBody"/>
        <w:bidi w:val="0"/>
        <w:spacing w:before="0" w:after="0"/>
        <w:jc w:val="center"/>
        <w:rPr>
          <w:b/>
          <w:sz w:val="20"/>
        </w:rPr>
      </w:pPr>
      <w:r>
        <w:rPr>
          <w:b/>
          <w:sz w:val="20"/>
        </w:rPr>
        <w:t>Securities Exchange Act of 1934</w:t>
      </w:r>
    </w:p>
    <w:p>
      <w:pPr>
        <w:pStyle w:val="TextBody"/>
        <w:bidi w:val="0"/>
        <w:spacing w:before="0" w:after="0"/>
        <w:jc w:val="center"/>
        <w:rPr/>
      </w:pPr>
      <w:r>
        <w:rPr/>
        <w:t> </w:t>
      </w:r>
    </w:p>
    <w:p>
      <w:pPr>
        <w:pStyle w:val="TextBody"/>
        <w:bidi w:val="0"/>
        <w:spacing w:before="0" w:after="0"/>
        <w:jc w:val="center"/>
        <w:rPr/>
      </w:pPr>
      <w:r>
        <w:rPr>
          <w:b/>
        </w:rPr>
        <w:t>Date of Report (Date of earliest event reported):</w:t>
      </w:r>
      <w:r>
        <w:rPr/>
        <w:t> </w:t>
      </w:r>
      <w:r>
        <w:rPr>
          <w:rFonts w:ascii="Times New Roman" w:hAnsi="Times New Roman"/>
          <w:b/>
          <w:sz w:val="24"/>
        </w:rPr>
        <w:t>July 30, 2026</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center"/>
              <w:rPr/>
            </w:pPr>
            <w:r>
              <w:rPr/>
              <w:t> </w:t>
            </w:r>
          </w:p>
        </w:tc>
      </w:tr>
    </w:tbl>
    <w:p>
      <w:pPr>
        <w:pStyle w:val="TextBody"/>
        <w:bidi w:val="0"/>
        <w:spacing w:before="0" w:after="0"/>
        <w:jc w:val="center"/>
        <w:rPr>
          <w:rFonts w:ascii="Times New Roman" w:hAnsi="Times New Roman"/>
          <w:b/>
          <w:sz w:val="40"/>
        </w:rPr>
      </w:pPr>
      <w:r>
        <w:rPr>
          <w:rFonts w:ascii="Times New Roman" w:hAnsi="Times New Roman"/>
          <w:b/>
          <w:sz w:val="40"/>
        </w:rPr>
        <w:t>EURONET WORLDWIDE INC</w:t>
      </w:r>
    </w:p>
    <w:p>
      <w:pPr>
        <w:pStyle w:val="TextBody"/>
        <w:bidi w:val="0"/>
        <w:spacing w:before="0" w:after="0"/>
        <w:jc w:val="center"/>
        <w:rPr>
          <w:sz w:val="20"/>
        </w:rPr>
      </w:pPr>
      <w:r>
        <w:rPr>
          <w:sz w:val="20"/>
        </w:rPr>
        <w:t>(Exact name of registrant as specified in its charter)</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center"/>
              <w:rPr/>
            </w:pPr>
            <w:r>
              <w:rPr/>
              <w:t> </w:t>
            </w:r>
          </w:p>
        </w:tc>
      </w:tr>
    </w:tbl>
    <w:p>
      <w:pPr>
        <w:pStyle w:val="TextBody"/>
        <w:bidi w:val="0"/>
        <w:spacing w:lineRule="atLeast" w:line="288"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5049"/>
        <w:gridCol w:w="2182"/>
        <w:gridCol w:w="2974"/>
      </w:tblGrid>
      <w:tr>
        <w:trPr/>
        <w:tc>
          <w:tcPr>
            <w:tcW w:w="5049"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182"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001-31648</w:t>
            </w:r>
          </w:p>
        </w:tc>
        <w:tc>
          <w:tcPr>
            <w:tcW w:w="2974"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74-2806888</w:t>
            </w:r>
          </w:p>
        </w:tc>
      </w:tr>
      <w:tr>
        <w:trPr/>
        <w:tc>
          <w:tcPr>
            <w:tcW w:w="5049" w:type="dxa"/>
            <w:vMerge w:val="restart"/>
            <w:tcBorders/>
            <w:vAlign w:val="center"/>
          </w:tcPr>
          <w:p>
            <w:pPr>
              <w:pStyle w:val="TableContents"/>
              <w:bidi w:val="0"/>
              <w:spacing w:before="0" w:after="0"/>
              <w:jc w:val="center"/>
              <w:rPr>
                <w:b/>
                <w:sz w:val="20"/>
              </w:rPr>
            </w:pPr>
            <w:r>
              <w:rPr>
                <w:b/>
                <w:sz w:val="20"/>
              </w:rPr>
              <w:t>(State or other jurisdiction of incorporation or organization)</w:t>
            </w:r>
          </w:p>
        </w:tc>
        <w:tc>
          <w:tcPr>
            <w:tcW w:w="2182" w:type="dxa"/>
            <w:tcBorders/>
            <w:vAlign w:val="center"/>
          </w:tcPr>
          <w:p>
            <w:pPr>
              <w:pStyle w:val="TableContents"/>
              <w:bidi w:val="0"/>
              <w:spacing w:before="0" w:after="0"/>
              <w:jc w:val="center"/>
              <w:rPr>
                <w:b/>
                <w:sz w:val="20"/>
              </w:rPr>
            </w:pPr>
            <w:r>
              <w:rPr>
                <w:b/>
                <w:sz w:val="20"/>
              </w:rPr>
              <w:t>(Commission file number)</w:t>
            </w:r>
          </w:p>
        </w:tc>
        <w:tc>
          <w:tcPr>
            <w:tcW w:w="2974" w:type="dxa"/>
            <w:vMerge w:val="restart"/>
            <w:tcBorders/>
            <w:vAlign w:val="center"/>
          </w:tcPr>
          <w:p>
            <w:pPr>
              <w:pStyle w:val="TableContents"/>
              <w:bidi w:val="0"/>
              <w:spacing w:before="0" w:after="0"/>
              <w:jc w:val="center"/>
              <w:rPr>
                <w:b/>
                <w:sz w:val="20"/>
              </w:rPr>
            </w:pPr>
            <w:r>
              <w:rPr>
                <w:b/>
                <w:sz w:val="20"/>
              </w:rPr>
              <w:t>(I.R.S. Employer Identification No.)</w:t>
            </w:r>
          </w:p>
        </w:tc>
      </w:tr>
      <w:tr>
        <w:trPr/>
        <w:tc>
          <w:tcPr>
            <w:tcW w:w="5049" w:type="dxa"/>
            <w:vMerge w:val="continue"/>
            <w:tcBorders/>
            <w:vAlign w:val="center"/>
          </w:tcPr>
          <w:p>
            <w:pPr>
              <w:pStyle w:val="Normal"/>
              <w:bidi w:val="0"/>
              <w:jc w:val="left"/>
              <w:rPr/>
            </w:pPr>
            <w:r>
              <w:rPr/>
            </w:r>
          </w:p>
        </w:tc>
        <w:tc>
          <w:tcPr>
            <w:tcW w:w="2182" w:type="dxa"/>
            <w:tcBorders/>
            <w:vAlign w:val="center"/>
          </w:tcPr>
          <w:p>
            <w:pPr>
              <w:pStyle w:val="TableContents"/>
              <w:bidi w:val="0"/>
              <w:spacing w:before="0" w:after="0"/>
              <w:jc w:val="left"/>
              <w:rPr/>
            </w:pPr>
            <w:r>
              <w:rPr/>
              <w:t> </w:t>
            </w:r>
          </w:p>
        </w:tc>
        <w:tc>
          <w:tcPr>
            <w:tcW w:w="2974" w:type="dxa"/>
            <w:vMerge w:val="continue"/>
            <w:tcBorders/>
            <w:vAlign w:val="center"/>
          </w:tcPr>
          <w:p>
            <w:pPr>
              <w:pStyle w:val="Normal"/>
              <w:bidi w:val="0"/>
              <w:jc w:val="left"/>
              <w:rPr/>
            </w:pPr>
            <w:r>
              <w:rPr/>
            </w:r>
          </w:p>
        </w:tc>
      </w:tr>
      <w:tr>
        <w:trPr/>
        <w:tc>
          <w:tcPr>
            <w:tcW w:w="5049" w:type="dxa"/>
            <w:tcBorders/>
            <w:vAlign w:val="center"/>
          </w:tcPr>
          <w:p>
            <w:pPr>
              <w:pStyle w:val="TableContents"/>
              <w:bidi w:val="0"/>
              <w:spacing w:before="0" w:after="0"/>
              <w:jc w:val="left"/>
              <w:rPr/>
            </w:pPr>
            <w:r>
              <w:rPr/>
              <w:t> </w:t>
            </w:r>
          </w:p>
        </w:tc>
        <w:tc>
          <w:tcPr>
            <w:tcW w:w="2182" w:type="dxa"/>
            <w:tcBorders/>
            <w:vAlign w:val="center"/>
          </w:tcPr>
          <w:p>
            <w:pPr>
              <w:pStyle w:val="TableContents"/>
              <w:bidi w:val="0"/>
              <w:spacing w:before="0" w:after="0"/>
              <w:jc w:val="left"/>
              <w:rPr/>
            </w:pPr>
            <w:r>
              <w:rPr/>
              <w:t> </w:t>
            </w:r>
          </w:p>
        </w:tc>
        <w:tc>
          <w:tcPr>
            <w:tcW w:w="2974" w:type="dxa"/>
            <w:tcBorders/>
            <w:vAlign w:val="center"/>
          </w:tcPr>
          <w:p>
            <w:pPr>
              <w:pStyle w:val="TableContents"/>
              <w:bidi w:val="0"/>
              <w:spacing w:before="0" w:after="0"/>
              <w:jc w:val="left"/>
              <w:rPr/>
            </w:pPr>
            <w:r>
              <w:rPr/>
              <w:t> </w:t>
            </w:r>
          </w:p>
        </w:tc>
      </w:tr>
      <w:tr>
        <w:trPr/>
        <w:tc>
          <w:tcPr>
            <w:tcW w:w="7231" w:type="dxa"/>
            <w:gridSpan w:val="2"/>
            <w:tcBorders/>
            <w:vAlign w:val="center"/>
          </w:tcPr>
          <w:p>
            <w:pPr>
              <w:pStyle w:val="TableContents"/>
              <w:bidi w:val="0"/>
              <w:spacing w:before="0" w:after="0"/>
              <w:jc w:val="center"/>
              <w:rPr>
                <w:sz w:val="20"/>
              </w:rPr>
            </w:pPr>
            <w:r>
              <w:rPr>
                <w:rFonts w:ascii="Times New Roman" w:hAnsi="Times New Roman"/>
                <w:b/>
                <w:sz w:val="20"/>
              </w:rPr>
              <w:t>11400 Tomahawk Creek Parkway</w:t>
            </w:r>
            <w:r>
              <w:rPr>
                <w:b/>
                <w:sz w:val="20"/>
              </w:rPr>
              <w:t xml:space="preserve">, </w:t>
            </w:r>
            <w:r>
              <w:rPr>
                <w:rFonts w:ascii="Times New Roman" w:hAnsi="Times New Roman"/>
                <w:b/>
                <w:sz w:val="20"/>
              </w:rPr>
              <w:t>Suite 300</w:t>
            </w:r>
          </w:p>
        </w:tc>
        <w:tc>
          <w:tcPr>
            <w:tcW w:w="2974" w:type="dxa"/>
            <w:tcBorders/>
            <w:vAlign w:val="center"/>
          </w:tcPr>
          <w:p>
            <w:pPr>
              <w:pStyle w:val="TableContents"/>
              <w:bidi w:val="0"/>
              <w:spacing w:before="0" w:after="0"/>
              <w:jc w:val="center"/>
              <w:rPr/>
            </w:pPr>
            <w:r>
              <w:rPr/>
              <w:t> </w:t>
            </w:r>
          </w:p>
        </w:tc>
      </w:tr>
      <w:tr>
        <w:trPr/>
        <w:tc>
          <w:tcPr>
            <w:tcW w:w="5049" w:type="dxa"/>
            <w:tcBorders/>
            <w:vAlign w:val="center"/>
          </w:tcPr>
          <w:p>
            <w:pPr>
              <w:pStyle w:val="TableContents"/>
              <w:bidi w:val="0"/>
              <w:spacing w:before="0" w:after="0"/>
              <w:jc w:val="right"/>
              <w:rPr>
                <w:sz w:val="20"/>
              </w:rPr>
            </w:pPr>
            <w:r>
              <w:rPr>
                <w:rFonts w:ascii="Times New Roman" w:hAnsi="Times New Roman"/>
                <w:b/>
                <w:sz w:val="20"/>
              </w:rPr>
              <w:t>Leawood</w:t>
            </w:r>
            <w:r>
              <w:rPr>
                <w:b/>
                <w:sz w:val="20"/>
              </w:rPr>
              <w:t>,</w:t>
            </w:r>
          </w:p>
        </w:tc>
        <w:tc>
          <w:tcPr>
            <w:tcW w:w="2182" w:type="dxa"/>
            <w:tcBorders/>
            <w:vAlign w:val="center"/>
          </w:tcPr>
          <w:p>
            <w:pPr>
              <w:pStyle w:val="TableContents"/>
              <w:bidi w:val="0"/>
              <w:spacing w:before="0" w:after="0"/>
              <w:jc w:val="left"/>
              <w:rPr/>
            </w:pPr>
            <w:r>
              <w:rPr/>
              <w:t> </w:t>
            </w:r>
            <w:r>
              <w:rPr>
                <w:rFonts w:ascii="Times New Roman" w:hAnsi="Times New Roman"/>
                <w:b/>
                <w:sz w:val="20"/>
              </w:rPr>
              <w:t>Kansas</w:t>
            </w:r>
          </w:p>
        </w:tc>
        <w:tc>
          <w:tcPr>
            <w:tcW w:w="2974"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66211</w:t>
            </w:r>
          </w:p>
        </w:tc>
      </w:tr>
      <w:tr>
        <w:trPr/>
        <w:tc>
          <w:tcPr>
            <w:tcW w:w="7231" w:type="dxa"/>
            <w:gridSpan w:val="2"/>
            <w:tcBorders/>
            <w:vAlign w:val="center"/>
          </w:tcPr>
          <w:p>
            <w:pPr>
              <w:pStyle w:val="TableContents"/>
              <w:bidi w:val="0"/>
              <w:spacing w:before="0" w:after="0"/>
              <w:jc w:val="center"/>
              <w:rPr>
                <w:b/>
                <w:sz w:val="20"/>
              </w:rPr>
            </w:pPr>
            <w:r>
              <w:rPr>
                <w:b/>
                <w:sz w:val="20"/>
              </w:rPr>
              <w:t>(Address of principal executive offices)</w:t>
            </w:r>
          </w:p>
        </w:tc>
        <w:tc>
          <w:tcPr>
            <w:tcW w:w="2974" w:type="dxa"/>
            <w:tcBorders/>
            <w:vAlign w:val="center"/>
          </w:tcPr>
          <w:p>
            <w:pPr>
              <w:pStyle w:val="TableContents"/>
              <w:bidi w:val="0"/>
              <w:spacing w:before="0" w:after="0"/>
              <w:jc w:val="center"/>
              <w:rPr>
                <w:b/>
                <w:sz w:val="20"/>
              </w:rPr>
            </w:pPr>
            <w:r>
              <w:rPr>
                <w:b/>
                <w:sz w:val="20"/>
              </w:rPr>
              <w:t>(Zip Code)</w:t>
            </w:r>
          </w:p>
        </w:tc>
      </w:tr>
    </w:tbl>
    <w:p>
      <w:pPr>
        <w:pStyle w:val="TextBody"/>
        <w:bidi w:val="0"/>
        <w:spacing w:before="0" w:after="0"/>
        <w:jc w:val="center"/>
        <w:rPr>
          <w:sz w:val="22"/>
        </w:rPr>
      </w:pPr>
      <w:r>
        <w:rPr>
          <w:rFonts w:ascii="Times New Roman" w:hAnsi="Times New Roman"/>
          <w:b/>
          <w:sz w:val="20"/>
        </w:rPr>
        <w:t>(913)</w:t>
      </w:r>
      <w:r>
        <w:rPr>
          <w:sz w:val="22"/>
        </w:rPr>
        <w:t> </w:t>
      </w:r>
      <w:r>
        <w:rPr>
          <w:rFonts w:ascii="Times New Roman" w:hAnsi="Times New Roman"/>
          <w:b/>
          <w:sz w:val="20"/>
        </w:rPr>
        <w:t>327-4200</w:t>
      </w:r>
    </w:p>
    <w:p>
      <w:pPr>
        <w:pStyle w:val="TextBody"/>
        <w:bidi w:val="0"/>
        <w:spacing w:before="0" w:after="0"/>
        <w:jc w:val="center"/>
        <w:rPr>
          <w:sz w:val="20"/>
        </w:rPr>
      </w:pPr>
      <w:r>
        <w:rPr>
          <w:sz w:val="20"/>
        </w:rPr>
        <w:t>(Registrant's telephone number, including area code)</w:t>
      </w:r>
    </w:p>
    <w:p>
      <w:pPr>
        <w:pStyle w:val="TextBody"/>
        <w:bidi w:val="0"/>
        <w:spacing w:before="0" w:after="0"/>
        <w:jc w:val="center"/>
        <w:rPr>
          <w:b/>
          <w:sz w:val="22"/>
        </w:rPr>
      </w:pPr>
      <w:r>
        <w:rPr>
          <w:b/>
          <w:sz w:val="22"/>
        </w:rPr>
        <w:t>Not Applicable</w:t>
      </w:r>
    </w:p>
    <w:p>
      <w:pPr>
        <w:pStyle w:val="TextBody"/>
        <w:bidi w:val="0"/>
        <w:spacing w:before="0" w:after="0"/>
        <w:jc w:val="center"/>
        <w:rPr>
          <w:sz w:val="20"/>
        </w:rPr>
      </w:pPr>
      <w:r>
        <w:rPr>
          <w:sz w:val="20"/>
        </w:rPr>
        <w:t>(Former name or former address, if changed since last report)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center"/>
              <w:rPr/>
            </w:pPr>
            <w:r>
              <w:rPr/>
              <w:t> </w:t>
            </w:r>
          </w:p>
        </w:tc>
      </w:tr>
    </w:tbl>
    <w:p>
      <w:pPr>
        <w:pStyle w:val="TextBody"/>
        <w:bidi w:val="0"/>
        <w:spacing w:before="0" w:after="0"/>
        <w:jc w:val="left"/>
        <w:rPr/>
      </w:pPr>
      <w:r>
        <w:rPr/>
        <w:t> </w:t>
      </w:r>
    </w:p>
    <w:p>
      <w:pPr>
        <w:pStyle w:val="TextBody"/>
        <w:bidi w:val="0"/>
        <w:spacing w:before="0" w:after="120"/>
        <w:jc w:val="left"/>
        <w:rPr>
          <w:sz w:val="20"/>
        </w:rPr>
      </w:pPr>
      <w:r>
        <w:rPr>
          <w:sz w:val="20"/>
        </w:rPr>
        <w:t>Check the appropriate box below if the Form 8-K filing is intended to simultaneously satisfy the filing obligation of the registrant under any of the following provisions:</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ind w:left="144" w:right="0" w:hanging="0"/>
              <w:jc w:val="left"/>
              <w:rPr>
                <w:sz w:val="20"/>
              </w:rPr>
            </w:pPr>
            <w:r>
              <w:rPr>
                <w:rFonts w:ascii="Times New Roman" w:hAnsi="Times New Roman"/>
                <w:sz w:val="20"/>
              </w:rPr>
              <w:t>Written communications</w:t>
            </w:r>
            <w:r>
              <w:rPr>
                <w:sz w:val="20"/>
              </w:rPr>
              <w:t xml:space="preserve"> pursuant to Rule 425 under the Securities Act (17 CFR 230.425)</w:t>
            </w:r>
          </w:p>
        </w:tc>
      </w:tr>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ind w:left="144" w:right="0" w:hanging="0"/>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ind w:left="144" w:right="0" w:hanging="0"/>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ind w:left="144" w:right="0" w:hanging="0"/>
              <w:jc w:val="left"/>
              <w:rPr>
                <w:sz w:val="20"/>
              </w:rPr>
            </w:pPr>
            <w:r>
              <w:rPr>
                <w:sz w:val="20"/>
              </w:rPr>
              <w:t>Pre-commencement communications pursuant to Rule 13e-4(c) under the Exchange Act (17 CFR 240.13e-4(c)) </w:t>
            </w:r>
          </w:p>
        </w:tc>
      </w:tr>
    </w:tbl>
    <w:p>
      <w:pPr>
        <w:pStyle w:val="TextBody"/>
        <w:bidi w:val="0"/>
        <w:spacing w:before="0" w:after="0"/>
        <w:jc w:val="left"/>
        <w:rPr/>
      </w:pPr>
      <w:r>
        <w:rPr/>
        <w:t> </w:t>
      </w:r>
    </w:p>
    <w:p>
      <w:pPr>
        <w:pStyle w:val="TextBody"/>
        <w:bidi w:val="0"/>
        <w:spacing w:before="0" w:after="0"/>
        <w:jc w:val="left"/>
        <w:rPr>
          <w:sz w:val="20"/>
        </w:rPr>
      </w:pPr>
      <w:r>
        <w:rPr>
          <w:sz w:val="20"/>
        </w:rPr>
        <w:t xml:space="preserve">Securities registered pursuant to Section 12(b) of the Act: </w:t>
      </w:r>
    </w:p>
    <w:tbl>
      <w:tblPr>
        <w:tblW w:w="6615" w:type="dxa"/>
        <w:jc w:val="left"/>
        <w:tblInd w:w="0" w:type="dxa"/>
        <w:tblLayout w:type="fixed"/>
        <w:tblCellMar>
          <w:top w:w="0" w:type="dxa"/>
          <w:left w:w="0" w:type="dxa"/>
          <w:bottom w:w="0" w:type="dxa"/>
          <w:right w:w="0" w:type="dxa"/>
        </w:tblCellMar>
      </w:tblPr>
      <w:tblGrid>
        <w:gridCol w:w="1490"/>
        <w:gridCol w:w="1535"/>
        <w:gridCol w:w="3590"/>
      </w:tblGrid>
      <w:tr>
        <w:trPr/>
        <w:tc>
          <w:tcPr>
            <w:tcW w:w="1490" w:type="dxa"/>
            <w:tcBorders/>
            <w:vAlign w:val="center"/>
          </w:tcPr>
          <w:p>
            <w:pPr>
              <w:pStyle w:val="TableContents"/>
              <w:bidi w:val="0"/>
              <w:spacing w:before="0" w:after="0"/>
              <w:jc w:val="left"/>
              <w:rPr>
                <w:sz w:val="20"/>
              </w:rPr>
            </w:pPr>
            <w:r>
              <w:rPr>
                <w:sz w:val="20"/>
              </w:rPr>
              <w:t>Title of each class</w:t>
            </w:r>
          </w:p>
        </w:tc>
        <w:tc>
          <w:tcPr>
            <w:tcW w:w="1535" w:type="dxa"/>
            <w:tcBorders/>
            <w:vAlign w:val="center"/>
          </w:tcPr>
          <w:p>
            <w:pPr>
              <w:pStyle w:val="TableContents"/>
              <w:bidi w:val="0"/>
              <w:spacing w:before="0" w:after="0"/>
              <w:jc w:val="left"/>
              <w:rPr>
                <w:sz w:val="20"/>
              </w:rPr>
            </w:pPr>
            <w:r>
              <w:rPr>
                <w:sz w:val="20"/>
              </w:rPr>
              <w:t>Trading Symbol(s)</w:t>
            </w:r>
          </w:p>
        </w:tc>
        <w:tc>
          <w:tcPr>
            <w:tcW w:w="3590" w:type="dxa"/>
            <w:tcBorders/>
            <w:vAlign w:val="center"/>
          </w:tcPr>
          <w:p>
            <w:pPr>
              <w:pStyle w:val="TableContents"/>
              <w:bidi w:val="0"/>
              <w:spacing w:before="0" w:after="0"/>
              <w:jc w:val="left"/>
              <w:rPr>
                <w:sz w:val="20"/>
              </w:rPr>
            </w:pPr>
            <w:r>
              <w:rPr>
                <w:sz w:val="20"/>
              </w:rPr>
              <w:t>Name of each exchange on which registered</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EEFT</w:t>
            </w:r>
          </w:p>
        </w:tc>
        <w:tc>
          <w:tcPr>
            <w:tcW w:w="3590" w:type="dxa"/>
            <w:tcBorders/>
            <w:vAlign w:val="center"/>
          </w:tcPr>
          <w:p>
            <w:pPr>
              <w:pStyle w:val="TableContents"/>
              <w:bidi w:val="0"/>
              <w:spacing w:before="0" w:after="0"/>
              <w:jc w:val="left"/>
              <w:rPr>
                <w:sz w:val="20"/>
              </w:rPr>
            </w:pPr>
            <w:r>
              <w:rPr>
                <w:rFonts w:ascii="Times New Roman" w:hAnsi="Times New Roman"/>
                <w:sz w:val="20"/>
              </w:rPr>
              <w:t>Nasdaq</w:t>
            </w:r>
            <w:r>
              <w:rPr>
                <w:sz w:val="20"/>
              </w:rPr>
              <w:t xml:space="preserve"> Global Select Market</w:t>
            </w:r>
          </w:p>
        </w:tc>
      </w:tr>
    </w:tbl>
    <w:p>
      <w:pPr>
        <w:pStyle w:val="TextBody"/>
        <w:bidi w:val="0"/>
        <w:spacing w:before="120" w:after="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0" w:type="dxa"/>
          <w:left w:w="0" w:type="dxa"/>
          <w:bottom w:w="0" w:type="dxa"/>
          <w:right w:w="0" w:type="dxa"/>
        </w:tblCellMar>
      </w:tblPr>
      <w:tblGrid>
        <w:gridCol w:w="320"/>
        <w:gridCol w:w="98"/>
        <w:gridCol w:w="8741"/>
        <w:gridCol w:w="1046"/>
      </w:tblGrid>
      <w:tr>
        <w:trPr/>
        <w:tc>
          <w:tcPr>
            <w:tcW w:w="418" w:type="dxa"/>
            <w:gridSpan w:val="2"/>
            <w:tcBorders/>
            <w:vAlign w:val="center"/>
          </w:tcPr>
          <w:p>
            <w:pPr>
              <w:pStyle w:val="TableContents"/>
              <w:bidi w:val="0"/>
              <w:spacing w:before="0" w:after="0"/>
              <w:jc w:val="left"/>
              <w:rPr/>
            </w:pPr>
            <w:r>
              <w:rPr/>
              <w:t> </w:t>
            </w:r>
          </w:p>
        </w:tc>
        <w:tc>
          <w:tcPr>
            <w:tcW w:w="8741" w:type="dxa"/>
            <w:tcBorders/>
            <w:vAlign w:val="center"/>
          </w:tcPr>
          <w:p>
            <w:pPr>
              <w:pStyle w:val="TableContents"/>
              <w:bidi w:val="0"/>
              <w:spacing w:before="0" w:after="0"/>
              <w:jc w:val="right"/>
              <w:rPr>
                <w:sz w:val="20"/>
              </w:rPr>
            </w:pPr>
            <w:r>
              <w:rPr>
                <w:sz w:val="20"/>
              </w:rPr>
              <w:t>Emerging growth company</w:t>
            </w:r>
          </w:p>
        </w:tc>
        <w:tc>
          <w:tcPr>
            <w:tcW w:w="1046" w:type="dxa"/>
            <w:tcBorders/>
            <w:vAlign w:val="center"/>
          </w:tcPr>
          <w:p>
            <w:pPr>
              <w:pStyle w:val="TableContents"/>
              <w:bidi w:val="0"/>
              <w:spacing w:before="0" w:after="0"/>
              <w:jc w:val="left"/>
              <w:rPr/>
            </w:pPr>
            <w:r>
              <w:rPr/>
              <w:t>☐</w:t>
            </w:r>
          </w:p>
        </w:tc>
      </w:tr>
      <w:tr>
        <w:trPr/>
        <w:tc>
          <w:tcPr>
            <w:tcW w:w="320" w:type="dxa"/>
            <w:tcBorders/>
            <w:vAlign w:val="center"/>
          </w:tcPr>
          <w:p>
            <w:pPr>
              <w:pStyle w:val="TableContents"/>
              <w:bidi w:val="0"/>
              <w:spacing w:before="0" w:after="0"/>
              <w:jc w:val="left"/>
              <w:rPr/>
            </w:pPr>
            <w:r>
              <w:rPr/>
              <w:t> </w:t>
            </w:r>
          </w:p>
        </w:tc>
        <w:tc>
          <w:tcPr>
            <w:tcW w:w="8839" w:type="dxa"/>
            <w:gridSpan w:val="2"/>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r>
      <w:tr>
        <w:trPr/>
        <w:tc>
          <w:tcPr>
            <w:tcW w:w="10205" w:type="dxa"/>
            <w:gridSpan w:val="4"/>
            <w:tcBorders/>
            <w:vAlign w:val="center"/>
          </w:tcPr>
          <w:p>
            <w:pPr>
              <w:pStyle w:val="TableContents"/>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3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74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
    </w:p>
    <w:p>
      <w:pPr>
        <w:pStyle w:val="TextBody"/>
        <w:bidi w:val="0"/>
        <w:spacing w:lineRule="atLeast" w:line="240" w:before="0" w:after="0"/>
        <w:jc w:val="left"/>
        <w:rPr>
          <w:b/>
          <w:sz w:val="20"/>
        </w:rPr>
      </w:pPr>
      <w:r>
        <w:rPr>
          <w:b/>
          <w:sz w:val="20"/>
        </w:rPr>
        <w:t>ITEM 2.02. Results of Operations and Financial Condition.</w:t>
      </w:r>
    </w:p>
    <w:p>
      <w:pPr>
        <w:pStyle w:val="TextBody"/>
        <w:bidi w:val="0"/>
        <w:spacing w:lineRule="atLeast" w:line="240" w:before="0" w:after="0"/>
        <w:jc w:val="left"/>
        <w:rPr/>
      </w:pPr>
      <w:r>
        <w:rPr/>
        <w:t> </w:t>
      </w:r>
    </w:p>
    <w:p>
      <w:pPr>
        <w:pStyle w:val="TextBody"/>
        <w:bidi w:val="0"/>
        <w:spacing w:lineRule="atLeast" w:line="240" w:before="0" w:after="0"/>
        <w:ind w:left="0" w:right="0" w:firstLine="540"/>
        <w:jc w:val="both"/>
        <w:rPr/>
      </w:pPr>
      <w:r>
        <w:rPr>
          <w:sz w:val="20"/>
        </w:rPr>
        <w:t xml:space="preserve">On </w:t>
      </w:r>
      <w:r>
        <w:rPr>
          <w:rFonts w:ascii="Times New Roman" w:hAnsi="Times New Roman"/>
          <w:sz w:val="20"/>
        </w:rPr>
        <w:t>July 30, 2026</w:t>
      </w:r>
      <w:r>
        <w:rPr>
          <w:sz w:val="20"/>
        </w:rPr>
        <w:t xml:space="preserve">, Euronet Worldwide, Inc. issued a press release to report its financial results for the quarter ended </w:t>
      </w:r>
      <w:r>
        <w:rPr>
          <w:rFonts w:ascii="Times New Roman" w:hAnsi="Times New Roman"/>
          <w:sz w:val="20"/>
        </w:rPr>
        <w:t>June 30, 2026</w:t>
      </w:r>
      <w:r>
        <w:rPr>
          <w:sz w:val="20"/>
        </w:rPr>
        <w:t>. The press release is attached hereto as Exhibit 99.1.</w:t>
      </w:r>
    </w:p>
    <w:p>
      <w:pPr>
        <w:pStyle w:val="TextBody"/>
        <w:bidi w:val="0"/>
        <w:spacing w:lineRule="atLeast" w:line="240" w:before="0" w:after="0"/>
        <w:jc w:val="left"/>
        <w:rPr/>
      </w:pPr>
      <w:r>
        <w:rPr/>
        <w:t> </w:t>
      </w:r>
    </w:p>
    <w:p>
      <w:pPr>
        <w:pStyle w:val="TextBody"/>
        <w:bidi w:val="0"/>
        <w:spacing w:lineRule="atLeast" w:line="240" w:before="0" w:after="0"/>
        <w:ind w:left="0" w:right="0" w:firstLine="540"/>
        <w:jc w:val="both"/>
        <w:rPr/>
      </w:pPr>
      <w:r>
        <w:rPr>
          <w:sz w:val="20"/>
        </w:rPr>
        <w:t>The information in Item 2.02 to this Current Report, including without limitation Exhibit 99.1, is being furnished and shall not be deemed to be filed for purposes of Section</w:t>
      </w:r>
      <w:r>
        <w:rPr/>
        <w:t> </w:t>
      </w:r>
      <w:r>
        <w:rPr>
          <w:sz w:val="20"/>
        </w:rPr>
        <w:t>18 of the Securities Exchange Act of 1934 or incorporated by reference into any document filed under the Securities Act of 1933 or the Securities Exchange Act of 1934 except as shall be expressly set forth by specific reference in such filing.</w:t>
      </w:r>
      <w:r>
        <w:rPr/>
        <w:t>  </w:t>
      </w:r>
    </w:p>
    <w:p>
      <w:pPr>
        <w:pStyle w:val="TextBody"/>
        <w:bidi w:val="0"/>
        <w:spacing w:lineRule="atLeast" w:line="240" w:before="0" w:after="0"/>
        <w:jc w:val="left"/>
        <w:rPr/>
      </w:pPr>
      <w:r>
        <w:rPr/>
        <w:t> </w:t>
      </w:r>
    </w:p>
    <w:p>
      <w:pPr>
        <w:pStyle w:val="TextBody"/>
        <w:bidi w:val="0"/>
        <w:spacing w:lineRule="atLeast" w:line="240" w:before="0" w:after="0"/>
        <w:jc w:val="left"/>
        <w:rPr>
          <w:b/>
          <w:sz w:val="20"/>
        </w:rPr>
      </w:pPr>
      <w:r>
        <w:rPr>
          <w:b/>
          <w:sz w:val="20"/>
        </w:rPr>
        <w:t>ITEM 9.01. Financial Statements and Exhibits.</w:t>
      </w:r>
    </w:p>
    <w:p>
      <w:pPr>
        <w:pStyle w:val="TextBody"/>
        <w:pBdr/>
        <w:bidi w:val="0"/>
        <w:spacing w:lineRule="atLeast" w:line="240" w:before="0" w:after="0"/>
        <w:ind w:left="370" w:right="0" w:hanging="0"/>
        <w:jc w:val="left"/>
        <w:rPr>
          <w:b/>
          <w:sz w:val="20"/>
        </w:rPr>
      </w:pPr>
      <w:r>
        <w:rPr>
          <w:b/>
          <w:sz w:val="20"/>
        </w:rPr>
        <w:t>(d) Exhibits</w:t>
      </w:r>
    </w:p>
    <w:tbl>
      <w:tblPr>
        <w:tblW w:w="4630" w:type="dxa"/>
        <w:jc w:val="left"/>
        <w:tblInd w:w="0" w:type="dxa"/>
        <w:tblLayout w:type="fixed"/>
        <w:tblCellMar>
          <w:top w:w="0" w:type="dxa"/>
          <w:left w:w="0" w:type="dxa"/>
          <w:bottom w:w="0" w:type="dxa"/>
          <w:right w:w="0" w:type="dxa"/>
        </w:tblCellMar>
      </w:tblPr>
      <w:tblGrid>
        <w:gridCol w:w="680"/>
        <w:gridCol w:w="3950"/>
      </w:tblGrid>
      <w:tr>
        <w:trPr/>
        <w:tc>
          <w:tcPr>
            <w:tcW w:w="680" w:type="dxa"/>
            <w:tcBorders/>
            <w:vAlign w:val="center"/>
          </w:tcPr>
          <w:p>
            <w:pPr>
              <w:pStyle w:val="TableContents"/>
              <w:bidi w:val="0"/>
              <w:spacing w:before="120" w:after="0"/>
              <w:jc w:val="left"/>
              <w:rPr/>
            </w:pPr>
            <w:r>
              <w:rPr/>
              <w:t> </w:t>
            </w:r>
          </w:p>
        </w:tc>
        <w:tc>
          <w:tcPr>
            <w:tcW w:w="3950" w:type="dxa"/>
            <w:tcBorders/>
            <w:vAlign w:val="center"/>
          </w:tcPr>
          <w:p>
            <w:pPr>
              <w:pStyle w:val="TableContents"/>
              <w:bidi w:val="0"/>
              <w:spacing w:before="0" w:after="0"/>
              <w:jc w:val="left"/>
              <w:rPr/>
            </w:pPr>
            <w:r>
              <w:rPr/>
              <w:t> </w:t>
            </w:r>
          </w:p>
        </w:tc>
      </w:tr>
      <w:tr>
        <w:trPr/>
        <w:tc>
          <w:tcPr>
            <w:tcW w:w="680" w:type="dxa"/>
            <w:tcBorders/>
            <w:vAlign w:val="center"/>
          </w:tcPr>
          <w:p>
            <w:pPr>
              <w:pStyle w:val="TableContents"/>
              <w:bidi w:val="0"/>
              <w:spacing w:before="0" w:after="0"/>
              <w:jc w:val="center"/>
              <w:rPr>
                <w:sz w:val="20"/>
                <w:u w:val="single"/>
              </w:rPr>
            </w:pPr>
            <w:r>
              <w:rPr>
                <w:sz w:val="20"/>
                <w:u w:val="single"/>
              </w:rPr>
              <w:t>Exhibit</w:t>
            </w:r>
          </w:p>
          <w:p>
            <w:pPr>
              <w:pStyle w:val="TableContents"/>
              <w:bidi w:val="0"/>
              <w:spacing w:before="0" w:after="0"/>
              <w:jc w:val="center"/>
              <w:rPr>
                <w:sz w:val="20"/>
                <w:u w:val="single"/>
              </w:rPr>
            </w:pPr>
            <w:r>
              <w:rPr>
                <w:sz w:val="20"/>
                <w:u w:val="single"/>
              </w:rPr>
              <w:t>Number</w:t>
            </w:r>
          </w:p>
        </w:tc>
        <w:tc>
          <w:tcPr>
            <w:tcW w:w="3950" w:type="dxa"/>
            <w:tcBorders/>
            <w:vAlign w:val="center"/>
          </w:tcPr>
          <w:p>
            <w:pPr>
              <w:pStyle w:val="TableContents"/>
              <w:bidi w:val="0"/>
              <w:spacing w:before="0" w:after="0"/>
              <w:jc w:val="left"/>
              <w:rPr>
                <w:sz w:val="20"/>
                <w:u w:val="single"/>
              </w:rPr>
            </w:pPr>
            <w:r>
              <w:rPr>
                <w:sz w:val="20"/>
                <w:u w:val="single"/>
              </w:rPr>
              <w:t>Description</w:t>
            </w:r>
          </w:p>
        </w:tc>
      </w:tr>
      <w:tr>
        <w:trPr/>
        <w:tc>
          <w:tcPr>
            <w:tcW w:w="680" w:type="dxa"/>
            <w:tcBorders/>
            <w:vAlign w:val="center"/>
          </w:tcPr>
          <w:p>
            <w:pPr>
              <w:pStyle w:val="TableContents"/>
              <w:bidi w:val="0"/>
              <w:spacing w:before="0" w:after="0"/>
              <w:jc w:val="center"/>
              <w:rPr>
                <w:sz w:val="20"/>
              </w:rPr>
            </w:pPr>
            <w:r>
              <w:rPr>
                <w:sz w:val="20"/>
              </w:rPr>
              <w:t>99.1</w:t>
            </w:r>
          </w:p>
        </w:tc>
        <w:tc>
          <w:tcPr>
            <w:tcW w:w="3950" w:type="dxa"/>
            <w:tcBorders/>
            <w:vAlign w:val="center"/>
          </w:tcPr>
          <w:p>
            <w:pPr>
              <w:pStyle w:val="TableContents"/>
              <w:bidi w:val="0"/>
              <w:spacing w:before="0" w:after="0"/>
              <w:jc w:val="left"/>
              <w:rPr/>
            </w:pPr>
            <w:hyperlink w:anchor="ex991_1.htm">
              <w:r>
                <w:rPr>
                  <w:rStyle w:val="InternetLink"/>
                  <w:color w:val="0000FF"/>
                  <w:sz w:val="20"/>
                  <w:u w:val="single"/>
                </w:rPr>
                <w:t>Exhibit 99.1 - Press</w:t>
              </w:r>
            </w:hyperlink>
            <w:hyperlink w:anchor="ex991_1.htm">
              <w:r>
                <w:rPr>
                  <w:rStyle w:val="InternetLink"/>
                  <w:color w:val="0000FF"/>
                  <w:u w:val="single"/>
                </w:rPr>
                <w:t> </w:t>
              </w:r>
            </w:hyperlink>
            <w:hyperlink w:anchor="ex991_1.htm">
              <w:r>
                <w:rPr>
                  <w:rStyle w:val="InternetLink"/>
                  <w:color w:val="0000FF"/>
                  <w:sz w:val="20"/>
                  <w:u w:val="single"/>
                </w:rPr>
                <w:t xml:space="preserve">Release dated </w:t>
              </w:r>
            </w:hyperlink>
            <w:hyperlink w:anchor="ex991_1.htm">
              <w:r>
                <w:rPr>
                  <w:rStyle w:val="InternetLink"/>
                  <w:rFonts w:ascii="Times New Roman" w:hAnsi="Times New Roman"/>
                  <w:color w:val="0000FF"/>
                  <w:sz w:val="20"/>
                  <w:u w:val="single"/>
                </w:rPr>
                <w:t>July 30, 2026</w:t>
              </w:r>
            </w:hyperlink>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r>
    </w:p>
    <w:p>
      <w:pPr>
        <w:pStyle w:val="TextBody"/>
        <w:bidi w:val="0"/>
        <w:spacing w:lineRule="atLeast" w:line="240" w:before="0" w:after="0"/>
        <w:jc w:val="center"/>
        <w:rPr>
          <w:b/>
          <w:sz w:val="20"/>
        </w:rPr>
      </w:pPr>
      <w:r>
        <w:rPr>
          <w:b/>
          <w:sz w:val="20"/>
        </w:rPr>
        <w:t>SIGNATURES</w:t>
      </w:r>
    </w:p>
    <w:p>
      <w:pPr>
        <w:pStyle w:val="TextBody"/>
        <w:bidi w:val="0"/>
        <w:spacing w:lineRule="atLeast" w:line="240" w:before="0" w:after="0"/>
        <w:jc w:val="left"/>
        <w:rPr/>
      </w:pPr>
      <w:r>
        <w:rPr/>
        <w:t> </w:t>
      </w:r>
    </w:p>
    <w:p>
      <w:pPr>
        <w:pStyle w:val="TextBody"/>
        <w:bidi w:val="0"/>
        <w:spacing w:lineRule="atLeast" w:line="240" w:before="0" w:after="0"/>
        <w:ind w:left="0" w:right="0" w:firstLine="54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lineRule="atLeast" w:line="240" w:before="0" w:after="0"/>
        <w:jc w:val="left"/>
        <w:rPr/>
      </w:pPr>
      <w:r>
        <w:rPr/>
        <w:t>  </w:t>
      </w:r>
    </w:p>
    <w:tbl>
      <w:tblPr>
        <w:tblW w:w="3579" w:type="dxa"/>
        <w:jc w:val="left"/>
        <w:tblInd w:w="0" w:type="dxa"/>
        <w:tblLayout w:type="fixed"/>
        <w:tblCellMar>
          <w:top w:w="0" w:type="dxa"/>
          <w:left w:w="0" w:type="dxa"/>
          <w:bottom w:w="0" w:type="dxa"/>
          <w:right w:w="0" w:type="dxa"/>
        </w:tblCellMar>
      </w:tblPr>
      <w:tblGrid>
        <w:gridCol w:w="251"/>
        <w:gridCol w:w="1373"/>
        <w:gridCol w:w="1955"/>
      </w:tblGrid>
      <w:tr>
        <w:trPr/>
        <w:tc>
          <w:tcPr>
            <w:tcW w:w="251"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r>
        <w:trPr/>
        <w:tc>
          <w:tcPr>
            <w:tcW w:w="251"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r>
        <w:trPr/>
        <w:tc>
          <w:tcPr>
            <w:tcW w:w="251" w:type="dxa"/>
            <w:tcBorders/>
            <w:vAlign w:val="center"/>
          </w:tcPr>
          <w:p>
            <w:pPr>
              <w:pStyle w:val="TableContents"/>
              <w:bidi w:val="0"/>
              <w:spacing w:before="0" w:after="0"/>
              <w:jc w:val="left"/>
              <w:rPr/>
            </w:pPr>
            <w:r>
              <w:rPr/>
              <w:t> </w:t>
            </w:r>
          </w:p>
        </w:tc>
        <w:tc>
          <w:tcPr>
            <w:tcW w:w="3328" w:type="dxa"/>
            <w:gridSpan w:val="2"/>
            <w:tcBorders/>
            <w:vAlign w:val="center"/>
          </w:tcPr>
          <w:p>
            <w:pPr>
              <w:pStyle w:val="TableContents"/>
              <w:bidi w:val="0"/>
              <w:spacing w:before="0" w:after="0"/>
              <w:jc w:val="left"/>
              <w:rPr>
                <w:sz w:val="20"/>
              </w:rPr>
            </w:pPr>
            <w:r>
              <w:rPr>
                <w:sz w:val="20"/>
              </w:rPr>
              <w:t>Euronet Worldwide, Inc.</w:t>
            </w:r>
          </w:p>
        </w:tc>
      </w:tr>
      <w:tr>
        <w:trPr/>
        <w:tc>
          <w:tcPr>
            <w:tcW w:w="251"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r>
        <w:trPr/>
        <w:tc>
          <w:tcPr>
            <w:tcW w:w="251"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left"/>
              <w:rPr>
                <w:sz w:val="20"/>
              </w:rPr>
            </w:pPr>
            <w:r>
              <w:rPr>
                <w:sz w:val="20"/>
              </w:rPr>
              <w:t>By:  </w:t>
            </w:r>
          </w:p>
        </w:tc>
        <w:tc>
          <w:tcPr>
            <w:tcW w:w="1955" w:type="dxa"/>
            <w:tcBorders>
              <w:bottom w:val="single" w:sz="6" w:space="0" w:color="000000"/>
            </w:tcBorders>
            <w:tcMar>
              <w:bottom w:w="38" w:type="dxa"/>
            </w:tcMar>
            <w:vAlign w:val="center"/>
          </w:tcPr>
          <w:p>
            <w:pPr>
              <w:pStyle w:val="TableContents"/>
              <w:bidi w:val="0"/>
              <w:spacing w:before="0" w:after="0"/>
              <w:jc w:val="left"/>
              <w:rPr/>
            </w:pPr>
            <w:r>
              <w:rPr/>
              <w:t> </w:t>
            </w:r>
            <w:r>
              <w:rPr>
                <w:sz w:val="20"/>
              </w:rPr>
              <w:t>/s/ Rick L. Weller</w:t>
            </w:r>
          </w:p>
        </w:tc>
      </w:tr>
      <w:tr>
        <w:trPr/>
        <w:tc>
          <w:tcPr>
            <w:tcW w:w="1624" w:type="dxa"/>
            <w:gridSpan w:val="2"/>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r>
              <w:rPr>
                <w:sz w:val="20"/>
              </w:rPr>
              <w:t>Rick L. Weller</w:t>
            </w:r>
          </w:p>
        </w:tc>
      </w:tr>
      <w:tr>
        <w:trPr/>
        <w:tc>
          <w:tcPr>
            <w:tcW w:w="1624" w:type="dxa"/>
            <w:gridSpan w:val="2"/>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r>
              <w:rPr>
                <w:sz w:val="20"/>
              </w:rPr>
              <w:t>Chief Financial Officer</w:t>
            </w:r>
          </w:p>
        </w:tc>
      </w:tr>
      <w:tr>
        <w:trPr/>
        <w:tc>
          <w:tcPr>
            <w:tcW w:w="1624" w:type="dxa"/>
            <w:gridSpan w:val="2"/>
            <w:tcBorders/>
            <w:vAlign w:val="center"/>
          </w:tcPr>
          <w:p>
            <w:pPr>
              <w:pStyle w:val="TableContents"/>
              <w:bidi w:val="0"/>
              <w:spacing w:before="0" w:after="0"/>
              <w:jc w:val="left"/>
              <w:rPr>
                <w:sz w:val="20"/>
              </w:rPr>
            </w:pPr>
            <w:r>
              <w:rPr>
                <w:sz w:val="20"/>
              </w:rPr>
              <w:t xml:space="preserve">Date: </w:t>
            </w:r>
            <w:r>
              <w:rPr>
                <w:rFonts w:ascii="Times New Roman" w:hAnsi="Times New Roman"/>
                <w:sz w:val="20"/>
              </w:rPr>
              <w:t>July 30, 2026</w:t>
            </w:r>
          </w:p>
        </w:tc>
        <w:tc>
          <w:tcPr>
            <w:tcW w:w="195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r>
        <w:br w:type="page"/>
      </w:r>
    </w:p>
    <w:p>
      <w:pPr>
        <w:pStyle w:val="TextBody"/>
        <w:bidi w:val="0"/>
        <w:spacing w:before="0" w:after="0"/>
        <w:jc w:val="left"/>
        <w:rPr/>
      </w:pPr>
      <w:bookmarkStart w:id="3" w:name="ex991_1.htm"/>
      <w:bookmarkStart w:id="4" w:name="ksex991_1"/>
      <w:bookmarkEnd w:id="3"/>
      <w:bookmarkEnd w:id="4"/>
      <w:r>
        <w:rPr/>
        <w:t xml:space="preserve">                                                                  </w:t>
      </w:r>
    </w:p>
    <w:tbl>
      <w:tblPr>
        <w:tblW w:w="2940" w:type="dxa"/>
        <w:jc w:val="left"/>
        <w:tblInd w:w="0" w:type="dxa"/>
        <w:tblLayout w:type="fixed"/>
        <w:tblCellMar>
          <w:top w:w="0" w:type="dxa"/>
          <w:left w:w="0" w:type="dxa"/>
          <w:bottom w:w="0" w:type="dxa"/>
          <w:right w:w="0" w:type="dxa"/>
        </w:tblCellMar>
      </w:tblPr>
      <w:tblGrid>
        <w:gridCol w:w="2625"/>
        <w:gridCol w:w="90"/>
        <w:gridCol w:w="90"/>
        <w:gridCol w:w="135"/>
      </w:tblGrid>
      <w:tr>
        <w:trPr/>
        <w:tc>
          <w:tcPr>
            <w:tcW w:w="2625" w:type="dxa"/>
            <w:tcBorders/>
            <w:vAlign w:val="center"/>
          </w:tcPr>
          <w:p>
            <w:pPr>
              <w:pStyle w:val="TableContents"/>
              <w:bidi w:val="0"/>
              <w:spacing w:before="0" w:after="0"/>
              <w:jc w:val="left"/>
              <w:rPr/>
            </w:pPr>
            <w:r>
              <w:rPr/>
              <w:drawing>
                <wp:inline distT="0" distB="0" distL="0" distR="0">
                  <wp:extent cx="16383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381000"/>
                          </a:xfrm>
                          <a:prstGeom prst="rect">
                            <a:avLst/>
                          </a:prstGeom>
                        </pic:spPr>
                      </pic:pic>
                    </a:graphicData>
                  </a:graphic>
                </wp:inline>
              </w:drawing>
            </w:r>
          </w:p>
        </w:tc>
        <w:tc>
          <w:tcPr>
            <w:tcW w:w="9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pPr>
            <w:r>
              <w:rPr/>
              <w:t> </w:t>
            </w:r>
          </w:p>
        </w:tc>
      </w:tr>
    </w:tbl>
    <w:p>
      <w:pPr>
        <w:pStyle w:val="TextBody"/>
        <w:bidi w:val="0"/>
        <w:spacing w:before="0" w:after="0"/>
        <w:jc w:val="left"/>
        <w:rPr/>
      </w:pPr>
      <w:r>
        <w:rPr/>
        <w:br/>
      </w:r>
      <w:r>
        <w:rPr>
          <w:rFonts w:ascii="Century Gothic" w:hAnsi="Century Gothic"/>
          <w:b/>
          <w:i/>
        </w:rPr>
        <w:t>Contact:</w:t>
      </w:r>
    </w:p>
    <w:p>
      <w:pPr>
        <w:pStyle w:val="TextBody"/>
        <w:bidi w:val="0"/>
        <w:spacing w:before="0" w:after="0"/>
        <w:jc w:val="left"/>
        <w:rPr>
          <w:sz w:val="20"/>
        </w:rPr>
      </w:pPr>
      <w:r>
        <w:rPr>
          <w:rFonts w:ascii="Century Gothic" w:hAnsi="Century Gothic"/>
          <w:sz w:val="20"/>
        </w:rPr>
        <w:t>Euronet Worldwide, Inc.</w:t>
      </w:r>
      <w:r>
        <w:rPr>
          <w:sz w:val="20"/>
        </w:rPr>
        <w:t>                </w:t>
      </w:r>
    </w:p>
    <w:p>
      <w:pPr>
        <w:pStyle w:val="TextBody"/>
        <w:bidi w:val="0"/>
        <w:spacing w:before="0" w:after="0"/>
        <w:jc w:val="left"/>
        <w:rPr>
          <w:sz w:val="20"/>
        </w:rPr>
      </w:pPr>
      <w:r>
        <w:rPr>
          <w:rFonts w:ascii="Century Gothic" w:hAnsi="Century Gothic"/>
          <w:sz w:val="20"/>
        </w:rPr>
        <w:t>Stephanie Taylor</w:t>
      </w:r>
      <w:r>
        <w:rPr>
          <w:sz w:val="20"/>
        </w:rPr>
        <w:t>     </w:t>
      </w:r>
    </w:p>
    <w:p>
      <w:pPr>
        <w:pStyle w:val="TextBody"/>
        <w:bidi w:val="0"/>
        <w:spacing w:before="0" w:after="0"/>
        <w:jc w:val="left"/>
        <w:rPr>
          <w:rFonts w:ascii="Century Gothic" w:hAnsi="Century Gothic"/>
          <w:sz w:val="20"/>
        </w:rPr>
      </w:pPr>
      <w:r>
        <w:rPr>
          <w:rFonts w:ascii="Century Gothic" w:hAnsi="Century Gothic"/>
          <w:sz w:val="20"/>
        </w:rPr>
        <w:t>+1-913-327-4200</w:t>
      </w:r>
    </w:p>
    <w:p>
      <w:pPr>
        <w:pStyle w:val="TextBody"/>
        <w:bidi w:val="0"/>
        <w:spacing w:lineRule="atLeast" w:line="240" w:before="0" w:after="0"/>
        <w:jc w:val="both"/>
        <w:rPr/>
      </w:pPr>
      <w:r>
        <w:rPr/>
        <w:t> </w:t>
      </w:r>
    </w:p>
    <w:p>
      <w:pPr>
        <w:pStyle w:val="TextBody"/>
        <w:bidi w:val="0"/>
        <w:spacing w:lineRule="atLeast" w:line="240" w:before="0" w:after="0"/>
        <w:ind w:left="1080" w:right="0" w:hanging="0"/>
        <w:jc w:val="center"/>
        <w:rPr>
          <w:rFonts w:ascii="Century Gothic" w:hAnsi="Century Gothic"/>
          <w:b/>
        </w:rPr>
      </w:pPr>
      <w:r>
        <w:rPr>
          <w:rFonts w:ascii="Century Gothic" w:hAnsi="Century Gothic"/>
          <w:b/>
        </w:rPr>
        <w:t xml:space="preserve">Euronet Worldwide Reports Second Quarter 2026 Financial Results </w:t>
      </w:r>
    </w:p>
    <w:p>
      <w:pPr>
        <w:pStyle w:val="TextBody"/>
        <w:bidi w:val="0"/>
        <w:spacing w:lineRule="atLeast" w:line="240" w:before="0" w:after="120"/>
        <w:ind w:left="1080" w:right="0" w:hanging="0"/>
        <w:jc w:val="center"/>
        <w:rPr/>
      </w:pPr>
      <w:r>
        <w:rPr/>
        <w:t> </w:t>
      </w:r>
    </w:p>
    <w:p>
      <w:pPr>
        <w:pStyle w:val="TextBody"/>
        <w:bidi w:val="0"/>
        <w:spacing w:lineRule="atLeast" w:line="240" w:before="0" w:after="0"/>
        <w:jc w:val="left"/>
        <w:rPr>
          <w:rFonts w:ascii="Century Gothic" w:hAnsi="Century Gothic"/>
          <w:b/>
          <w:i/>
          <w:sz w:val="22"/>
        </w:rPr>
      </w:pPr>
      <w:r>
        <w:rPr>
          <w:rFonts w:ascii="Century Gothic" w:hAnsi="Century Gothic"/>
          <w:b/>
          <w:i/>
          <w:sz w:val="22"/>
        </w:rPr>
        <w:t>Highlights reflecting key achievements supporting the Company’s strategy and digital goals:</w:t>
      </w:r>
    </w:p>
    <w:p>
      <w:pPr>
        <w:pStyle w:val="TextBody"/>
        <w:bidi w:val="0"/>
        <w:spacing w:lineRule="atLeast" w:line="240" w:before="0" w:after="0"/>
        <w:jc w:val="left"/>
        <w:rPr/>
      </w:pPr>
      <w:r>
        <w:rPr/>
        <w:t> </w:t>
      </w:r>
    </w:p>
    <w:p>
      <w:pPr>
        <w:pStyle w:val="TextBody"/>
        <w:bidi w:val="0"/>
        <w:spacing w:lineRule="atLeast" w:line="240" w:before="0" w:after="0"/>
        <w:ind w:left="720" w:right="0" w:hanging="360"/>
        <w:jc w:val="left"/>
        <w:rPr/>
      </w:pPr>
      <w:r>
        <w:rPr/>
        <w:t></w:t>
      </w:r>
      <w:r>
        <w:rPr>
          <w:caps w:val="false"/>
          <w:smallCaps w:val="false"/>
        </w:rPr>
        <w:t xml:space="preserve">          </w:t>
      </w:r>
      <w:r>
        <w:rPr>
          <w:rFonts w:ascii="Century Gothic" w:hAnsi="Century Gothic"/>
          <w:sz w:val="20"/>
        </w:rPr>
        <w:t>Revenue from the digital accelerators introduced at the Company’s Investor Day</w:t>
      </w:r>
      <w:r>
        <w:rPr>
          <w:rFonts w:ascii="Century Gothic" w:hAnsi="Century Gothic"/>
          <w:sz w:val="13"/>
        </w:rPr>
        <w:t>(1)</w:t>
      </w:r>
      <w:r>
        <w:rPr/>
        <w:t xml:space="preserve"> </w:t>
      </w:r>
      <w:r>
        <w:rPr>
          <w:rFonts w:ascii="Century Gothic" w:hAnsi="Century Gothic"/>
          <w:sz w:val="20"/>
        </w:rPr>
        <w:t>increased 31% year over year and represented 26% of second quarter revenues, demonstrating the strong momentum of these strategic initiatives.</w:t>
      </w:r>
    </w:p>
    <w:p>
      <w:pPr>
        <w:pStyle w:val="TextBody"/>
        <w:bidi w:val="0"/>
        <w:spacing w:lineRule="atLeast" w:line="240" w:before="0" w:after="0"/>
        <w:ind w:left="720" w:right="0" w:hanging="360"/>
        <w:jc w:val="left"/>
        <w:rPr/>
      </w:pPr>
      <w:r>
        <w:rPr/>
        <w:t></w:t>
      </w:r>
      <w:r>
        <w:rPr>
          <w:caps w:val="false"/>
          <w:smallCaps w:val="false"/>
        </w:rPr>
        <w:t xml:space="preserve">          </w:t>
      </w:r>
      <w:r>
        <w:rPr>
          <w:rFonts w:ascii="Century Gothic" w:hAnsi="Century Gothic"/>
          <w:sz w:val="20"/>
        </w:rPr>
        <w:t>Signed CoreCard agreement with Unibanca, a leading bank processor in Peru.</w:t>
      </w:r>
    </w:p>
    <w:p>
      <w:pPr>
        <w:pStyle w:val="TextBody"/>
        <w:bidi w:val="0"/>
        <w:spacing w:lineRule="atLeast" w:line="240" w:before="0" w:after="0"/>
        <w:ind w:left="720" w:right="0" w:hanging="360"/>
        <w:jc w:val="left"/>
        <w:rPr/>
      </w:pPr>
      <w:r>
        <w:rPr/>
        <w:t></w:t>
      </w:r>
      <w:r>
        <w:rPr>
          <w:caps w:val="false"/>
          <w:smallCaps w:val="false"/>
        </w:rPr>
        <w:t xml:space="preserve">          </w:t>
      </w:r>
      <w:r>
        <w:rPr>
          <w:rFonts w:ascii="Century Gothic" w:hAnsi="Century Gothic"/>
          <w:sz w:val="20"/>
        </w:rPr>
        <w:t>Entered a direct-to-publisher distribution agreement with Capcom, a Tier-1 game publisher in Japan.</w:t>
      </w:r>
    </w:p>
    <w:p>
      <w:pPr>
        <w:pStyle w:val="TextBody"/>
        <w:bidi w:val="0"/>
        <w:spacing w:lineRule="atLeast" w:line="240" w:before="0" w:after="0"/>
        <w:ind w:left="720" w:right="0" w:hanging="360"/>
        <w:jc w:val="left"/>
        <w:rPr/>
      </w:pPr>
      <w:r>
        <w:rPr/>
        <w:t></w:t>
      </w:r>
      <w:r>
        <w:rPr>
          <w:caps w:val="false"/>
          <w:smallCaps w:val="false"/>
        </w:rPr>
        <w:t xml:space="preserve">          </w:t>
      </w:r>
      <w:r>
        <w:rPr>
          <w:rFonts w:ascii="Century Gothic" w:hAnsi="Century Gothic"/>
          <w:sz w:val="20"/>
        </w:rPr>
        <w:t>Signed six new Dandelion digital partners, including Mastercard Move.</w:t>
      </w:r>
    </w:p>
    <w:p>
      <w:pPr>
        <w:pStyle w:val="TextBody"/>
        <w:bidi w:val="0"/>
        <w:spacing w:lineRule="atLeast" w:line="240" w:before="0" w:after="0"/>
        <w:ind w:left="720" w:right="0" w:hanging="360"/>
        <w:jc w:val="left"/>
        <w:rPr/>
      </w:pPr>
      <w:r>
        <w:rPr/>
        <w:t></w:t>
      </w:r>
      <w:r>
        <w:rPr>
          <w:caps w:val="false"/>
          <w:smallCaps w:val="false"/>
        </w:rPr>
        <w:t xml:space="preserve">          </w:t>
      </w:r>
      <w:r>
        <w:rPr>
          <w:rFonts w:ascii="Century Gothic" w:hAnsi="Century Gothic"/>
          <w:sz w:val="20"/>
        </w:rPr>
        <w:t xml:space="preserve">Repurchased $50 million of common stock, representing approximately 705,000 shares, during the quarter, reflecting our disciplined approach to capital allocation. </w:t>
      </w:r>
    </w:p>
    <w:p>
      <w:pPr>
        <w:pStyle w:val="TextBody"/>
        <w:bidi w:val="0"/>
        <w:spacing w:lineRule="atLeast" w:line="240" w:before="0" w:after="0"/>
        <w:ind w:left="720" w:right="0" w:hanging="360"/>
        <w:jc w:val="left"/>
        <w:rPr/>
      </w:pPr>
      <w:r>
        <w:rPr/>
        <w:t></w:t>
      </w:r>
      <w:r>
        <w:rPr>
          <w:caps w:val="false"/>
          <w:smallCaps w:val="false"/>
        </w:rPr>
        <w:t xml:space="preserve">          </w:t>
      </w:r>
      <w:r>
        <w:rPr>
          <w:rFonts w:ascii="Century Gothic" w:hAnsi="Century Gothic"/>
          <w:sz w:val="20"/>
        </w:rPr>
        <w:t>Adjusted earnings per share increased 10% year-over-year to $2.82, highlighting the Company’s ability to deliver profitable growth while continuing to invest in long-term strategic initiatives.</w:t>
      </w:r>
    </w:p>
    <w:p>
      <w:pPr>
        <w:pStyle w:val="TextBody"/>
        <w:bidi w:val="0"/>
        <w:spacing w:lineRule="atLeast" w:line="240" w:before="0" w:after="0"/>
        <w:jc w:val="left"/>
        <w:rPr/>
      </w:pPr>
      <w:r>
        <w:rPr/>
        <w:t> </w:t>
      </w:r>
    </w:p>
    <w:p>
      <w:pPr>
        <w:pStyle w:val="TextBody"/>
        <w:bidi w:val="0"/>
        <w:spacing w:lineRule="atLeast" w:line="240" w:before="0" w:after="0"/>
        <w:ind w:left="720" w:right="0" w:hanging="360"/>
        <w:jc w:val="left"/>
        <w:rPr/>
      </w:pPr>
      <w:r>
        <w:rPr>
          <w:rFonts w:ascii="Century Gothic" w:hAnsi="Century Gothic"/>
          <w:sz w:val="20"/>
        </w:rPr>
        <w:t>(1)</w:t>
      </w:r>
      <w:r>
        <w:rPr>
          <w:caps w:val="false"/>
          <w:smallCaps w:val="false"/>
        </w:rPr>
        <w:t xml:space="preserve">    </w:t>
      </w:r>
      <w:r>
        <w:rPr>
          <w:rFonts w:ascii="Century Gothic" w:hAnsi="Century Gothic"/>
          <w:sz w:val="20"/>
        </w:rPr>
        <w:t xml:space="preserve">See the investor day presentation at http://ir.euronetworldwide.com.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b/>
          <w:sz w:val="20"/>
        </w:rPr>
        <w:t>LEAWOOD, KANSAS, USA July 30, 2026</w:t>
      </w:r>
      <w:r>
        <w:rPr/>
        <w:t> </w:t>
      </w:r>
      <w:r>
        <w:rPr>
          <w:rFonts w:ascii="Century Gothic" w:hAnsi="Century Gothic"/>
          <w:b/>
          <w:sz w:val="20"/>
        </w:rPr>
        <w:t>-</w:t>
      </w:r>
      <w:r>
        <w:rPr/>
        <w:t> </w:t>
      </w:r>
      <w:r>
        <w:rPr>
          <w:rFonts w:ascii="Century Gothic" w:hAnsi="Century Gothic"/>
          <w:sz w:val="20"/>
        </w:rPr>
        <w:t>Euronet (“Euronet” or the “Company”) (Nasdaq: EEFT), a global leader in payments processing and cross-border transactions, announced today</w:t>
      </w:r>
      <w:r>
        <w:rPr/>
        <w:t> </w:t>
      </w:r>
      <w:r>
        <w:rPr>
          <w:rFonts w:ascii="Century Gothic" w:hAnsi="Century Gothic"/>
          <w:sz w:val="20"/>
        </w:rPr>
        <w:t>second quarter</w:t>
      </w:r>
      <w:r>
        <w:rPr/>
        <w:t xml:space="preserve"> </w:t>
      </w:r>
      <w:r>
        <w:rPr>
          <w:rFonts w:ascii="Century Gothic" w:hAnsi="Century Gothic"/>
          <w:sz w:val="20"/>
        </w:rPr>
        <w:t>2026 financial results.</w:t>
      </w:r>
    </w:p>
    <w:p>
      <w:pPr>
        <w:pStyle w:val="TextBody"/>
        <w:bidi w:val="0"/>
        <w:spacing w:before="0" w:after="0"/>
        <w:jc w:val="both"/>
        <w:rPr/>
      </w:pPr>
      <w:r>
        <w:rPr/>
        <w:t> </w:t>
      </w:r>
    </w:p>
    <w:p>
      <w:pPr>
        <w:pStyle w:val="TextBody"/>
        <w:bidi w:val="0"/>
        <w:spacing w:lineRule="atLeast" w:line="240" w:before="0" w:after="0"/>
        <w:jc w:val="both"/>
        <w:rPr/>
      </w:pPr>
      <w:r>
        <w:rPr>
          <w:rFonts w:ascii="Century Gothic" w:hAnsi="Century Gothic"/>
          <w:b/>
          <w:sz w:val="22"/>
        </w:rPr>
        <w:t>Euronet reports the following consolidated results for the second quarter</w:t>
      </w:r>
      <w:r>
        <w:rPr/>
        <w:t xml:space="preserve"> </w:t>
      </w:r>
      <w:r>
        <w:rPr>
          <w:rFonts w:ascii="Century Gothic" w:hAnsi="Century Gothic"/>
          <w:b/>
          <w:sz w:val="22"/>
        </w:rPr>
        <w:t>2026</w:t>
      </w:r>
      <w:r>
        <w:rPr/>
        <w:t xml:space="preserve"> </w:t>
      </w:r>
      <w:r>
        <w:rPr>
          <w:rFonts w:ascii="Century Gothic" w:hAnsi="Century Gothic"/>
          <w:b/>
          <w:sz w:val="22"/>
        </w:rPr>
        <w:t>compared with the same period of 2025:</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pPr>
            <w:r>
              <w:rPr/>
              <w:t> </w:t>
            </w:r>
          </w:p>
        </w:tc>
        <w:tc>
          <w:tcPr>
            <w:tcW w:w="10080" w:type="dxa"/>
            <w:tcBorders/>
            <w:vAlign w:val="center"/>
          </w:tcPr>
          <w:p>
            <w:pPr>
              <w:pStyle w:val="TableContents"/>
              <w:bidi w:val="0"/>
              <w:spacing w:before="0" w:after="0"/>
              <w:jc w:val="left"/>
              <w:rPr/>
            </w:pPr>
            <w:r>
              <w:rPr/>
              <w:t> </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Revenues of $1,108.4</w:t>
            </w:r>
            <w:r>
              <w:rPr>
                <w:sz w:val="20"/>
              </w:rPr>
              <w:t> </w:t>
            </w:r>
            <w:r>
              <w:rPr>
                <w:rFonts w:ascii="Century Gothic" w:hAnsi="Century Gothic"/>
                <w:sz w:val="20"/>
              </w:rPr>
              <w:t>million, a</w:t>
            </w:r>
            <w:r>
              <w:rPr>
                <w:sz w:val="20"/>
              </w:rPr>
              <w:t> </w:t>
            </w:r>
            <w:r>
              <w:rPr>
                <w:rFonts w:ascii="Century Gothic" w:hAnsi="Century Gothic"/>
                <w:sz w:val="20"/>
              </w:rPr>
              <w:t>3%</w:t>
            </w:r>
            <w:r>
              <w:rPr>
                <w:sz w:val="20"/>
              </w:rPr>
              <w:t> </w:t>
            </w:r>
            <w:r>
              <w:rPr>
                <w:rFonts w:ascii="Century Gothic" w:hAnsi="Century Gothic"/>
                <w:sz w:val="20"/>
              </w:rPr>
              <w:t>increase</w:t>
            </w:r>
            <w:r>
              <w:rPr>
                <w:sz w:val="20"/>
              </w:rPr>
              <w:t xml:space="preserve"> </w:t>
            </w:r>
            <w:r>
              <w:rPr>
                <w:rFonts w:ascii="Century Gothic" w:hAnsi="Century Gothic"/>
                <w:sz w:val="20"/>
              </w:rPr>
              <w:t>from $1,074.3</w:t>
            </w:r>
            <w:r>
              <w:rPr>
                <w:sz w:val="20"/>
              </w:rPr>
              <w:t xml:space="preserve"> </w:t>
            </w:r>
            <w:r>
              <w:rPr>
                <w:rFonts w:ascii="Century Gothic" w:hAnsi="Century Gothic"/>
                <w:sz w:val="20"/>
              </w:rPr>
              <w:t>million (2%</w:t>
            </w:r>
            <w:r>
              <w:rPr>
                <w:sz w:val="20"/>
              </w:rPr>
              <w:t> </w:t>
            </w:r>
            <w:r>
              <w:rPr>
                <w:rFonts w:ascii="Century Gothic" w:hAnsi="Century Gothic"/>
                <w:sz w:val="20"/>
              </w:rPr>
              <w:t>increase</w:t>
            </w:r>
            <w:r>
              <w:rPr>
                <w:sz w:val="20"/>
              </w:rPr>
              <w:t xml:space="preserve"> </w:t>
            </w:r>
            <w:r>
              <w:rPr>
                <w:rFonts w:ascii="Century Gothic" w:hAnsi="Century Gothic"/>
                <w:sz w:val="20"/>
              </w:rPr>
              <w:t>on a constant currency</w:t>
            </w:r>
            <w:r>
              <w:rPr>
                <w:rFonts w:ascii="Century Gothic" w:hAnsi="Century Gothic"/>
                <w:sz w:val="13"/>
              </w:rPr>
              <w:t>1</w:t>
            </w:r>
            <w:r>
              <w:rPr>
                <w:sz w:val="20"/>
              </w:rPr>
              <w:t xml:space="preserve"> </w:t>
            </w:r>
            <w:r>
              <w:rPr>
                <w:rFonts w:ascii="Century Gothic" w:hAnsi="Century Gothic"/>
                <w:sz w:val="20"/>
              </w:rPr>
              <w:t>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Operating income of $137.1</w:t>
            </w:r>
            <w:r>
              <w:rPr>
                <w:sz w:val="20"/>
              </w:rPr>
              <w:t xml:space="preserve"> </w:t>
            </w:r>
            <w:r>
              <w:rPr>
                <w:rFonts w:ascii="Century Gothic" w:hAnsi="Century Gothic"/>
                <w:sz w:val="20"/>
              </w:rPr>
              <w:t>million, a</w:t>
            </w:r>
            <w:r>
              <w:rPr>
                <w:sz w:val="20"/>
              </w:rPr>
              <w:t> </w:t>
            </w:r>
            <w:r>
              <w:rPr>
                <w:rFonts w:ascii="Century Gothic" w:hAnsi="Century Gothic"/>
                <w:sz w:val="20"/>
              </w:rPr>
              <w:t>14% decrease from $158.6</w:t>
            </w:r>
            <w:r>
              <w:rPr>
                <w:sz w:val="20"/>
              </w:rPr>
              <w:t> </w:t>
            </w:r>
            <w:r>
              <w:rPr>
                <w:rFonts w:ascii="Century Gothic" w:hAnsi="Century Gothic"/>
                <w:sz w:val="20"/>
              </w:rPr>
              <w:t>million (14%</w:t>
            </w:r>
            <w:r>
              <w:rPr>
                <w:sz w:val="20"/>
              </w:rPr>
              <w:t> </w:t>
            </w:r>
            <w:r>
              <w:rPr>
                <w:rFonts w:ascii="Century Gothic" w:hAnsi="Century Gothic"/>
                <w:sz w:val="20"/>
              </w:rPr>
              <w:t>decrease on a constant currency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Adjusted EBITDA</w:t>
            </w:r>
            <w:r>
              <w:rPr>
                <w:rFonts w:ascii="Century Gothic" w:hAnsi="Century Gothic"/>
                <w:sz w:val="13"/>
              </w:rPr>
              <w:t>2</w:t>
            </w:r>
            <w:r>
              <w:rPr>
                <w:sz w:val="20"/>
              </w:rPr>
              <w:t> </w:t>
            </w:r>
            <w:r>
              <w:rPr>
                <w:rFonts w:ascii="Century Gothic" w:hAnsi="Century Gothic"/>
                <w:sz w:val="20"/>
              </w:rPr>
              <w:t>of $192.8</w:t>
            </w:r>
            <w:r>
              <w:rPr>
                <w:sz w:val="20"/>
              </w:rPr>
              <w:t> </w:t>
            </w:r>
            <w:r>
              <w:rPr>
                <w:rFonts w:ascii="Century Gothic" w:hAnsi="Century Gothic"/>
                <w:sz w:val="20"/>
              </w:rPr>
              <w:t>million, a</w:t>
            </w:r>
            <w:r>
              <w:rPr>
                <w:sz w:val="20"/>
              </w:rPr>
              <w:t> </w:t>
            </w:r>
            <w:r>
              <w:rPr>
                <w:rFonts w:ascii="Century Gothic" w:hAnsi="Century Gothic"/>
                <w:sz w:val="20"/>
              </w:rPr>
              <w:t>6% decrease</w:t>
            </w:r>
            <w:r>
              <w:rPr>
                <w:sz w:val="20"/>
              </w:rPr>
              <w:t xml:space="preserve"> </w:t>
            </w:r>
            <w:r>
              <w:rPr>
                <w:rFonts w:ascii="Century Gothic" w:hAnsi="Century Gothic"/>
                <w:sz w:val="20"/>
              </w:rPr>
              <w:t>from $206.2</w:t>
            </w:r>
            <w:r>
              <w:rPr>
                <w:sz w:val="20"/>
              </w:rPr>
              <w:t xml:space="preserve"> </w:t>
            </w:r>
            <w:r>
              <w:rPr>
                <w:rFonts w:ascii="Century Gothic" w:hAnsi="Century Gothic"/>
                <w:sz w:val="20"/>
              </w:rPr>
              <w:t>million (7%</w:t>
            </w:r>
            <w:r>
              <w:rPr>
                <w:sz w:val="20"/>
              </w:rPr>
              <w:t> </w:t>
            </w:r>
            <w:r>
              <w:rPr>
                <w:rFonts w:ascii="Century Gothic" w:hAnsi="Century Gothic"/>
                <w:sz w:val="20"/>
              </w:rPr>
              <w:t>decrease</w:t>
            </w:r>
            <w:r>
              <w:rPr>
                <w:sz w:val="20"/>
              </w:rPr>
              <w:t xml:space="preserve"> </w:t>
            </w:r>
            <w:r>
              <w:rPr>
                <w:rFonts w:ascii="Century Gothic" w:hAnsi="Century Gothic"/>
                <w:sz w:val="20"/>
              </w:rPr>
              <w:t>on a constant currency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Net income attributable to Euronet of $77.4</w:t>
            </w:r>
            <w:r>
              <w:rPr>
                <w:sz w:val="20"/>
              </w:rPr>
              <w:t xml:space="preserve"> </w:t>
            </w:r>
            <w:r>
              <w:rPr>
                <w:rFonts w:ascii="Century Gothic" w:hAnsi="Century Gothic"/>
                <w:sz w:val="20"/>
              </w:rPr>
              <w:t>million, or $1.71</w:t>
            </w:r>
            <w:r>
              <w:rPr>
                <w:sz w:val="20"/>
              </w:rPr>
              <w:t xml:space="preserve"> </w:t>
            </w:r>
            <w:r>
              <w:rPr>
                <w:rFonts w:ascii="Century Gothic" w:hAnsi="Century Gothic"/>
                <w:sz w:val="20"/>
              </w:rPr>
              <w:t>diluted</w:t>
            </w:r>
            <w:r>
              <w:rPr>
                <w:sz w:val="20"/>
              </w:rPr>
              <w:t> </w:t>
            </w:r>
            <w:r>
              <w:rPr>
                <w:rFonts w:ascii="Century Gothic" w:hAnsi="Century Gothic"/>
                <w:sz w:val="20"/>
              </w:rPr>
              <w:t>earnings per share, compared with $97.6</w:t>
            </w:r>
            <w:r>
              <w:rPr>
                <w:sz w:val="20"/>
              </w:rPr>
              <w:t xml:space="preserve"> </w:t>
            </w:r>
            <w:r>
              <w:rPr>
                <w:rFonts w:ascii="Century Gothic" w:hAnsi="Century Gothic"/>
                <w:sz w:val="20"/>
              </w:rPr>
              <w:t>million, or $2.27</w:t>
            </w:r>
            <w:r>
              <w:rPr>
                <w:sz w:val="20"/>
              </w:rPr>
              <w:t> </w:t>
            </w:r>
            <w:r>
              <w:rPr>
                <w:rFonts w:ascii="Century Gothic" w:hAnsi="Century Gothic"/>
                <w:sz w:val="20"/>
              </w:rPr>
              <w:t>diluted earnings per share.</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125"/>
        <w:gridCol w:w="8015"/>
      </w:tblGrid>
      <w:tr>
        <w:trPr/>
        <w:tc>
          <w:tcPr>
            <w:tcW w:w="125" w:type="dxa"/>
            <w:tcBorders/>
            <w:vAlign w:val="center"/>
          </w:tcPr>
          <w:p>
            <w:pPr>
              <w:pStyle w:val="TableContents"/>
              <w:bidi w:val="0"/>
              <w:spacing w:before="0" w:after="0"/>
              <w:jc w:val="center"/>
              <w:rPr/>
            </w:pPr>
            <w:r>
              <w:rPr/>
              <w:t>•</w:t>
            </w:r>
          </w:p>
        </w:tc>
        <w:tc>
          <w:tcPr>
            <w:tcW w:w="8015" w:type="dxa"/>
            <w:tcBorders/>
            <w:vAlign w:val="center"/>
          </w:tcPr>
          <w:p>
            <w:pPr>
              <w:pStyle w:val="TableContents"/>
              <w:bidi w:val="0"/>
              <w:spacing w:before="0" w:after="0"/>
              <w:jc w:val="both"/>
              <w:rPr>
                <w:sz w:val="20"/>
              </w:rPr>
            </w:pPr>
            <w:r>
              <w:rPr>
                <w:rFonts w:ascii="Century Gothic" w:hAnsi="Century Gothic"/>
                <w:sz w:val="20"/>
              </w:rPr>
              <w:t>Adjusted earnings per share</w:t>
            </w:r>
            <w:r>
              <w:rPr>
                <w:rFonts w:ascii="Century Gothic" w:hAnsi="Century Gothic"/>
                <w:sz w:val="13"/>
              </w:rPr>
              <w:t>3</w:t>
            </w:r>
            <w:r>
              <w:rPr>
                <w:sz w:val="20"/>
              </w:rPr>
              <w:t xml:space="preserve"> </w:t>
            </w:r>
            <w:r>
              <w:rPr>
                <w:rFonts w:ascii="Century Gothic" w:hAnsi="Century Gothic"/>
                <w:sz w:val="20"/>
              </w:rPr>
              <w:t>of $2.82</w:t>
            </w:r>
            <w:r>
              <w:rPr>
                <w:sz w:val="20"/>
              </w:rPr>
              <w:t xml:space="preserve"> </w:t>
            </w:r>
            <w:r>
              <w:rPr>
                <w:rFonts w:ascii="Century Gothic" w:hAnsi="Century Gothic"/>
                <w:sz w:val="20"/>
              </w:rPr>
              <w:t>increased 10% from $2.56</w:t>
            </w:r>
            <w:r>
              <w:rPr>
                <w:sz w:val="20"/>
              </w:rPr>
              <w:t xml:space="preserve"> </w:t>
            </w:r>
            <w:r>
              <w:rPr>
                <w:rFonts w:ascii="Century Gothic" w:hAnsi="Century Gothic"/>
                <w:sz w:val="20"/>
              </w:rPr>
              <w:t xml:space="preserve">in the prior year. </w:t>
            </w:r>
          </w:p>
        </w:tc>
      </w:tr>
    </w:tbl>
    <w:p>
      <w:pPr>
        <w:pStyle w:val="TextBody"/>
        <w:pBdr/>
        <w:bidi w:val="0"/>
        <w:spacing w:lineRule="atLeast" w:line="240" w:before="0" w:after="0"/>
        <w:ind w:left="100" w:right="0" w:hanging="0"/>
        <w:jc w:val="both"/>
        <w:rPr/>
      </w:pPr>
      <w:r>
        <w:rPr/>
        <w:t> </w:t>
      </w:r>
    </w:p>
    <w:p>
      <w:pPr>
        <w:pStyle w:val="TextBody"/>
        <w:bidi w:val="0"/>
        <w:spacing w:lineRule="atLeast" w:line="240" w:before="0" w:after="0"/>
        <w:jc w:val="both"/>
        <w:rPr/>
      </w:pPr>
      <w:r>
        <w:rPr>
          <w:rFonts w:ascii="Century Gothic" w:hAnsi="Century Gothic"/>
          <w:sz w:val="20"/>
        </w:rPr>
        <w:t>See the reconciliation of non-GAAP items in the attached financial schedules.</w:t>
      </w:r>
      <w:r>
        <w:rPr/>
        <w:t>  </w:t>
      </w:r>
    </w:p>
    <w:p>
      <w:pPr>
        <w:pStyle w:val="TextBody"/>
        <w:bidi w:val="0"/>
        <w:spacing w:before="0" w:after="0"/>
        <w:jc w:val="left"/>
        <w:rPr/>
      </w:pPr>
      <w:r>
        <w:rPr/>
        <w:t> </w:t>
      </w:r>
    </w:p>
    <w:p>
      <w:pPr>
        <w:pStyle w:val="HorizontalLine"/>
        <w:pBdr>
          <w:bottom w:val="double" w:sz="2" w:space="0" w:color="808080"/>
        </w:pBdr>
        <w:bidi w:val="0"/>
        <w:jc w:val="center"/>
        <w:rPr/>
      </w:pPr>
      <w:r>
        <w:rPr/>
      </w:r>
    </w:p>
    <w:p>
      <w:pPr>
        <w:pStyle w:val="TextBody"/>
        <w:bidi w:val="0"/>
        <w:spacing w:before="0" w:after="0"/>
        <w:jc w:val="left"/>
        <w:rPr/>
      </w:pPr>
      <w:r>
        <w:rPr/>
        <w:t> </w:t>
      </w:r>
    </w:p>
    <w:p>
      <w:pPr>
        <w:pStyle w:val="TextBody"/>
        <w:bidi w:val="0"/>
        <w:spacing w:lineRule="atLeast" w:line="240" w:before="0" w:after="0"/>
        <w:jc w:val="both"/>
        <w:rPr/>
      </w:pPr>
      <w:r>
        <w:rPr/>
        <w:t>“</w:t>
      </w:r>
      <w:r>
        <w:rPr>
          <w:rFonts w:ascii="Century Gothic" w:hAnsi="Century Gothic"/>
          <w:sz w:val="20"/>
        </w:rPr>
        <w:t>Our second quarter results demonstrate the resilience of Euronet's diversified global payments platform and our ability to consistently deliver profitable growth while investing for the future," said Michael J. Brown, Euronet's Chairman and Chief Executive Officer. "We generated 10% growth in adjusted earnings per share, reflecting the steady contribution from our Payments Infrastructure and epay businesses, despite a challenging macro backdrop.</w:t>
      </w:r>
    </w:p>
    <w:p>
      <w:pPr>
        <w:pStyle w:val="TextBody"/>
        <w:bidi w:val="0"/>
        <w:spacing w:lineRule="atLeast" w:line="240" w:before="0" w:after="0"/>
        <w:jc w:val="both"/>
        <w:rPr/>
      </w:pPr>
      <w:r>
        <w:rPr/>
        <w:t> </w:t>
      </w:r>
    </w:p>
    <w:p>
      <w:pPr>
        <w:pStyle w:val="TextBody"/>
        <w:bidi w:val="0"/>
        <w:spacing w:lineRule="atLeast" w:line="240" w:before="0" w:after="0"/>
        <w:jc w:val="both"/>
        <w:rPr>
          <w:rFonts w:ascii="Century Gothic" w:hAnsi="Century Gothic"/>
          <w:sz w:val="20"/>
        </w:rPr>
      </w:pPr>
      <w:r>
        <w:rPr>
          <w:rFonts w:ascii="Century Gothic" w:hAnsi="Century Gothic"/>
          <w:sz w:val="20"/>
        </w:rPr>
        <w:t>One of the most encouraging developments this quarter was the continued momentum of the digital accelerators we introduced at our Investor Day in May. Collectively, revenue from these initiatives increased 31% year-over-year and represented approximately 26% of our total revenue during the quarter, demonstrating that our investments in initiatives such as CoreCard, merchant acquiring, payment processing and digital money transfers are becoming meaningful growth drivers while further diversifying our business.</w:t>
      </w:r>
    </w:p>
    <w:p>
      <w:pPr>
        <w:pStyle w:val="TextBody"/>
        <w:bidi w:val="0"/>
        <w:spacing w:lineRule="atLeast" w:line="240" w:before="0" w:after="0"/>
        <w:jc w:val="both"/>
        <w:rPr/>
      </w:pPr>
      <w:r>
        <w:rPr/>
        <w:t> </w:t>
      </w:r>
    </w:p>
    <w:p>
      <w:pPr>
        <w:pStyle w:val="TextBody"/>
        <w:bidi w:val="0"/>
        <w:spacing w:lineRule="atLeast" w:line="240" w:before="0" w:after="0"/>
        <w:jc w:val="both"/>
        <w:rPr>
          <w:rFonts w:ascii="Century Gothic" w:hAnsi="Century Gothic"/>
          <w:sz w:val="20"/>
        </w:rPr>
      </w:pPr>
      <w:r>
        <w:rPr>
          <w:rFonts w:ascii="Century Gothic" w:hAnsi="Century Gothic"/>
          <w:sz w:val="20"/>
        </w:rPr>
        <w:t>Payments Infrastructure delivered another solid quarter, driven by continued growth in merchant acquiring and payment processing despite seeing some softness in European travel. epay generated another quarter of profitable growth while continuing to expand higher-value digital content and payment products. Cross-Border Payments growth faced pressure from U.S. immigration policy and favorable prior-year dynamics that did not repeat. However, our digital money transfer business and Dandelion platform continued to perform well, reinforcing our confidence in the business’s long-term growth opportunity. Looking ahead, we remain confident in our ability to deliver our full-year adjusted earnings per share growth outlook of 10% to 15%.”</w:t>
      </w:r>
    </w:p>
    <w:p>
      <w:pPr>
        <w:pStyle w:val="TextBody"/>
        <w:bidi w:val="0"/>
        <w:spacing w:lineRule="atLeast" w:line="240" w:before="0" w:after="0"/>
        <w:jc w:val="both"/>
        <w:rPr/>
      </w:pPr>
      <w:r>
        <w:rPr/>
        <w:t> </w:t>
      </w:r>
    </w:p>
    <w:p>
      <w:pPr>
        <w:pStyle w:val="TextBody"/>
        <w:bidi w:val="0"/>
        <w:spacing w:lineRule="atLeast" w:line="240" w:before="0" w:after="0"/>
        <w:jc w:val="both"/>
        <w:rPr>
          <w:rFonts w:ascii="Century Gothic" w:hAnsi="Century Gothic"/>
          <w:b/>
          <w:sz w:val="22"/>
        </w:rPr>
      </w:pPr>
      <w:r>
        <w:rPr>
          <w:rFonts w:ascii="Century Gothic" w:hAnsi="Century Gothic"/>
          <w:b/>
          <w:sz w:val="22"/>
        </w:rPr>
        <w:t>Segment and Other Results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20"/>
        </w:rPr>
        <w:t>As unveiled at its Investor Day, the Company has changed the name of its EFT Processing Segment to Payments Infrastructure and the name of its Money Transfer Segment to Cross-Border Payments.</w:t>
      </w:r>
      <w:r>
        <w:rPr/>
        <w:t xml:space="preserve">  </w:t>
      </w:r>
      <w:r>
        <w:rPr>
          <w:rFonts w:ascii="Century Gothic" w:hAnsi="Century Gothic"/>
          <w:sz w:val="20"/>
        </w:rPr>
        <w:t>The Company thinks these name changes more accurately reflect the products and services provided by these segments.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b/>
          <w:sz w:val="22"/>
        </w:rPr>
        <w:t>The Payments Infrastructure Segment</w:t>
      </w:r>
      <w:r>
        <w:rPr/>
        <w:t xml:space="preserve"> </w:t>
      </w:r>
      <w:r>
        <w:rPr>
          <w:rFonts w:ascii="Century Gothic" w:hAnsi="Century Gothic"/>
          <w:sz w:val="20"/>
        </w:rPr>
        <w:t>(formerly EFT Processing Segment) reports the following results for second quarter 2026 compared with the same period or date in 2025:</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 </w:t>
            </w:r>
          </w:p>
        </w:tc>
        <w:tc>
          <w:tcPr>
            <w:tcW w:w="10080" w:type="dxa"/>
            <w:tcBorders/>
            <w:vAlign w:val="center"/>
          </w:tcPr>
          <w:p>
            <w:pPr>
              <w:pStyle w:val="TableContents"/>
              <w:bidi w:val="0"/>
              <w:spacing w:before="0" w:after="0"/>
              <w:jc w:val="left"/>
              <w:rPr/>
            </w:pPr>
            <w:r>
              <w:rPr/>
              <w:t> </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lineRule="atLeast" w:line="240" w:before="0" w:after="0"/>
              <w:jc w:val="both"/>
              <w:rPr/>
            </w:pPr>
            <w:r>
              <w:rPr>
                <w:rFonts w:ascii="Century Gothic" w:hAnsi="Century Gothic"/>
                <w:sz w:val="20"/>
              </w:rPr>
              <w:t>Revenues of $377.1</w:t>
            </w:r>
            <w:r>
              <w:rPr/>
              <w:t xml:space="preserve"> </w:t>
            </w:r>
            <w:r>
              <w:rPr>
                <w:rFonts w:ascii="Century Gothic" w:hAnsi="Century Gothic"/>
                <w:sz w:val="20"/>
              </w:rPr>
              <w:t>million, an</w:t>
            </w:r>
            <w:r>
              <w:rPr/>
              <w:t> </w:t>
            </w:r>
            <w:r>
              <w:rPr>
                <w:rFonts w:ascii="Century Gothic" w:hAnsi="Century Gothic"/>
                <w:sz w:val="20"/>
              </w:rPr>
              <w:t>11%</w:t>
            </w:r>
            <w:r>
              <w:rPr/>
              <w:t> </w:t>
            </w:r>
            <w:r>
              <w:rPr>
                <w:rFonts w:ascii="Century Gothic" w:hAnsi="Century Gothic"/>
                <w:sz w:val="20"/>
              </w:rPr>
              <w:t>increase</w:t>
            </w:r>
            <w:r>
              <w:rPr/>
              <w:t xml:space="preserve"> </w:t>
            </w:r>
            <w:r>
              <w:rPr>
                <w:rFonts w:ascii="Century Gothic" w:hAnsi="Century Gothic"/>
                <w:sz w:val="20"/>
              </w:rPr>
              <w:t>from $338.5</w:t>
            </w:r>
            <w:r>
              <w:rPr/>
              <w:t> </w:t>
            </w:r>
            <w:r>
              <w:rPr>
                <w:rFonts w:ascii="Century Gothic" w:hAnsi="Century Gothic"/>
                <w:sz w:val="20"/>
              </w:rPr>
              <w:t>million (10%</w:t>
            </w:r>
            <w:r>
              <w:rPr/>
              <w:t> </w:t>
            </w:r>
            <w:r>
              <w:rPr>
                <w:rFonts w:ascii="Century Gothic" w:hAnsi="Century Gothic"/>
                <w:sz w:val="20"/>
              </w:rPr>
              <w:t>increase</w:t>
            </w:r>
            <w:r>
              <w:rPr/>
              <w:t xml:space="preserve"> </w:t>
            </w:r>
            <w:r>
              <w:rPr>
                <w:rFonts w:ascii="Century Gothic" w:hAnsi="Century Gothic"/>
                <w:sz w:val="20"/>
              </w:rPr>
              <w:t>on a constant currency</w:t>
            </w:r>
            <w:r>
              <w:rPr/>
              <w:t> </w:t>
            </w:r>
            <w:r>
              <w:rPr>
                <w:rFonts w:ascii="Century Gothic" w:hAnsi="Century Gothic"/>
                <w:sz w:val="20"/>
              </w:rPr>
              <w:t>basis).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lineRule="atLeast" w:line="240" w:before="0" w:after="0"/>
              <w:jc w:val="both"/>
              <w:rPr/>
            </w:pPr>
            <w:r>
              <w:rPr>
                <w:rFonts w:ascii="Century Gothic" w:hAnsi="Century Gothic"/>
                <w:sz w:val="20"/>
              </w:rPr>
              <w:t>Operating income</w:t>
            </w:r>
            <w:r>
              <w:rPr/>
              <w:t> </w:t>
            </w:r>
            <w:r>
              <w:rPr>
                <w:rFonts w:ascii="Century Gothic" w:hAnsi="Century Gothic"/>
                <w:sz w:val="20"/>
              </w:rPr>
              <w:t>of $86.1</w:t>
            </w:r>
            <w:r>
              <w:rPr/>
              <w:t xml:space="preserve"> </w:t>
            </w:r>
            <w:r>
              <w:rPr>
                <w:rFonts w:ascii="Century Gothic" w:hAnsi="Century Gothic"/>
                <w:sz w:val="20"/>
              </w:rPr>
              <w:t>million, a 2% increase from $84.6</w:t>
            </w:r>
            <w:r>
              <w:rPr/>
              <w:t> </w:t>
            </w:r>
            <w:r>
              <w:rPr>
                <w:rFonts w:ascii="Century Gothic" w:hAnsi="Century Gothic"/>
                <w:sz w:val="20"/>
              </w:rPr>
              <w:t>million (2%</w:t>
            </w:r>
            <w:r>
              <w:rPr/>
              <w:t> </w:t>
            </w:r>
            <w:r>
              <w:rPr>
                <w:rFonts w:ascii="Century Gothic" w:hAnsi="Century Gothic"/>
                <w:sz w:val="20"/>
              </w:rPr>
              <w:t>increase</w:t>
            </w:r>
            <w:r>
              <w:rPr/>
              <w:t xml:space="preserve"> </w:t>
            </w:r>
            <w:r>
              <w:rPr>
                <w:rFonts w:ascii="Century Gothic" w:hAnsi="Century Gothic"/>
                <w:sz w:val="20"/>
              </w:rPr>
              <w:t>on a constant currency basis).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lineRule="atLeast" w:line="240" w:before="0" w:after="0"/>
              <w:jc w:val="both"/>
              <w:rPr/>
            </w:pPr>
            <w:r>
              <w:rPr>
                <w:rFonts w:ascii="Century Gothic" w:hAnsi="Century Gothic"/>
                <w:sz w:val="20"/>
              </w:rPr>
              <w:t>Adjusted EBITDA of $117.9</w:t>
            </w:r>
            <w:r>
              <w:rPr/>
              <w:t> </w:t>
            </w:r>
            <w:r>
              <w:rPr>
                <w:rFonts w:ascii="Century Gothic" w:hAnsi="Century Gothic"/>
                <w:sz w:val="20"/>
              </w:rPr>
              <w:t>million, a</w:t>
            </w:r>
            <w:r>
              <w:rPr/>
              <w:t> </w:t>
            </w:r>
            <w:r>
              <w:rPr>
                <w:rFonts w:ascii="Century Gothic" w:hAnsi="Century Gothic"/>
                <w:sz w:val="20"/>
              </w:rPr>
              <w:t>7%</w:t>
            </w:r>
            <w:r>
              <w:rPr/>
              <w:t> </w:t>
            </w:r>
            <w:r>
              <w:rPr>
                <w:rFonts w:ascii="Century Gothic" w:hAnsi="Century Gothic"/>
                <w:sz w:val="20"/>
              </w:rPr>
              <w:t>increase</w:t>
            </w:r>
            <w:r>
              <w:rPr/>
              <w:t xml:space="preserve"> </w:t>
            </w:r>
            <w:r>
              <w:rPr>
                <w:rFonts w:ascii="Century Gothic" w:hAnsi="Century Gothic"/>
                <w:sz w:val="20"/>
              </w:rPr>
              <w:t>from $110.6</w:t>
            </w:r>
            <w:r>
              <w:rPr/>
              <w:t> </w:t>
            </w:r>
            <w:r>
              <w:rPr>
                <w:rFonts w:ascii="Century Gothic" w:hAnsi="Century Gothic"/>
                <w:sz w:val="20"/>
              </w:rPr>
              <w:t>million (6% increase</w:t>
            </w:r>
            <w:r>
              <w:rPr/>
              <w:t xml:space="preserve"> </w:t>
            </w:r>
            <w:r>
              <w:rPr>
                <w:rFonts w:ascii="Century Gothic" w:hAnsi="Century Gothic"/>
                <w:sz w:val="20"/>
              </w:rPr>
              <w:t>on a constant currency basis).</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lineRule="atLeast" w:line="240" w:before="0" w:after="0"/>
              <w:jc w:val="both"/>
              <w:rPr/>
            </w:pPr>
            <w:r>
              <w:rPr>
                <w:rFonts w:ascii="Century Gothic" w:hAnsi="Century Gothic"/>
                <w:sz w:val="20"/>
              </w:rPr>
              <w:t>Total of 57,814</w:t>
            </w:r>
            <w:r>
              <w:rPr/>
              <w:t> </w:t>
            </w:r>
            <w:r>
              <w:rPr>
                <w:rFonts w:ascii="Century Gothic" w:hAnsi="Century Gothic"/>
                <w:sz w:val="20"/>
              </w:rPr>
              <w:t>installed</w:t>
            </w:r>
            <w:r>
              <w:rPr/>
              <w:t> </w:t>
            </w:r>
            <w:r>
              <w:rPr>
                <w:rFonts w:ascii="Century Gothic" w:hAnsi="Century Gothic"/>
                <w:sz w:val="20"/>
              </w:rPr>
              <w:t>ATMs</w:t>
            </w:r>
            <w:r>
              <w:rPr/>
              <w:t> </w:t>
            </w:r>
            <w:r>
              <w:rPr>
                <w:rFonts w:ascii="Century Gothic" w:hAnsi="Century Gothic"/>
                <w:sz w:val="20"/>
              </w:rPr>
              <w:t>as of June 30, 2026, a</w:t>
            </w:r>
            <w:r>
              <w:rPr/>
              <w:t> </w:t>
            </w:r>
            <w:r>
              <w:rPr>
                <w:rFonts w:ascii="Century Gothic" w:hAnsi="Century Gothic"/>
                <w:sz w:val="20"/>
              </w:rPr>
              <w:t>1%</w:t>
            </w:r>
            <w:r>
              <w:rPr/>
              <w:t> </w:t>
            </w:r>
            <w:r>
              <w:rPr>
                <w:rFonts w:ascii="Century Gothic" w:hAnsi="Century Gothic"/>
                <w:sz w:val="20"/>
              </w:rPr>
              <w:t>increase from 57,326. Total of 57,071</w:t>
            </w:r>
            <w:r>
              <w:rPr/>
              <w:t> </w:t>
            </w:r>
            <w:r>
              <w:rPr>
                <w:rFonts w:ascii="Century Gothic" w:hAnsi="Century Gothic"/>
                <w:sz w:val="20"/>
              </w:rPr>
              <w:t>active ATMs as of</w:t>
            </w:r>
            <w:r>
              <w:rPr/>
              <w:t> </w:t>
            </w:r>
            <w:r>
              <w:rPr>
                <w:rFonts w:ascii="Century Gothic" w:hAnsi="Century Gothic"/>
                <w:sz w:val="20"/>
              </w:rPr>
              <w:t>June 30, 2026, a 1%</w:t>
            </w:r>
            <w:r>
              <w:rPr/>
              <w:t> </w:t>
            </w:r>
            <w:r>
              <w:rPr>
                <w:rFonts w:ascii="Century Gothic" w:hAnsi="Century Gothic"/>
                <w:sz w:val="20"/>
              </w:rPr>
              <w:t>increase</w:t>
            </w:r>
            <w:r>
              <w:rPr/>
              <w:t xml:space="preserve"> </w:t>
            </w:r>
            <w:r>
              <w:rPr>
                <w:rFonts w:ascii="Century Gothic" w:hAnsi="Century Gothic"/>
                <w:sz w:val="20"/>
              </w:rPr>
              <w:t>from 56,760</w:t>
            </w:r>
            <w:r>
              <w:rPr/>
              <w:t> </w:t>
            </w:r>
            <w:r>
              <w:rPr>
                <w:rFonts w:ascii="Century Gothic" w:hAnsi="Century Gothic"/>
                <w:sz w:val="20"/>
              </w:rPr>
              <w:t>as of June 30, 2025.</w:t>
            </w:r>
          </w:p>
        </w:tc>
      </w:tr>
    </w:tbl>
    <w:p>
      <w:pPr>
        <w:pStyle w:val="TextBody"/>
        <w:bidi w:val="0"/>
        <w:spacing w:lineRule="atLeast" w:line="264" w:before="0" w:after="0"/>
        <w:jc w:val="both"/>
        <w:rPr/>
      </w:pPr>
      <w:r>
        <w:rPr/>
        <w:t> </w:t>
      </w:r>
    </w:p>
    <w:p>
      <w:pPr>
        <w:pStyle w:val="TextBody"/>
        <w:bidi w:val="0"/>
        <w:spacing w:lineRule="atLeast" w:line="264" w:before="0" w:after="0"/>
        <w:jc w:val="both"/>
        <w:rPr>
          <w:rFonts w:ascii="Century Gothic" w:hAnsi="Century Gothic"/>
          <w:sz w:val="20"/>
        </w:rPr>
      </w:pPr>
      <w:r>
        <w:rPr>
          <w:rFonts w:ascii="Century Gothic" w:hAnsi="Century Gothic"/>
          <w:sz w:val="20"/>
        </w:rPr>
        <w:t>The Payments Infrastructure (PI) Segment delivered constant currency revenue growth of 10% in the second quarter of 2026. Revenue growth was driven by continued growth in acquiring, Ren infrastructure sales and contributions from the CoreCard acquisition completed in the fourth quarter of 2025, tempered somewhat by softer European travel spend. Constant currency Adjusted EBITDA increased 6%, reflecting the incremental earnings contribution from the revenue drivers, supported by a consistent to improving operating expense profile. Constant currency operating income grew 2%, largely due to an increase of approximately $4.7 million in non-cash purchase price amortization related to the CoreCard acquisition; absent this increase, constant currency operating income for the segment would have grown by 7%.</w:t>
      </w:r>
    </w:p>
    <w:p>
      <w:pPr>
        <w:pStyle w:val="TextBody"/>
        <w:bidi w:val="0"/>
        <w:spacing w:lineRule="atLeast" w:line="264" w:before="0" w:after="0"/>
        <w:jc w:val="both"/>
        <w:rPr/>
      </w:pPr>
      <w:r>
        <w:rPr/>
        <w:t> </w:t>
      </w:r>
    </w:p>
    <w:p>
      <w:pPr>
        <w:pStyle w:val="TextBody"/>
        <w:bidi w:val="0"/>
        <w:spacing w:lineRule="atLeast" w:line="264" w:before="0" w:after="0"/>
        <w:jc w:val="both"/>
        <w:rPr>
          <w:rFonts w:ascii="Century Gothic" w:hAnsi="Century Gothic"/>
          <w:sz w:val="20"/>
        </w:rPr>
      </w:pPr>
      <w:r>
        <w:rPr>
          <w:rFonts w:ascii="Century Gothic" w:hAnsi="Century Gothic"/>
          <w:sz w:val="20"/>
        </w:rPr>
        <w:t>Network expansion was modest, with installed ATMs increasing 1% to 57,814 and active ATMs up 1% to 57,071.</w:t>
      </w:r>
    </w:p>
    <w:p>
      <w:pPr>
        <w:pStyle w:val="TextBody"/>
        <w:bidi w:val="0"/>
        <w:spacing w:lineRule="atLeast" w:line="264" w:before="0" w:after="0"/>
        <w:jc w:val="both"/>
        <w:rPr/>
      </w:pPr>
      <w:r>
        <w:rPr/>
        <w:t> </w:t>
      </w:r>
    </w:p>
    <w:p>
      <w:pPr>
        <w:pStyle w:val="HorizontalLine"/>
        <w:pBdr>
          <w:bottom w:val="double" w:sz="2" w:space="0" w:color="808080"/>
        </w:pBdr>
        <w:bidi w:val="0"/>
        <w:jc w:val="center"/>
        <w:rPr/>
      </w:pPr>
      <w:r>
        <w:rPr/>
      </w:r>
    </w:p>
    <w:p>
      <w:pPr>
        <w:pStyle w:val="TextBody"/>
        <w:bidi w:val="0"/>
        <w:spacing w:before="0" w:after="0"/>
        <w:jc w:val="left"/>
        <w:rPr/>
      </w:pPr>
      <w:r>
        <w:rPr/>
        <w:t> </w:t>
      </w:r>
    </w:p>
    <w:p>
      <w:pPr>
        <w:pStyle w:val="TextBody"/>
        <w:bidi w:val="0"/>
        <w:spacing w:lineRule="atLeast" w:line="240" w:before="0" w:after="0"/>
        <w:jc w:val="both"/>
        <w:rPr/>
      </w:pPr>
      <w:r>
        <w:rPr>
          <w:rFonts w:ascii="Century Gothic" w:hAnsi="Century Gothic"/>
          <w:b/>
          <w:sz w:val="22"/>
        </w:rPr>
        <w:t>The epay Segment</w:t>
      </w:r>
      <w:r>
        <w:rPr/>
        <w:t> </w:t>
      </w:r>
      <w:r>
        <w:rPr>
          <w:rFonts w:ascii="Century Gothic" w:hAnsi="Century Gothic"/>
          <w:sz w:val="20"/>
        </w:rPr>
        <w:t>reports the following results for the</w:t>
      </w:r>
      <w:r>
        <w:rPr/>
        <w:t> </w:t>
      </w:r>
      <w:r>
        <w:rPr>
          <w:rFonts w:ascii="Century Gothic" w:hAnsi="Century Gothic"/>
          <w:sz w:val="20"/>
        </w:rPr>
        <w:t>second quarter 2026</w:t>
      </w:r>
      <w:r>
        <w:rPr/>
        <w:t> </w:t>
      </w:r>
      <w:r>
        <w:rPr>
          <w:rFonts w:ascii="Century Gothic" w:hAnsi="Century Gothic"/>
          <w:sz w:val="20"/>
        </w:rPr>
        <w:t>compared with the same period or date in</w:t>
      </w:r>
      <w:r>
        <w:rPr/>
        <w:t> </w:t>
      </w:r>
      <w:r>
        <w:rPr>
          <w:rFonts w:ascii="Century Gothic" w:hAnsi="Century Gothic"/>
          <w:sz w:val="20"/>
        </w:rPr>
        <w:t>2025:</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pPr>
            <w:r>
              <w:rPr/>
              <w:t> </w:t>
            </w:r>
          </w:p>
        </w:tc>
        <w:tc>
          <w:tcPr>
            <w:tcW w:w="10080" w:type="dxa"/>
            <w:tcBorders/>
            <w:vAlign w:val="center"/>
          </w:tcPr>
          <w:p>
            <w:pPr>
              <w:pStyle w:val="TableContents"/>
              <w:bidi w:val="0"/>
              <w:spacing w:before="0" w:after="0"/>
              <w:jc w:val="left"/>
              <w:rPr/>
            </w:pPr>
            <w:r>
              <w:rPr/>
              <w:t> </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Revenues of $294.0</w:t>
            </w:r>
            <w:r>
              <w:rPr>
                <w:sz w:val="20"/>
              </w:rPr>
              <w:t xml:space="preserve"> </w:t>
            </w:r>
            <w:r>
              <w:rPr>
                <w:rFonts w:ascii="Century Gothic" w:hAnsi="Century Gothic"/>
                <w:sz w:val="20"/>
              </w:rPr>
              <w:t>million, a</w:t>
            </w:r>
            <w:r>
              <w:rPr>
                <w:sz w:val="20"/>
              </w:rPr>
              <w:t> </w:t>
            </w:r>
            <w:r>
              <w:rPr>
                <w:rFonts w:ascii="Century Gothic" w:hAnsi="Century Gothic"/>
                <w:sz w:val="20"/>
              </w:rPr>
              <w:t>5%</w:t>
            </w:r>
            <w:r>
              <w:rPr>
                <w:sz w:val="20"/>
              </w:rPr>
              <w:t> </w:t>
            </w:r>
            <w:r>
              <w:rPr>
                <w:rFonts w:ascii="Century Gothic" w:hAnsi="Century Gothic"/>
                <w:sz w:val="20"/>
              </w:rPr>
              <w:t>increase</w:t>
            </w:r>
            <w:r>
              <w:rPr>
                <w:sz w:val="20"/>
              </w:rPr>
              <w:t> </w:t>
            </w:r>
            <w:r>
              <w:rPr>
                <w:rFonts w:ascii="Century Gothic" w:hAnsi="Century Gothic"/>
                <w:sz w:val="20"/>
              </w:rPr>
              <w:t>from $280.1</w:t>
            </w:r>
            <w:r>
              <w:rPr>
                <w:sz w:val="20"/>
              </w:rPr>
              <w:t> </w:t>
            </w:r>
            <w:r>
              <w:rPr>
                <w:rFonts w:ascii="Century Gothic" w:hAnsi="Century Gothic"/>
                <w:sz w:val="20"/>
              </w:rPr>
              <w:t>million (4%</w:t>
            </w:r>
            <w:r>
              <w:rPr>
                <w:sz w:val="20"/>
              </w:rPr>
              <w:t> </w:t>
            </w:r>
            <w:r>
              <w:rPr>
                <w:rFonts w:ascii="Century Gothic" w:hAnsi="Century Gothic"/>
                <w:sz w:val="20"/>
              </w:rPr>
              <w:t>increase</w:t>
            </w:r>
            <w:r>
              <w:rPr>
                <w:sz w:val="20"/>
              </w:rPr>
              <w:t> </w:t>
            </w:r>
            <w:r>
              <w:rPr>
                <w:rFonts w:ascii="Century Gothic" w:hAnsi="Century Gothic"/>
                <w:sz w:val="20"/>
              </w:rPr>
              <w:t>on a constant currency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Operating income of $32.8</w:t>
            </w:r>
            <w:r>
              <w:rPr>
                <w:sz w:val="20"/>
              </w:rPr>
              <w:t xml:space="preserve"> </w:t>
            </w:r>
            <w:r>
              <w:rPr>
                <w:rFonts w:ascii="Century Gothic" w:hAnsi="Century Gothic"/>
                <w:sz w:val="20"/>
              </w:rPr>
              <w:t>million, a</w:t>
            </w:r>
            <w:r>
              <w:rPr>
                <w:sz w:val="20"/>
              </w:rPr>
              <w:t> </w:t>
            </w:r>
            <w:r>
              <w:rPr>
                <w:rFonts w:ascii="Century Gothic" w:hAnsi="Century Gothic"/>
                <w:sz w:val="20"/>
              </w:rPr>
              <w:t>5%</w:t>
            </w:r>
            <w:r>
              <w:rPr>
                <w:sz w:val="20"/>
              </w:rPr>
              <w:t> </w:t>
            </w:r>
            <w:r>
              <w:rPr>
                <w:rFonts w:ascii="Century Gothic" w:hAnsi="Century Gothic"/>
                <w:sz w:val="20"/>
              </w:rPr>
              <w:t>increase</w:t>
            </w:r>
            <w:r>
              <w:rPr>
                <w:sz w:val="20"/>
              </w:rPr>
              <w:t> </w:t>
            </w:r>
            <w:r>
              <w:rPr>
                <w:rFonts w:ascii="Century Gothic" w:hAnsi="Century Gothic"/>
                <w:sz w:val="20"/>
              </w:rPr>
              <w:t>from $31.1</w:t>
            </w:r>
            <w:r>
              <w:rPr>
                <w:sz w:val="20"/>
              </w:rPr>
              <w:t> </w:t>
            </w:r>
            <w:r>
              <w:rPr>
                <w:rFonts w:ascii="Century Gothic" w:hAnsi="Century Gothic"/>
                <w:sz w:val="20"/>
              </w:rPr>
              <w:t>million (5%</w:t>
            </w:r>
            <w:r>
              <w:rPr>
                <w:sz w:val="20"/>
              </w:rPr>
              <w:t> </w:t>
            </w:r>
            <w:r>
              <w:rPr>
                <w:rFonts w:ascii="Century Gothic" w:hAnsi="Century Gothic"/>
                <w:sz w:val="20"/>
              </w:rPr>
              <w:t>increase</w:t>
            </w:r>
            <w:r>
              <w:rPr>
                <w:sz w:val="20"/>
              </w:rPr>
              <w:t> </w:t>
            </w:r>
            <w:r>
              <w:rPr>
                <w:rFonts w:ascii="Century Gothic" w:hAnsi="Century Gothic"/>
                <w:sz w:val="20"/>
              </w:rPr>
              <w:t>on a constant currency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Adjusted EBITDA of $34.4</w:t>
            </w:r>
            <w:r>
              <w:rPr>
                <w:sz w:val="20"/>
              </w:rPr>
              <w:t xml:space="preserve"> </w:t>
            </w:r>
            <w:r>
              <w:rPr>
                <w:rFonts w:ascii="Century Gothic" w:hAnsi="Century Gothic"/>
                <w:sz w:val="20"/>
              </w:rPr>
              <w:t>million, a 5% increase</w:t>
            </w:r>
            <w:r>
              <w:rPr>
                <w:sz w:val="20"/>
              </w:rPr>
              <w:t xml:space="preserve"> </w:t>
            </w:r>
            <w:r>
              <w:rPr>
                <w:rFonts w:ascii="Century Gothic" w:hAnsi="Century Gothic"/>
                <w:sz w:val="20"/>
              </w:rPr>
              <w:t>from $32.8</w:t>
            </w:r>
            <w:r>
              <w:rPr>
                <w:sz w:val="20"/>
              </w:rPr>
              <w:t xml:space="preserve"> </w:t>
            </w:r>
            <w:r>
              <w:rPr>
                <w:rFonts w:ascii="Century Gothic" w:hAnsi="Century Gothic"/>
                <w:sz w:val="20"/>
              </w:rPr>
              <w:t>million (5%</w:t>
            </w:r>
            <w:r>
              <w:rPr>
                <w:sz w:val="20"/>
              </w:rPr>
              <w:t> </w:t>
            </w:r>
            <w:r>
              <w:rPr>
                <w:rFonts w:ascii="Century Gothic" w:hAnsi="Century Gothic"/>
                <w:sz w:val="20"/>
              </w:rPr>
              <w:t>increase</w:t>
            </w:r>
            <w:r>
              <w:rPr>
                <w:sz w:val="20"/>
              </w:rPr>
              <w:t> </w:t>
            </w:r>
            <w:r>
              <w:rPr>
                <w:rFonts w:ascii="Century Gothic" w:hAnsi="Century Gothic"/>
                <w:sz w:val="20"/>
              </w:rPr>
              <w:t>on a constant currency basis).</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350"/>
      </w:tblGrid>
      <w:tr>
        <w:trPr/>
        <w:tc>
          <w:tcPr>
            <w:tcW w:w="125" w:type="dxa"/>
            <w:tcBorders/>
            <w:vAlign w:val="center"/>
          </w:tcPr>
          <w:p>
            <w:pPr>
              <w:pStyle w:val="TableContents"/>
              <w:bidi w:val="0"/>
              <w:spacing w:before="0" w:after="0"/>
              <w:jc w:val="center"/>
              <w:rPr/>
            </w:pPr>
            <w:r>
              <w:rPr/>
              <w:t>•</w:t>
            </w:r>
          </w:p>
        </w:tc>
        <w:tc>
          <w:tcPr>
            <w:tcW w:w="6350" w:type="dxa"/>
            <w:tcBorders/>
            <w:vAlign w:val="center"/>
          </w:tcPr>
          <w:p>
            <w:pPr>
              <w:pStyle w:val="TableContents"/>
              <w:bidi w:val="0"/>
              <w:spacing w:before="0" w:after="0"/>
              <w:jc w:val="left"/>
              <w:rPr>
                <w:sz w:val="20"/>
              </w:rPr>
            </w:pPr>
            <w:r>
              <w:rPr>
                <w:rFonts w:ascii="Century Gothic" w:hAnsi="Century Gothic"/>
                <w:sz w:val="20"/>
              </w:rPr>
              <w:t>Transactions of 986</w:t>
            </w:r>
            <w:r>
              <w:rPr>
                <w:sz w:val="20"/>
              </w:rPr>
              <w:t xml:space="preserve"> </w:t>
            </w:r>
            <w:r>
              <w:rPr>
                <w:rFonts w:ascii="Century Gothic" w:hAnsi="Century Gothic"/>
                <w:sz w:val="20"/>
              </w:rPr>
              <w:t>million, an 11% decrease</w:t>
            </w:r>
            <w:r>
              <w:rPr>
                <w:sz w:val="20"/>
              </w:rPr>
              <w:t xml:space="preserve"> </w:t>
            </w:r>
            <w:r>
              <w:rPr>
                <w:rFonts w:ascii="Century Gothic" w:hAnsi="Century Gothic"/>
                <w:sz w:val="20"/>
              </w:rPr>
              <w:t>from 1,107</w:t>
            </w:r>
            <w:r>
              <w:rPr>
                <w:sz w:val="20"/>
              </w:rPr>
              <w:t xml:space="preserve"> </w:t>
            </w:r>
            <w:r>
              <w:rPr>
                <w:rFonts w:ascii="Century Gothic" w:hAnsi="Century Gothic"/>
                <w:sz w:val="20"/>
              </w:rPr>
              <w:t>million.</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125"/>
        <w:gridCol w:w="8795"/>
      </w:tblGrid>
      <w:tr>
        <w:trPr/>
        <w:tc>
          <w:tcPr>
            <w:tcW w:w="125" w:type="dxa"/>
            <w:tcBorders/>
            <w:vAlign w:val="center"/>
          </w:tcPr>
          <w:p>
            <w:pPr>
              <w:pStyle w:val="TableContents"/>
              <w:bidi w:val="0"/>
              <w:spacing w:before="0" w:after="0"/>
              <w:jc w:val="center"/>
              <w:rPr/>
            </w:pPr>
            <w:r>
              <w:rPr/>
              <w:t>•</w:t>
            </w:r>
          </w:p>
        </w:tc>
        <w:tc>
          <w:tcPr>
            <w:tcW w:w="8795" w:type="dxa"/>
            <w:tcBorders/>
            <w:vAlign w:val="center"/>
          </w:tcPr>
          <w:p>
            <w:pPr>
              <w:pStyle w:val="TableContents"/>
              <w:bidi w:val="0"/>
              <w:spacing w:before="0" w:after="0"/>
              <w:jc w:val="left"/>
              <w:rPr>
                <w:sz w:val="20"/>
              </w:rPr>
            </w:pPr>
            <w:r>
              <w:rPr>
                <w:rFonts w:ascii="Century Gothic" w:hAnsi="Century Gothic"/>
                <w:sz w:val="20"/>
              </w:rPr>
              <w:t>POS terminals of approximately 739,000</w:t>
            </w:r>
            <w:r>
              <w:rPr>
                <w:sz w:val="20"/>
              </w:rPr>
              <w:t> </w:t>
            </w:r>
            <w:r>
              <w:rPr>
                <w:rFonts w:ascii="Century Gothic" w:hAnsi="Century Gothic"/>
                <w:sz w:val="20"/>
              </w:rPr>
              <w:t>as of</w:t>
            </w:r>
            <w:r>
              <w:rPr>
                <w:sz w:val="20"/>
              </w:rPr>
              <w:t> </w:t>
            </w:r>
            <w:r>
              <w:rPr>
                <w:rFonts w:ascii="Century Gothic" w:hAnsi="Century Gothic"/>
                <w:sz w:val="20"/>
              </w:rPr>
              <w:t>June 30, 2026, a 2% increase from 721,000.</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125"/>
        <w:gridCol w:w="9935"/>
      </w:tblGrid>
      <w:tr>
        <w:trPr/>
        <w:tc>
          <w:tcPr>
            <w:tcW w:w="125" w:type="dxa"/>
            <w:tcBorders/>
            <w:vAlign w:val="center"/>
          </w:tcPr>
          <w:p>
            <w:pPr>
              <w:pStyle w:val="TableContents"/>
              <w:bidi w:val="0"/>
              <w:spacing w:before="0" w:after="0"/>
              <w:jc w:val="center"/>
              <w:rPr/>
            </w:pPr>
            <w:r>
              <w:rPr/>
              <w:t>•</w:t>
            </w:r>
          </w:p>
        </w:tc>
        <w:tc>
          <w:tcPr>
            <w:tcW w:w="9935" w:type="dxa"/>
            <w:tcBorders/>
            <w:vAlign w:val="center"/>
          </w:tcPr>
          <w:p>
            <w:pPr>
              <w:pStyle w:val="TableContents"/>
              <w:bidi w:val="0"/>
              <w:spacing w:before="0" w:after="0"/>
              <w:jc w:val="left"/>
              <w:rPr>
                <w:sz w:val="20"/>
              </w:rPr>
            </w:pPr>
            <w:r>
              <w:rPr>
                <w:rFonts w:ascii="Century Gothic" w:hAnsi="Century Gothic"/>
                <w:sz w:val="20"/>
              </w:rPr>
              <w:t>Retailer locations of approximately 355,000</w:t>
            </w:r>
            <w:r>
              <w:rPr>
                <w:sz w:val="20"/>
              </w:rPr>
              <w:t> </w:t>
            </w:r>
            <w:r>
              <w:rPr>
                <w:rFonts w:ascii="Century Gothic" w:hAnsi="Century Gothic"/>
                <w:sz w:val="20"/>
              </w:rPr>
              <w:t>as of</w:t>
            </w:r>
            <w:r>
              <w:rPr>
                <w:sz w:val="20"/>
              </w:rPr>
              <w:t> </w:t>
            </w:r>
            <w:r>
              <w:rPr>
                <w:rFonts w:ascii="Century Gothic" w:hAnsi="Century Gothic"/>
                <w:sz w:val="20"/>
              </w:rPr>
              <w:t>June 30, 2026, essentially unchanged from 354,000</w:t>
            </w:r>
            <w:r>
              <w:rPr>
                <w:sz w:val="20"/>
              </w:rPr>
              <w:t>.</w:t>
            </w:r>
          </w:p>
        </w:tc>
      </w:tr>
    </w:tbl>
    <w:p>
      <w:pPr>
        <w:pStyle w:val="TextBody"/>
        <w:bidi w:val="0"/>
        <w:spacing w:lineRule="atLeast" w:line="288" w:before="0" w:after="0"/>
        <w:jc w:val="both"/>
        <w:rPr/>
      </w:pPr>
      <w:r>
        <w:rPr/>
        <w:t> </w:t>
      </w:r>
    </w:p>
    <w:p>
      <w:pPr>
        <w:pStyle w:val="TextBody"/>
        <w:bidi w:val="0"/>
        <w:spacing w:lineRule="atLeast" w:line="288" w:before="0" w:after="0"/>
        <w:jc w:val="both"/>
        <w:rPr>
          <w:rFonts w:ascii="Century Gothic" w:hAnsi="Century Gothic"/>
          <w:sz w:val="20"/>
        </w:rPr>
      </w:pPr>
      <w:r>
        <w:rPr>
          <w:rFonts w:ascii="Century Gothic" w:hAnsi="Century Gothic"/>
          <w:sz w:val="20"/>
        </w:rPr>
        <w:t>The epay segment delivered another quarter of profitable growth, with constant currency revenue increasing 4%, operating income increasing 5% and adjusted EBITDA increasing 5%. The segment continued to deliver consistent underlying performance supported by higher-value digital content, prepaid and payment products, while continuing to expand its payment acceptance footprint with an increase in POS terminals and digital distribution. Transaction volumes declined primarily due to high volume low value transactions in India.</w:t>
      </w:r>
    </w:p>
    <w:p>
      <w:pPr>
        <w:pStyle w:val="TextBody"/>
        <w:bidi w:val="0"/>
        <w:spacing w:lineRule="atLeast" w:line="288" w:before="0" w:after="0"/>
        <w:jc w:val="both"/>
        <w:rPr/>
      </w:pPr>
      <w:r>
        <w:rPr/>
        <w:t> </w:t>
      </w:r>
    </w:p>
    <w:p>
      <w:pPr>
        <w:pStyle w:val="TextBody"/>
        <w:bidi w:val="0"/>
        <w:spacing w:lineRule="atLeast" w:line="288" w:before="0" w:after="0"/>
        <w:jc w:val="both"/>
        <w:rPr/>
      </w:pPr>
      <w:r>
        <w:rPr>
          <w:rFonts w:ascii="Century Gothic" w:hAnsi="Century Gothic"/>
          <w:b/>
          <w:sz w:val="22"/>
        </w:rPr>
        <w:t>The Cross-Border Payments Segment</w:t>
      </w:r>
      <w:r>
        <w:rPr/>
        <w:t xml:space="preserve"> </w:t>
      </w:r>
      <w:r>
        <w:rPr>
          <w:rFonts w:ascii="Century Gothic" w:hAnsi="Century Gothic"/>
          <w:sz w:val="20"/>
        </w:rPr>
        <w:t>(formerly known as Money Transfer Segment)</w:t>
      </w:r>
      <w:r>
        <w:rPr/>
        <w:t xml:space="preserve"> </w:t>
      </w:r>
      <w:r>
        <w:rPr>
          <w:rFonts w:ascii="Century Gothic" w:hAnsi="Century Gothic"/>
          <w:sz w:val="20"/>
        </w:rPr>
        <w:t>reports the following results for</w:t>
      </w:r>
      <w:r>
        <w:rPr/>
        <w:t xml:space="preserve"> </w:t>
      </w:r>
      <w:r>
        <w:rPr>
          <w:rFonts w:ascii="Century Gothic" w:hAnsi="Century Gothic"/>
          <w:sz w:val="20"/>
        </w:rPr>
        <w:t>the second quarter 2026</w:t>
      </w:r>
      <w:r>
        <w:rPr/>
        <w:t xml:space="preserve"> </w:t>
      </w:r>
      <w:r>
        <w:rPr>
          <w:rFonts w:ascii="Century Gothic" w:hAnsi="Century Gothic"/>
          <w:sz w:val="20"/>
        </w:rPr>
        <w:t>compared with the same period or date in 2025:</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pPr>
            <w:r>
              <w:rPr/>
              <w:t> </w:t>
            </w:r>
          </w:p>
        </w:tc>
        <w:tc>
          <w:tcPr>
            <w:tcW w:w="10080" w:type="dxa"/>
            <w:tcBorders/>
            <w:vAlign w:val="center"/>
          </w:tcPr>
          <w:p>
            <w:pPr>
              <w:pStyle w:val="TableContents"/>
              <w:bidi w:val="0"/>
              <w:spacing w:before="0" w:after="0"/>
              <w:jc w:val="left"/>
              <w:rPr/>
            </w:pPr>
            <w:r>
              <w:rPr/>
              <w:t> </w:t>
            </w:r>
          </w:p>
        </w:tc>
      </w:tr>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Revenues of $439.6</w:t>
            </w:r>
            <w:r>
              <w:rPr>
                <w:sz w:val="20"/>
              </w:rPr>
              <w:t xml:space="preserve"> </w:t>
            </w:r>
            <w:r>
              <w:rPr>
                <w:rFonts w:ascii="Century Gothic" w:hAnsi="Century Gothic"/>
                <w:sz w:val="20"/>
              </w:rPr>
              <w:t>million, a</w:t>
            </w:r>
            <w:r>
              <w:rPr>
                <w:sz w:val="20"/>
              </w:rPr>
              <w:t> </w:t>
            </w:r>
            <w:r>
              <w:rPr>
                <w:rFonts w:ascii="Century Gothic" w:hAnsi="Century Gothic"/>
                <w:sz w:val="20"/>
              </w:rPr>
              <w:t>4%</w:t>
            </w:r>
            <w:r>
              <w:rPr>
                <w:sz w:val="20"/>
              </w:rPr>
              <w:t> </w:t>
            </w:r>
            <w:r>
              <w:rPr>
                <w:rFonts w:ascii="Century Gothic" w:hAnsi="Century Gothic"/>
                <w:sz w:val="20"/>
              </w:rPr>
              <w:t>decrease</w:t>
            </w:r>
            <w:r>
              <w:rPr>
                <w:sz w:val="20"/>
              </w:rPr>
              <w:t xml:space="preserve"> </w:t>
            </w:r>
            <w:r>
              <w:rPr>
                <w:rFonts w:ascii="Century Gothic" w:hAnsi="Century Gothic"/>
                <w:sz w:val="20"/>
              </w:rPr>
              <w:t>from $457.9</w:t>
            </w:r>
            <w:r>
              <w:rPr>
                <w:sz w:val="20"/>
              </w:rPr>
              <w:t> </w:t>
            </w:r>
            <w:r>
              <w:rPr>
                <w:rFonts w:ascii="Century Gothic" w:hAnsi="Century Gothic"/>
                <w:sz w:val="20"/>
              </w:rPr>
              <w:t>million (5%</w:t>
            </w:r>
            <w:r>
              <w:rPr>
                <w:sz w:val="20"/>
              </w:rPr>
              <w:t> </w:t>
            </w:r>
            <w:r>
              <w:rPr>
                <w:rFonts w:ascii="Century Gothic" w:hAnsi="Century Gothic"/>
                <w:sz w:val="20"/>
              </w:rPr>
              <w:t>decrease</w:t>
            </w:r>
            <w:r>
              <w:rPr>
                <w:sz w:val="20"/>
              </w:rPr>
              <w:t> </w:t>
            </w:r>
            <w:r>
              <w:rPr>
                <w:rFonts w:ascii="Century Gothic" w:hAnsi="Century Gothic"/>
                <w:sz w:val="20"/>
              </w:rPr>
              <w:t>on a constant currency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pPr>
            <w:r>
              <w:rPr>
                <w:rFonts w:ascii="Century Gothic" w:hAnsi="Century Gothic"/>
                <w:sz w:val="20"/>
              </w:rPr>
              <w:t>Operating income of $43.3</w:t>
            </w:r>
            <w:r>
              <w:rPr/>
              <w:t> </w:t>
            </w:r>
            <w:r>
              <w:rPr>
                <w:rFonts w:ascii="Century Gothic" w:hAnsi="Century Gothic"/>
                <w:sz w:val="20"/>
              </w:rPr>
              <w:t>million, a</w:t>
            </w:r>
            <w:r>
              <w:rPr/>
              <w:t> </w:t>
            </w:r>
            <w:r>
              <w:rPr>
                <w:rFonts w:ascii="Century Gothic" w:hAnsi="Century Gothic"/>
                <w:sz w:val="20"/>
              </w:rPr>
              <w:t>34%</w:t>
            </w:r>
            <w:r>
              <w:rPr/>
              <w:t xml:space="preserve"> </w:t>
            </w:r>
            <w:r>
              <w:rPr>
                <w:rFonts w:ascii="Century Gothic" w:hAnsi="Century Gothic"/>
                <w:sz w:val="20"/>
              </w:rPr>
              <w:t>decrease</w:t>
            </w:r>
            <w:r>
              <w:rPr/>
              <w:t> </w:t>
            </w:r>
            <w:r>
              <w:rPr>
                <w:rFonts w:ascii="Century Gothic" w:hAnsi="Century Gothic"/>
                <w:sz w:val="20"/>
              </w:rPr>
              <w:t>from $65.6</w:t>
            </w:r>
            <w:r>
              <w:rPr/>
              <w:t> </w:t>
            </w:r>
            <w:r>
              <w:rPr>
                <w:rFonts w:ascii="Century Gothic" w:hAnsi="Century Gothic"/>
                <w:sz w:val="20"/>
              </w:rPr>
              <w:t>million (35%</w:t>
            </w:r>
            <w:r>
              <w:rPr/>
              <w:t> </w:t>
            </w:r>
            <w:r>
              <w:rPr>
                <w:rFonts w:ascii="Century Gothic" w:hAnsi="Century Gothic"/>
                <w:sz w:val="20"/>
              </w:rPr>
              <w:t>decrease</w:t>
            </w:r>
            <w:r>
              <w:rPr/>
              <w:t xml:space="preserve"> </w:t>
            </w:r>
            <w:r>
              <w:rPr>
                <w:rFonts w:ascii="Century Gothic" w:hAnsi="Century Gothic"/>
                <w:sz w:val="20"/>
              </w:rPr>
              <w:t>on a constant currency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left"/>
              <w:rPr>
                <w:sz w:val="20"/>
              </w:rPr>
            </w:pPr>
            <w:r>
              <w:rPr>
                <w:rFonts w:ascii="Century Gothic" w:hAnsi="Century Gothic"/>
                <w:sz w:val="20"/>
              </w:rPr>
              <w:t>Adjusted EBITDA of $49.7</w:t>
            </w:r>
            <w:r>
              <w:rPr>
                <w:sz w:val="20"/>
              </w:rPr>
              <w:t xml:space="preserve"> </w:t>
            </w:r>
            <w:r>
              <w:rPr>
                <w:rFonts w:ascii="Century Gothic" w:hAnsi="Century Gothic"/>
                <w:sz w:val="20"/>
              </w:rPr>
              <w:t>million,</w:t>
            </w:r>
            <w:r>
              <w:rPr>
                <w:sz w:val="20"/>
              </w:rPr>
              <w:t> </w:t>
            </w:r>
            <w:r>
              <w:rPr>
                <w:rFonts w:ascii="Century Gothic" w:hAnsi="Century Gothic"/>
                <w:sz w:val="20"/>
              </w:rPr>
              <w:t>a</w:t>
            </w:r>
            <w:r>
              <w:rPr>
                <w:sz w:val="20"/>
              </w:rPr>
              <w:t> </w:t>
            </w:r>
            <w:r>
              <w:rPr>
                <w:rFonts w:ascii="Century Gothic" w:hAnsi="Century Gothic"/>
                <w:sz w:val="20"/>
              </w:rPr>
              <w:t>31%</w:t>
            </w:r>
            <w:r>
              <w:rPr>
                <w:sz w:val="20"/>
              </w:rPr>
              <w:t> </w:t>
            </w:r>
            <w:r>
              <w:rPr>
                <w:rFonts w:ascii="Century Gothic" w:hAnsi="Century Gothic"/>
                <w:sz w:val="20"/>
              </w:rPr>
              <w:t>decrease</w:t>
            </w:r>
            <w:r>
              <w:rPr>
                <w:sz w:val="20"/>
              </w:rPr>
              <w:t xml:space="preserve"> </w:t>
            </w:r>
            <w:r>
              <w:rPr>
                <w:rFonts w:ascii="Century Gothic" w:hAnsi="Century Gothic"/>
                <w:sz w:val="20"/>
              </w:rPr>
              <w:t>from $71.6</w:t>
            </w:r>
            <w:r>
              <w:rPr>
                <w:sz w:val="20"/>
              </w:rPr>
              <w:t> </w:t>
            </w:r>
            <w:r>
              <w:rPr>
                <w:rFonts w:ascii="Century Gothic" w:hAnsi="Century Gothic"/>
                <w:sz w:val="20"/>
              </w:rPr>
              <w:t>million (32%</w:t>
            </w:r>
            <w:r>
              <w:rPr>
                <w:sz w:val="20"/>
              </w:rPr>
              <w:t> </w:t>
            </w:r>
            <w:r>
              <w:rPr>
                <w:rFonts w:ascii="Century Gothic" w:hAnsi="Century Gothic"/>
                <w:sz w:val="20"/>
              </w:rPr>
              <w:t>decrease</w:t>
            </w:r>
            <w:r>
              <w:rPr>
                <w:sz w:val="20"/>
              </w:rPr>
              <w:t xml:space="preserve"> </w:t>
            </w:r>
            <w:r>
              <w:rPr>
                <w:rFonts w:ascii="Century Gothic" w:hAnsi="Century Gothic"/>
                <w:sz w:val="20"/>
              </w:rPr>
              <w:t>on a constant currency basis).</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125"/>
        <w:gridCol w:w="7040"/>
      </w:tblGrid>
      <w:tr>
        <w:trPr/>
        <w:tc>
          <w:tcPr>
            <w:tcW w:w="125" w:type="dxa"/>
            <w:tcBorders/>
            <w:vAlign w:val="center"/>
          </w:tcPr>
          <w:p>
            <w:pPr>
              <w:pStyle w:val="TableContents"/>
              <w:bidi w:val="0"/>
              <w:spacing w:before="0" w:after="0"/>
              <w:jc w:val="center"/>
              <w:rPr/>
            </w:pPr>
            <w:r>
              <w:rPr/>
              <w:t>•</w:t>
            </w:r>
          </w:p>
        </w:tc>
        <w:tc>
          <w:tcPr>
            <w:tcW w:w="7040" w:type="dxa"/>
            <w:tcBorders/>
            <w:vAlign w:val="center"/>
          </w:tcPr>
          <w:p>
            <w:pPr>
              <w:pStyle w:val="TableContents"/>
              <w:bidi w:val="0"/>
              <w:spacing w:before="0" w:after="0"/>
              <w:jc w:val="both"/>
              <w:rPr>
                <w:sz w:val="20"/>
              </w:rPr>
            </w:pPr>
            <w:r>
              <w:rPr>
                <w:rFonts w:ascii="Century Gothic" w:hAnsi="Century Gothic"/>
                <w:sz w:val="20"/>
              </w:rPr>
              <w:t>Total transactions of 45.7</w:t>
            </w:r>
            <w:r>
              <w:rPr>
                <w:sz w:val="20"/>
              </w:rPr>
              <w:t xml:space="preserve"> </w:t>
            </w:r>
            <w:r>
              <w:rPr>
                <w:rFonts w:ascii="Century Gothic" w:hAnsi="Century Gothic"/>
                <w:sz w:val="20"/>
              </w:rPr>
              <w:t>million, an</w:t>
            </w:r>
            <w:r>
              <w:rPr>
                <w:sz w:val="20"/>
              </w:rPr>
              <w:t> </w:t>
            </w:r>
            <w:r>
              <w:rPr>
                <w:rFonts w:ascii="Century Gothic" w:hAnsi="Century Gothic"/>
                <w:sz w:val="20"/>
              </w:rPr>
              <w:t>1%</w:t>
            </w:r>
            <w:r>
              <w:rPr>
                <w:sz w:val="20"/>
              </w:rPr>
              <w:t> </w:t>
            </w:r>
            <w:r>
              <w:rPr>
                <w:rFonts w:ascii="Century Gothic" w:hAnsi="Century Gothic"/>
                <w:sz w:val="20"/>
              </w:rPr>
              <w:t>decrease</w:t>
            </w:r>
            <w:r>
              <w:rPr>
                <w:sz w:val="20"/>
              </w:rPr>
              <w:t xml:space="preserve"> </w:t>
            </w:r>
            <w:r>
              <w:rPr>
                <w:rFonts w:ascii="Century Gothic" w:hAnsi="Century Gothic"/>
                <w:sz w:val="20"/>
              </w:rPr>
              <w:t>from</w:t>
            </w:r>
            <w:r>
              <w:rPr>
                <w:sz w:val="20"/>
              </w:rPr>
              <w:t> </w:t>
            </w:r>
            <w:r>
              <w:rPr>
                <w:rFonts w:ascii="Century Gothic" w:hAnsi="Century Gothic"/>
                <w:sz w:val="20"/>
              </w:rPr>
              <w:t>46.1</w:t>
            </w:r>
            <w:r>
              <w:rPr>
                <w:sz w:val="20"/>
              </w:rPr>
              <w:t xml:space="preserve"> </w:t>
            </w:r>
            <w:r>
              <w:rPr>
                <w:rFonts w:ascii="Century Gothic" w:hAnsi="Century Gothic"/>
                <w:sz w:val="20"/>
              </w:rPr>
              <w:t>million.</w:t>
            </w:r>
          </w:p>
        </w:tc>
      </w:tr>
      <w:tr>
        <w:trPr/>
        <w:tc>
          <w:tcPr>
            <w:tcW w:w="125" w:type="dxa"/>
            <w:tcBorders/>
            <w:vAlign w:val="center"/>
          </w:tcPr>
          <w:p>
            <w:pPr>
              <w:pStyle w:val="TableContents"/>
              <w:bidi w:val="0"/>
              <w:spacing w:before="0" w:after="0"/>
              <w:jc w:val="center"/>
              <w:rPr/>
            </w:pPr>
            <w:r>
              <w:rPr/>
              <w:t>•</w:t>
            </w:r>
          </w:p>
        </w:tc>
        <w:tc>
          <w:tcPr>
            <w:tcW w:w="7040" w:type="dxa"/>
            <w:tcBorders/>
            <w:vAlign w:val="center"/>
          </w:tcPr>
          <w:p>
            <w:pPr>
              <w:pStyle w:val="TableContents"/>
              <w:bidi w:val="0"/>
              <w:spacing w:before="0" w:after="0"/>
              <w:jc w:val="both"/>
              <w:rPr>
                <w:sz w:val="20"/>
              </w:rPr>
            </w:pPr>
            <w:r>
              <w:rPr>
                <w:rFonts w:ascii="Century Gothic" w:hAnsi="Century Gothic"/>
                <w:sz w:val="20"/>
              </w:rPr>
              <w:t>Total digital transactions of 7.9 million, a</w:t>
            </w:r>
            <w:r>
              <w:rPr>
                <w:sz w:val="20"/>
              </w:rPr>
              <w:t> </w:t>
            </w:r>
            <w:r>
              <w:rPr>
                <w:rFonts w:ascii="Century Gothic" w:hAnsi="Century Gothic"/>
                <w:sz w:val="20"/>
              </w:rPr>
              <w:t>33%</w:t>
            </w:r>
            <w:r>
              <w:rPr>
                <w:sz w:val="20"/>
              </w:rPr>
              <w:t> </w:t>
            </w:r>
            <w:r>
              <w:rPr>
                <w:rFonts w:ascii="Century Gothic" w:hAnsi="Century Gothic"/>
                <w:sz w:val="20"/>
              </w:rPr>
              <w:t>increase</w:t>
            </w:r>
            <w:r>
              <w:rPr>
                <w:sz w:val="20"/>
              </w:rPr>
              <w:t xml:space="preserve"> </w:t>
            </w:r>
            <w:r>
              <w:rPr>
                <w:rFonts w:ascii="Century Gothic" w:hAnsi="Century Gothic"/>
                <w:sz w:val="20"/>
              </w:rPr>
              <w:t>from</w:t>
            </w:r>
            <w:r>
              <w:rPr>
                <w:sz w:val="20"/>
              </w:rPr>
              <w:t> </w:t>
            </w:r>
            <w:r>
              <w:rPr>
                <w:rFonts w:ascii="Century Gothic" w:hAnsi="Century Gothic"/>
                <w:sz w:val="20"/>
              </w:rPr>
              <w:t>5.9 million.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center"/>
              <w:rPr/>
            </w:pPr>
            <w:r>
              <w:rPr/>
              <w:t>•</w:t>
            </w:r>
          </w:p>
        </w:tc>
        <w:tc>
          <w:tcPr>
            <w:tcW w:w="10080" w:type="dxa"/>
            <w:tcBorders/>
            <w:vAlign w:val="center"/>
          </w:tcPr>
          <w:p>
            <w:pPr>
              <w:pStyle w:val="TableContents"/>
              <w:bidi w:val="0"/>
              <w:spacing w:before="0" w:after="0"/>
              <w:jc w:val="both"/>
              <w:rPr>
                <w:sz w:val="20"/>
              </w:rPr>
            </w:pPr>
            <w:r>
              <w:rPr>
                <w:rFonts w:ascii="Century Gothic" w:hAnsi="Century Gothic"/>
                <w:sz w:val="20"/>
              </w:rPr>
              <w:t>Network locations of approximately 651,000</w:t>
            </w:r>
            <w:r>
              <w:rPr>
                <w:sz w:val="20"/>
              </w:rPr>
              <w:t xml:space="preserve"> </w:t>
            </w:r>
            <w:r>
              <w:rPr>
                <w:rFonts w:ascii="Century Gothic" w:hAnsi="Century Gothic"/>
                <w:sz w:val="20"/>
              </w:rPr>
              <w:t>as of June 30, 2026, a 3% increase</w:t>
            </w:r>
            <w:r>
              <w:rPr>
                <w:sz w:val="20"/>
              </w:rPr>
              <w:t xml:space="preserve"> </w:t>
            </w:r>
            <w:r>
              <w:rPr>
                <w:rFonts w:ascii="Century Gothic" w:hAnsi="Century Gothic"/>
                <w:sz w:val="20"/>
              </w:rPr>
              <w:t>from approximately 631,000.</w:t>
            </w:r>
          </w:p>
        </w:tc>
      </w:tr>
    </w:tbl>
    <w:p>
      <w:pPr>
        <w:pStyle w:val="TextBody"/>
        <w:bidi w:val="0"/>
        <w:spacing w:before="0" w:after="0"/>
        <w:jc w:val="center"/>
        <w:rPr/>
      </w:pPr>
      <w:r>
        <w:rPr/>
        <w:t> </w:t>
      </w:r>
    </w:p>
    <w:p>
      <w:pPr>
        <w:pStyle w:val="TextBody"/>
        <w:bidi w:val="0"/>
        <w:spacing w:lineRule="atLeast" w:line="240" w:before="0" w:after="0"/>
        <w:jc w:val="both"/>
        <w:rPr>
          <w:rFonts w:ascii="Century Gothic" w:hAnsi="Century Gothic"/>
          <w:sz w:val="20"/>
        </w:rPr>
      </w:pPr>
      <w:r>
        <w:rPr>
          <w:rFonts w:ascii="Century Gothic" w:hAnsi="Century Gothic"/>
          <w:sz w:val="20"/>
        </w:rPr>
        <w:t>The Cross-Border Payments (CBP) segment reported a 5% decline in constant currency revenue, while operating income and Adjusted EBITDA declined 35% and 32%, respectively. Results were impacted by several factors, most notably a contraction in the overall U.S. outbound remittance market compared to the prior year. The market decline was driven by the changes in U.S. immigration policies that further pressured outbound remittance volumes. The second quarter results were also compared to a favorable second quarter 2025 where the Company benefitted from a non-recurring fee rebate in Pakistan and certain favorable foreign exchange related revenue opportunities that carried high margins and did not repeat this year. These headwinds were partially offset by continued strength in our digital business, with digital transactions increasing 33%, continued momentum in our Dandelion cross-border payments platform, and a 3% expansion of our global network.</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b/>
          <w:sz w:val="22"/>
        </w:rPr>
        <w:t>Corporate and Other</w:t>
      </w:r>
      <w:r>
        <w:rPr/>
        <w:t xml:space="preserve"> </w:t>
      </w:r>
      <w:r>
        <w:rPr>
          <w:rFonts w:ascii="Century Gothic" w:hAnsi="Century Gothic"/>
          <w:sz w:val="20"/>
        </w:rPr>
        <w:t>reports $25.1</w:t>
      </w:r>
      <w:r>
        <w:rPr/>
        <w:t xml:space="preserve"> </w:t>
      </w:r>
      <w:r>
        <w:rPr>
          <w:rFonts w:ascii="Century Gothic" w:hAnsi="Century Gothic"/>
          <w:sz w:val="20"/>
        </w:rPr>
        <w:t>million of expense for the second quarter</w:t>
      </w:r>
      <w:r>
        <w:rPr/>
        <w:t> </w:t>
      </w:r>
      <w:r>
        <w:rPr>
          <w:rFonts w:ascii="Century Gothic" w:hAnsi="Century Gothic"/>
          <w:sz w:val="20"/>
        </w:rPr>
        <w:t>2026</w:t>
      </w:r>
      <w:r>
        <w:rPr/>
        <w:t> </w:t>
      </w:r>
      <w:r>
        <w:rPr>
          <w:rFonts w:ascii="Century Gothic" w:hAnsi="Century Gothic"/>
          <w:sz w:val="20"/>
        </w:rPr>
        <w:t>compared with $22.7</w:t>
      </w:r>
      <w:r>
        <w:rPr/>
        <w:t xml:space="preserve"> </w:t>
      </w:r>
      <w:r>
        <w:rPr>
          <w:rFonts w:ascii="Century Gothic" w:hAnsi="Century Gothic"/>
          <w:sz w:val="20"/>
        </w:rPr>
        <w:t>million for the</w:t>
      </w:r>
      <w:r>
        <w:rPr/>
        <w:t> </w:t>
      </w:r>
      <w:r>
        <w:rPr>
          <w:rFonts w:ascii="Century Gothic" w:hAnsi="Century Gothic"/>
          <w:sz w:val="20"/>
        </w:rPr>
        <w:t>second quarter</w:t>
      </w:r>
      <w:r>
        <w:rPr/>
        <w:t> </w:t>
      </w:r>
      <w:r>
        <w:rPr>
          <w:rFonts w:ascii="Century Gothic" w:hAnsi="Century Gothic"/>
          <w:sz w:val="20"/>
        </w:rPr>
        <w:t>2025.</w:t>
      </w:r>
      <w:r>
        <w:rPr/>
        <w:t> </w:t>
      </w:r>
      <w:r>
        <w:rPr>
          <w:rFonts w:ascii="Century Gothic" w:hAnsi="Century Gothic"/>
          <w:sz w:val="20"/>
        </w:rPr>
        <w:t>The increase in corporate expenses was primarily driven by a $1.9 million increase in long-term share-based compensation, which equally impacted consolidated operating income.</w:t>
      </w:r>
    </w:p>
    <w:p>
      <w:pPr>
        <w:pStyle w:val="TextBody"/>
        <w:bidi w:val="0"/>
        <w:spacing w:lineRule="atLeast" w:line="240" w:before="0" w:after="0"/>
        <w:jc w:val="both"/>
        <w:rPr/>
      </w:pP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Century Gothic" w:hAnsi="Century Gothic"/>
          <w:b/>
          <w:sz w:val="22"/>
        </w:rPr>
      </w:pPr>
      <w:r>
        <w:rPr>
          <w:rFonts w:ascii="Century Gothic" w:hAnsi="Century Gothic"/>
          <w:b/>
          <w:sz w:val="22"/>
        </w:rPr>
        <w:t>Balance Sheet and Financial Position</w:t>
      </w:r>
    </w:p>
    <w:p>
      <w:pPr>
        <w:pStyle w:val="TextBody"/>
        <w:bidi w:val="0"/>
        <w:spacing w:lineRule="atLeast" w:line="240" w:before="0" w:after="0"/>
        <w:jc w:val="both"/>
        <w:rPr>
          <w:rFonts w:ascii="Century Gothic" w:hAnsi="Century Gothic"/>
          <w:sz w:val="20"/>
        </w:rPr>
      </w:pPr>
      <w:r>
        <w:rPr>
          <w:rFonts w:ascii="Century Gothic" w:hAnsi="Century Gothic"/>
          <w:sz w:val="20"/>
        </w:rPr>
        <w:t>Total cash, including ATM cash, unrestricted cash and cash equivalents and restricted cash, was $2,220.7 million as of June 30, 2026, compared to $1,713.8 million at December 31, 2025. Total indebtedness was $2,654.0 million, up from $2,021.8 million at year-end. During the quarter, the Company repaid approximately $700 million in senior notes at maturity using borrowings under its revolving credit facilities. Availability under the Company's revolving credit facilities was approximately $1.0 billion. Net debt increased by $125.3 million during the quarter, primarily driven by higher ATM cash balances in preparation for the peak ATM season, $50 million of share repurchases, and partially offset by cash generated from operations, changes in working capital balances.</w:t>
      </w:r>
    </w:p>
    <w:p>
      <w:pPr>
        <w:pStyle w:val="TextBody"/>
        <w:bidi w:val="0"/>
        <w:spacing w:lineRule="atLeast" w:line="240" w:before="0" w:after="0"/>
        <w:jc w:val="both"/>
        <w:rPr/>
      </w:pPr>
      <w:r>
        <w:rPr/>
        <w:t> </w:t>
      </w:r>
    </w:p>
    <w:p>
      <w:pPr>
        <w:pStyle w:val="HorizontalLine"/>
        <w:pBdr>
          <w:bottom w:val="double" w:sz="2" w:space="0" w:color="808080"/>
        </w:pBdr>
        <w:bidi w:val="0"/>
        <w:jc w:val="center"/>
        <w:rPr/>
      </w:pPr>
      <w:r>
        <w:rPr/>
      </w:r>
    </w:p>
    <w:p>
      <w:pPr>
        <w:pStyle w:val="TextBody"/>
        <w:bidi w:val="0"/>
        <w:spacing w:lineRule="atLeast" w:line="240" w:before="0" w:after="0"/>
        <w:jc w:val="both"/>
        <w:rPr>
          <w:rFonts w:ascii="Century Gothic" w:hAnsi="Century Gothic"/>
          <w:b/>
          <w:sz w:val="22"/>
        </w:rPr>
      </w:pPr>
      <w:r>
        <w:rPr>
          <w:rFonts w:ascii="Century Gothic" w:hAnsi="Century Gothic"/>
          <w:b/>
          <w:sz w:val="22"/>
        </w:rPr>
        <w:t>Outlook</w:t>
      </w:r>
    </w:p>
    <w:p>
      <w:pPr>
        <w:pStyle w:val="TextBody"/>
        <w:bidi w:val="0"/>
        <w:spacing w:lineRule="atLeast" w:line="240" w:before="0" w:after="0"/>
        <w:jc w:val="both"/>
        <w:rPr/>
      </w:pPr>
      <w:r>
        <w:rPr>
          <w:rFonts w:ascii="Century Gothic" w:hAnsi="Century Gothic"/>
          <w:sz w:val="20"/>
        </w:rPr>
        <w:t>The Company reiterates its 2026</w:t>
      </w:r>
      <w:r>
        <w:rPr/>
        <w:t> </w:t>
      </w:r>
      <w:r>
        <w:rPr>
          <w:rFonts w:ascii="Century Gothic" w:hAnsi="Century Gothic"/>
          <w:sz w:val="20"/>
        </w:rPr>
        <w:t>adjusted</w:t>
      </w:r>
      <w:r>
        <w:rPr/>
        <w:t> </w:t>
      </w:r>
      <w:r>
        <w:rPr>
          <w:rFonts w:ascii="Century Gothic" w:hAnsi="Century Gothic"/>
          <w:sz w:val="20"/>
        </w:rPr>
        <w:t>EPS growth of 10% to 15% year-over-year, consistent with its 10- and 20-year compounded annualized growth rates.</w:t>
      </w:r>
      <w:r>
        <w:rPr/>
        <w:t> </w:t>
      </w:r>
      <w:r>
        <w:rPr>
          <w:rFonts w:ascii="Century Gothic" w:hAnsi="Century Gothic"/>
          <w:sz w:val="20"/>
        </w:rPr>
        <w:t>This outlook does not include any changes that may develop in foreign exchange rates, interest rates or</w:t>
      </w:r>
      <w:r>
        <w:rPr/>
        <w:t> </w:t>
      </w:r>
      <w:r>
        <w:rPr>
          <w:rFonts w:ascii="Century Gothic" w:hAnsi="Century Gothic"/>
          <w:sz w:val="20"/>
        </w:rPr>
        <w:t>other unforeseen factors.</w:t>
      </w:r>
    </w:p>
    <w:p>
      <w:pPr>
        <w:pStyle w:val="TextBody"/>
        <w:bidi w:val="0"/>
        <w:spacing w:lineRule="atLeast" w:line="240" w:before="0" w:after="0"/>
        <w:jc w:val="both"/>
        <w:rPr/>
      </w:pPr>
      <w:r>
        <w:rPr/>
        <w:t> </w:t>
      </w:r>
    </w:p>
    <w:p>
      <w:pPr>
        <w:pStyle w:val="TextBody"/>
        <w:bidi w:val="0"/>
        <w:spacing w:lineRule="atLeast" w:line="240" w:before="0" w:after="0"/>
        <w:jc w:val="both"/>
        <w:rPr>
          <w:rFonts w:ascii="Century Gothic" w:hAnsi="Century Gothic"/>
          <w:b/>
          <w:sz w:val="22"/>
        </w:rPr>
      </w:pPr>
      <w:r>
        <w:rPr>
          <w:rFonts w:ascii="Century Gothic" w:hAnsi="Century Gothic"/>
          <w:b/>
          <w:sz w:val="22"/>
        </w:rPr>
        <w:t>Non-GAAP Measures</w:t>
      </w:r>
    </w:p>
    <w:p>
      <w:pPr>
        <w:pStyle w:val="TextBody"/>
        <w:bidi w:val="0"/>
        <w:spacing w:lineRule="atLeast" w:line="240" w:before="0" w:after="0"/>
        <w:jc w:val="both"/>
        <w:rPr>
          <w:rFonts w:ascii="Century Gothic" w:hAnsi="Century Gothic"/>
          <w:sz w:val="20"/>
          <w:shd w:fill="FFFFFF" w:val="clear"/>
        </w:rPr>
      </w:pPr>
      <w:r>
        <w:rPr>
          <w:rFonts w:ascii="Century Gothic" w:hAnsi="Century Gothic"/>
          <w:sz w:val="20"/>
          <w:shd w:fill="FFFFFF" w:val="clear"/>
        </w:rPr>
        <w:t>In addition to the results presented in accordance with U.S. GAAP, the Company presents non-GAAP financial measures, such as constant currency financial measures, adjusted EBITDA, and adjusted earnings per share. These measures should be used in addition to, and not a substitute for, revenues, operating income, net income and earnings per share computed in accordance with U.S. GAAP. We believe that these non-GAAP measures provide useful information to investors regarding the Company's performance and overall results of operations. These non-GAAP measures are also an integral part of the Company's internal reporting and performance assessment for executives and senior management. The non-GAAP measures used by the Company may not be comparable to similarly titled non-GAAP measures used by other companies. The attached schedules provide a full reconciliation of these non-GAAP financial measures to their most directly comparable U.S. GAAP financial measure.</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20"/>
        </w:rPr>
        <w:t>The Company does not provide a reconciliation of its forward-looking non-GAAP measures to GAAP due to the inherent difficulty in forecasting and quantifying certain amounts that are necessary for GAAP and the related GAAP and non-GAAP reconciliation, including adjustments that would be necessary for foreign currency exchange rate fluctuations and other charges reflected in the Company's reconciliation</w:t>
      </w:r>
      <w:r>
        <w:rPr/>
        <w:t> </w:t>
      </w:r>
      <w:r>
        <w:rPr>
          <w:rFonts w:ascii="Century Gothic" w:hAnsi="Century Gothic"/>
          <w:sz w:val="20"/>
        </w:rPr>
        <w:t>of historic numbers, the amount of which, based on historical experience, could be significant.</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13"/>
        </w:rPr>
        <w:t>(1)</w:t>
      </w:r>
      <w:r>
        <w:rPr/>
        <w:t xml:space="preserve"> </w:t>
      </w:r>
      <w:r>
        <w:rPr>
          <w:rFonts w:ascii="Century Gothic" w:hAnsi="Century Gothic"/>
          <w:sz w:val="20"/>
        </w:rPr>
        <w:t>Constant currency financial measures are computed as if foreign currency exchange rates did not change from the prior period. This information is provided to illustrate the impact of changes in foreign currency exchange rates on the Company's results when compared to the prior period.</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13"/>
        </w:rPr>
        <w:t xml:space="preserve">(2) </w:t>
      </w:r>
      <w:r>
        <w:rPr>
          <w:rFonts w:ascii="Century Gothic" w:hAnsi="Century Gothic"/>
          <w:sz w:val="20"/>
        </w:rPr>
        <w:t>Adjusted EBITDA is defined as net income excluding, to the extent incurred in the period, interest expense, income tax expense, depreciation, amortization, share-based compensation and other non-operating or non-recurring items that are considered expenses or income under U.S. GAAP. Adjusted EBITDA represents a performance measure and is not intended to represent a liquidity measure.</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13"/>
        </w:rPr>
        <w:t>(3)</w:t>
      </w:r>
      <w:r>
        <w:rPr/>
        <w:t xml:space="preserve"> </w:t>
      </w:r>
      <w:r>
        <w:rPr>
          <w:rFonts w:ascii="Century Gothic" w:hAnsi="Century Gothic"/>
          <w:sz w:val="20"/>
        </w:rPr>
        <w:t>Adjusted earnings per share is defined as diluted U.S. GAAP earnings per share excluding (1), to the extent incurred in the period, the tax-effected impacts of: a) foreign currency exchange gains or losses, b) share-based compensation, c) acquired intangible asset amortization, d) non-cash income tax expense, e) non-cash investment loss/gain, and (f) dilutive shares related to the Company's convertible notes. Adjusted earnings per share represents a performance measure and is not intended to represent a liquidity measure.</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Century Gothic" w:hAnsi="Century Gothic"/>
          <w:b/>
          <w:sz w:val="22"/>
        </w:rPr>
      </w:pPr>
      <w:r>
        <w:rPr>
          <w:rFonts w:ascii="Century Gothic" w:hAnsi="Century Gothic"/>
          <w:b/>
          <w:sz w:val="22"/>
        </w:rPr>
        <w:t>Conference Call and Slide Presentation</w:t>
      </w:r>
    </w:p>
    <w:p>
      <w:pPr>
        <w:pStyle w:val="TextBody"/>
        <w:bidi w:val="0"/>
        <w:spacing w:lineRule="atLeast" w:line="240" w:before="0" w:after="0"/>
        <w:jc w:val="both"/>
        <w:rPr/>
      </w:pPr>
      <w:r>
        <w:rPr>
          <w:rFonts w:ascii="Century Gothic" w:hAnsi="Century Gothic"/>
          <w:sz w:val="20"/>
        </w:rPr>
        <w:t>Euronet Worldwide will host an analyst conference call on July 30, 2026, at 9:00 a.m. Eastern Time to discuss these results. The call may also include discussion of Company developments on the Company's operations, forward-looking information, and other material information about business and financial matters.</w:t>
      </w:r>
      <w:r>
        <w:rPr/>
        <w:t xml:space="preserve">  </w:t>
      </w:r>
      <w:r>
        <w:rPr>
          <w:rFonts w:ascii="Century Gothic" w:hAnsi="Century Gothic"/>
          <w:sz w:val="20"/>
        </w:rPr>
        <w:t>To listen to the call via telephone please register at Euronet Worldwide Second Quarter 2026 Earnings Call. The conference call and accompanying slide show presentation will be accessible via webcast by following the link posted on http://ir.euronetworldwide.com.</w:t>
      </w:r>
      <w:r>
        <w:rPr/>
        <w:t xml:space="preserve">  </w:t>
      </w:r>
      <w:r>
        <w:rPr>
          <w:rFonts w:ascii="Century Gothic" w:hAnsi="Century Gothic"/>
          <w:sz w:val="20"/>
        </w:rPr>
        <w:t>Participants should register at least five minutes prior to the scheduled start time of the event.</w:t>
      </w:r>
      <w:r>
        <w:rPr/>
        <w:t xml:space="preserve">  </w:t>
      </w:r>
      <w:r>
        <w:rPr>
          <w:rFonts w:ascii="Century Gothic" w:hAnsi="Century Gothic"/>
          <w:sz w:val="20"/>
        </w:rPr>
        <w:t>A slideshow will be included in the webcast.</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20"/>
        </w:rPr>
        <w:t>Investors may also access the Company's Investor Day presentation, which provides additional information regarding Euronet's long-term strategy, growth accelerators, and financial objectives, through the Investor Relations section of the Company's website at http://ir.euronetworldwide.com.</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Century Gothic" w:hAnsi="Century Gothic"/>
          <w:sz w:val="20"/>
        </w:rPr>
        <w:t>A webcast replay will be available beginning approximately one hour after the event at http://ir.euronet worldwide.com</w:t>
      </w:r>
      <w:r>
        <w:rPr/>
        <w:t xml:space="preserve"> </w:t>
      </w:r>
      <w:r>
        <w:rPr>
          <w:rFonts w:ascii="Century Gothic" w:hAnsi="Century Gothic"/>
          <w:sz w:val="20"/>
        </w:rPr>
        <w:t>and will remain available for one year.</w:t>
      </w:r>
    </w:p>
    <w:p>
      <w:pPr>
        <w:pStyle w:val="TextBody"/>
        <w:bidi w:val="0"/>
        <w:spacing w:lineRule="atLeast" w:line="240" w:before="0" w:after="0"/>
        <w:jc w:val="both"/>
        <w:rPr/>
      </w:pPr>
      <w:r>
        <w:rPr/>
        <w:t> </w:t>
      </w:r>
    </w:p>
    <w:p>
      <w:pPr>
        <w:pStyle w:val="HorizontalLine"/>
        <w:pBdr>
          <w:bottom w:val="double" w:sz="2" w:space="0" w:color="808080"/>
        </w:pBdr>
        <w:bidi w:val="0"/>
        <w:jc w:val="center"/>
        <w:rPr/>
      </w:pPr>
      <w:r>
        <w:rPr/>
      </w:r>
    </w:p>
    <w:p>
      <w:pPr>
        <w:pStyle w:val="TextBody"/>
        <w:bidi w:val="0"/>
        <w:spacing w:before="0" w:after="0"/>
        <w:jc w:val="left"/>
        <w:rPr/>
      </w:pPr>
      <w:r>
        <w:rPr/>
        <w:t> </w:t>
      </w:r>
    </w:p>
    <w:p>
      <w:pPr>
        <w:pStyle w:val="TextBody"/>
        <w:bidi w:val="0"/>
        <w:spacing w:lineRule="atLeast" w:line="240" w:before="0" w:after="0"/>
        <w:jc w:val="both"/>
        <w:rPr>
          <w:rFonts w:ascii="Century Gothic" w:hAnsi="Century Gothic"/>
          <w:b/>
          <w:sz w:val="22"/>
        </w:rPr>
      </w:pPr>
      <w:r>
        <w:rPr>
          <w:rFonts w:ascii="Century Gothic" w:hAnsi="Century Gothic"/>
          <w:b/>
          <w:sz w:val="22"/>
        </w:rPr>
        <w:t>About Euronet Worldwide, Inc.</w:t>
      </w:r>
    </w:p>
    <w:p>
      <w:pPr>
        <w:pStyle w:val="TextBody"/>
        <w:bidi w:val="0"/>
        <w:spacing w:lineRule="atLeast" w:line="240" w:before="0" w:after="0"/>
        <w:jc w:val="both"/>
        <w:rPr/>
      </w:pPr>
      <w:r>
        <w:rPr>
          <w:rFonts w:ascii="Century Gothic" w:hAnsi="Century Gothic"/>
          <w:sz w:val="20"/>
        </w:rPr>
        <w:t>Euronet (Nasdaq: EEFT) is a global leader in payment processing and cross</w:t>
      </w:r>
      <w:r>
        <w:rPr/>
        <w:noBreakHyphen/>
      </w:r>
      <w:r>
        <w:rPr>
          <w:rFonts w:ascii="Century Gothic" w:hAnsi="Century Gothic"/>
          <w:sz w:val="20"/>
        </w:rPr>
        <w:t>border transactions, operating for more than 30 years and now serving clients in 200+ countries and territories. We support financial institutions, merchants and global brands with technology-driven solutions, while enabling businesses and consumers to send, receive and spend money seamlessly worldwide. By operating one of the world’s largest independent electronic payment networks spanning merchant acquiring, transaction processing and point</w:t>
      </w:r>
      <w:r>
        <w:rPr/>
        <w:noBreakHyphen/>
      </w:r>
      <w:r>
        <w:rPr>
          <w:rFonts w:ascii="Century Gothic" w:hAnsi="Century Gothic"/>
          <w:sz w:val="20"/>
        </w:rPr>
        <w:t>of</w:t>
      </w:r>
      <w:r>
        <w:rPr/>
        <w:noBreakHyphen/>
      </w:r>
      <w:r>
        <w:rPr>
          <w:rFonts w:ascii="Century Gothic" w:hAnsi="Century Gothic"/>
          <w:sz w:val="20"/>
        </w:rPr>
        <w:t>sale infrastructure, Euronet enables real</w:t>
      </w:r>
      <w:r>
        <w:rPr/>
        <w:noBreakHyphen/>
      </w:r>
      <w:r>
        <w:rPr>
          <w:rFonts w:ascii="Century Gothic" w:hAnsi="Century Gothic"/>
          <w:sz w:val="20"/>
        </w:rPr>
        <w:t>time, digital and cross</w:t>
      </w:r>
      <w:r>
        <w:rPr/>
        <w:noBreakHyphen/>
      </w:r>
      <w:r>
        <w:rPr>
          <w:rFonts w:ascii="Century Gothic" w:hAnsi="Century Gothic"/>
          <w:sz w:val="20"/>
        </w:rPr>
        <w:t>border movement of money at global scale. In 2025, Euronet processed more than 20 billion transactions across its network. Headquartered in Leawood, Kansas USA, Euronet operates from 74</w:t>
      </w:r>
      <w:r>
        <w:rPr/>
        <w:t> </w:t>
      </w:r>
      <w:r>
        <w:rPr>
          <w:rFonts w:ascii="Century Gothic" w:hAnsi="Century Gothic"/>
          <w:sz w:val="20"/>
        </w:rPr>
        <w:t>offices worldwide. For more information, visit www.euronet.com.</w:t>
      </w:r>
    </w:p>
    <w:p>
      <w:pPr>
        <w:pStyle w:val="TextBody"/>
        <w:bidi w:val="0"/>
        <w:spacing w:lineRule="atLeast" w:line="264" w:before="0" w:after="0"/>
        <w:jc w:val="both"/>
        <w:rPr/>
      </w:pPr>
      <w:r>
        <w:rPr/>
        <w:t> </w:t>
      </w:r>
    </w:p>
    <w:p>
      <w:pPr>
        <w:pStyle w:val="TextBody"/>
        <w:bidi w:val="0"/>
        <w:spacing w:before="0" w:after="0"/>
        <w:jc w:val="both"/>
        <w:rPr>
          <w:sz w:val="20"/>
        </w:rPr>
      </w:pPr>
      <w:r>
        <w:rPr>
          <w:rFonts w:ascii="Century Gothic" w:hAnsi="Century Gothic"/>
          <w:sz w:val="20"/>
        </w:rPr>
        <w:t>Statements contained in this news release that concern</w:t>
      </w:r>
      <w:r>
        <w:rPr>
          <w:sz w:val="20"/>
        </w:rPr>
        <w:t> </w:t>
      </w:r>
      <w:r>
        <w:rPr>
          <w:rFonts w:ascii="Century Gothic" w:hAnsi="Century Gothic"/>
          <w:sz w:val="20"/>
        </w:rPr>
        <w:t>Euronet's</w:t>
      </w:r>
      <w:r>
        <w:rPr>
          <w:sz w:val="20"/>
        </w:rPr>
        <w:t> </w:t>
      </w:r>
      <w:r>
        <w:rPr>
          <w:rFonts w:ascii="Century Gothic" w:hAnsi="Century Gothic"/>
          <w:sz w:val="20"/>
        </w:rPr>
        <w:t>or its management's intentions, expectations, or predictions of future performance, are forward-looking statements.</w:t>
      </w:r>
      <w:r>
        <w:rPr>
          <w:sz w:val="20"/>
        </w:rPr>
        <w:t> </w:t>
      </w:r>
      <w:r>
        <w:rPr>
          <w:rFonts w:ascii="Century Gothic" w:hAnsi="Century Gothic"/>
          <w:sz w:val="20"/>
        </w:rPr>
        <w:t>Euronet's</w:t>
      </w:r>
      <w:r>
        <w:rPr>
          <w:sz w:val="20"/>
        </w:rPr>
        <w:t> </w:t>
      </w:r>
      <w:r>
        <w:rPr>
          <w:rFonts w:ascii="Century Gothic" w:hAnsi="Century Gothic"/>
          <w:sz w:val="20"/>
        </w:rPr>
        <w:t>actual results may vary materially from those anticipated in such forward-looking statements as a result of a number of factors, including: conditions in world financial markets and general economic conditions, including impacts from pandemics or other disease outbreaks; inflation; military conflicts in the</w:t>
      </w:r>
      <w:r>
        <w:rPr>
          <w:sz w:val="20"/>
        </w:rPr>
        <w:t> </w:t>
      </w:r>
      <w:r>
        <w:rPr>
          <w:rFonts w:ascii="Century Gothic" w:hAnsi="Century Gothic"/>
          <w:sz w:val="20"/>
        </w:rPr>
        <w:t>Ukraine</w:t>
      </w:r>
      <w:r>
        <w:rPr>
          <w:sz w:val="20"/>
        </w:rPr>
        <w:t> </w:t>
      </w:r>
      <w:r>
        <w:rPr>
          <w:rFonts w:ascii="Century Gothic" w:hAnsi="Century Gothic"/>
          <w:sz w:val="20"/>
        </w:rPr>
        <w:t>and the</w:t>
      </w:r>
      <w:r>
        <w:rPr>
          <w:sz w:val="20"/>
        </w:rPr>
        <w:t> </w:t>
      </w:r>
      <w:r>
        <w:rPr>
          <w:rFonts w:ascii="Century Gothic" w:hAnsi="Century Gothic"/>
          <w:sz w:val="20"/>
        </w:rPr>
        <w:t>Middle East, and the related economic sanctions;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w:t>
      </w:r>
      <w:r>
        <w:rPr>
          <w:sz w:val="20"/>
        </w:rPr>
        <w:t> </w:t>
      </w:r>
      <w:r>
        <w:rPr>
          <w:rFonts w:ascii="Century Gothic" w:hAnsi="Century Gothic"/>
          <w:sz w:val="20"/>
        </w:rPr>
        <w:t>third</w:t>
      </w:r>
      <w:r>
        <w:rPr>
          <w:sz w:val="20"/>
        </w:rPr>
        <w:t> </w:t>
      </w:r>
      <w:r>
        <w:rPr>
          <w:rFonts w:ascii="Century Gothic" w:hAnsi="Century Gothic"/>
          <w:sz w:val="20"/>
        </w:rPr>
        <w:t>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privacy; changes in laws and regulations affecting our business, including tax and immigration laws and any laws regulating payments, including dynamic currency conversion transactions and digital assets; changes in our relationships with, or in fees charged by, our business partners; competition; the outcome of claims and other loss contingencies affecting</w:t>
      </w:r>
      <w:r>
        <w:rPr>
          <w:sz w:val="20"/>
        </w:rPr>
        <w:t> </w:t>
      </w:r>
      <w:r>
        <w:rPr>
          <w:rFonts w:ascii="Century Gothic" w:hAnsi="Century Gothic"/>
          <w:sz w:val="20"/>
        </w:rPr>
        <w:t>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w:t>
      </w:r>
      <w:r>
        <w:rPr>
          <w:sz w:val="20"/>
        </w:rPr>
        <w:t> </w:t>
      </w:r>
      <w:r>
        <w:rPr>
          <w:rFonts w:ascii="Century Gothic" w:hAnsi="Century Gothic"/>
          <w:sz w:val="20"/>
        </w:rPr>
        <w:t>SEC's</w:t>
      </w:r>
      <w:r>
        <w:rPr>
          <w:sz w:val="20"/>
        </w:rPr>
        <w:t> </w:t>
      </w:r>
      <w:r>
        <w:rPr>
          <w:rFonts w:ascii="Century Gothic" w:hAnsi="Century Gothic"/>
          <w:sz w:val="20"/>
        </w:rPr>
        <w:t>Edgar website or by contacting the Company. Any forward-looking statements made in this release speak only as of the date of this release.</w:t>
      </w:r>
      <w:r>
        <w:rPr>
          <w:sz w:val="20"/>
        </w:rPr>
        <w:t> </w:t>
      </w:r>
      <w:r>
        <w:rPr>
          <w:rFonts w:ascii="Century Gothic" w:hAnsi="Century Gothic"/>
          <w:sz w:val="20"/>
        </w:rPr>
        <w:t>Except as may be required by law,</w:t>
      </w:r>
      <w:r>
        <w:rPr>
          <w:sz w:val="20"/>
        </w:rPr>
        <w:t> </w:t>
      </w:r>
      <w:r>
        <w:rPr>
          <w:rFonts w:ascii="Century Gothic" w:hAnsi="Century Gothic"/>
          <w:sz w:val="20"/>
        </w:rPr>
        <w:t>Euronet does not intend to update these forward-looking statements and undertakes no duty to any person to provide any such update under any circumstances. The Company regularly posts important information to the investor relations section of its website.</w:t>
      </w:r>
      <w:r>
        <w:rPr>
          <w:sz w:val="20"/>
        </w:rPr>
        <w:t> </w:t>
      </w:r>
    </w:p>
    <w:p>
      <w:pPr>
        <w:pStyle w:val="TextBody"/>
        <w:bidi w:val="0"/>
        <w:spacing w:before="0" w:after="0"/>
        <w:jc w:val="both"/>
        <w:rPr/>
      </w:pPr>
      <w:r>
        <w:rPr/>
        <w:t> </w:t>
      </w:r>
    </w:p>
    <w:p>
      <w:pPr>
        <w:pStyle w:val="HorizontalLine"/>
        <w:pBdr>
          <w:bottom w:val="double" w:sz="2" w:space="0" w:color="808080"/>
        </w:pBdr>
        <w:bidi w:val="0"/>
        <w:jc w:val="center"/>
        <w:rPr/>
      </w:pPr>
      <w:r>
        <w:rPr/>
      </w:r>
    </w:p>
    <w:p>
      <w:pPr>
        <w:pStyle w:val="TextBody"/>
        <w:bidi w:val="0"/>
        <w:spacing w:before="0" w:after="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jc w:val="center"/>
              <w:rPr/>
            </w:pPr>
            <w:r>
              <w:rPr/>
              <w:t> </w:t>
            </w:r>
            <w:r>
              <w:rPr>
                <w:rFonts w:ascii="Century Gothic" w:hAnsi="Century Gothic"/>
                <w:b/>
                <w:sz w:val="20"/>
              </w:rPr>
              <w:t>EURONET WORLDWIDE, INC.</w:t>
            </w:r>
          </w:p>
        </w:tc>
      </w:tr>
      <w:tr>
        <w:trPr/>
        <w:tc>
          <w:tcPr>
            <w:tcW w:w="4595" w:type="dxa"/>
            <w:tcBorders/>
            <w:vAlign w:val="center"/>
          </w:tcPr>
          <w:p>
            <w:pPr>
              <w:pStyle w:val="TableContents"/>
              <w:bidi w:val="0"/>
              <w:spacing w:before="0" w:after="0"/>
              <w:jc w:val="center"/>
              <w:rPr/>
            </w:pPr>
            <w:r>
              <w:rPr/>
              <w:t> </w:t>
            </w:r>
            <w:r>
              <w:rPr>
                <w:rFonts w:ascii="Century Gothic" w:hAnsi="Century Gothic"/>
                <w:b/>
                <w:sz w:val="20"/>
              </w:rPr>
              <w:t>Condensed Consolidated Balance Sheets</w:t>
            </w:r>
          </w:p>
        </w:tc>
      </w:tr>
      <w:tr>
        <w:trPr/>
        <w:tc>
          <w:tcPr>
            <w:tcW w:w="4595" w:type="dxa"/>
            <w:tcBorders/>
            <w:vAlign w:val="center"/>
          </w:tcPr>
          <w:p>
            <w:pPr>
              <w:pStyle w:val="TableContents"/>
              <w:bidi w:val="0"/>
              <w:spacing w:before="0" w:after="0"/>
              <w:jc w:val="center"/>
              <w:rPr/>
            </w:pPr>
            <w:r>
              <w:rPr/>
              <w:t> </w:t>
            </w:r>
            <w:r>
              <w:rPr>
                <w:rFonts w:ascii="Century Gothic" w:hAnsi="Century Gothic"/>
                <w:b/>
                <w:sz w:val="20"/>
              </w:rPr>
              <w:t>(in millions)</w:t>
            </w:r>
          </w:p>
        </w:tc>
      </w:tr>
    </w:tbl>
    <w:p>
      <w:pPr>
        <w:pStyle w:val="TextBody"/>
        <w:bidi w:val="0"/>
        <w:spacing w:before="0" w:after="0"/>
        <w:jc w:val="left"/>
        <w:rPr/>
      </w:pPr>
      <w:r>
        <w:rPr/>
        <w:t> </w:t>
      </w:r>
    </w:p>
    <w:tbl>
      <w:tblPr>
        <w:tblW w:w="7843" w:type="dxa"/>
        <w:jc w:val="left"/>
        <w:tblInd w:w="0" w:type="dxa"/>
        <w:tblLayout w:type="fixed"/>
        <w:tblCellMar>
          <w:top w:w="0" w:type="dxa"/>
          <w:left w:w="0" w:type="dxa"/>
          <w:bottom w:w="0" w:type="dxa"/>
          <w:right w:w="0" w:type="dxa"/>
        </w:tblCellMar>
      </w:tblPr>
      <w:tblGrid>
        <w:gridCol w:w="4910"/>
        <w:gridCol w:w="205"/>
        <w:gridCol w:w="1089"/>
        <w:gridCol w:w="60"/>
        <w:gridCol w:w="246"/>
        <w:gridCol w:w="1333"/>
      </w:tblGrid>
      <w:tr>
        <w:trPr/>
        <w:tc>
          <w:tcPr>
            <w:tcW w:w="4910" w:type="dxa"/>
            <w:tcBorders/>
            <w:vAlign w:val="center"/>
          </w:tcPr>
          <w:p>
            <w:pPr>
              <w:pStyle w:val="TableContents"/>
              <w:bidi w:val="0"/>
              <w:spacing w:before="0" w:after="0"/>
              <w:jc w:val="left"/>
              <w:rPr/>
            </w:pPr>
            <w:r>
              <w:rPr/>
              <w:t> </w:t>
            </w:r>
          </w:p>
        </w:tc>
        <w:tc>
          <w:tcPr>
            <w:tcW w:w="1294" w:type="dxa"/>
            <w:gridSpan w:val="2"/>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As of</w:t>
            </w:r>
          </w:p>
        </w:tc>
        <w:tc>
          <w:tcPr>
            <w:tcW w:w="60" w:type="dxa"/>
            <w:tcBorders/>
            <w:vAlign w:val="center"/>
          </w:tcPr>
          <w:p>
            <w:pPr>
              <w:pStyle w:val="TableContents"/>
              <w:bidi w:val="0"/>
              <w:spacing w:before="0" w:after="0"/>
              <w:jc w:val="left"/>
              <w:rPr/>
            </w:pPr>
            <w:r>
              <w:rPr/>
              <w:t> </w:t>
            </w:r>
          </w:p>
        </w:tc>
        <w:tc>
          <w:tcPr>
            <w:tcW w:w="1579" w:type="dxa"/>
            <w:gridSpan w:val="2"/>
            <w:tcBorders/>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jc w:val="left"/>
              <w:rPr/>
            </w:pPr>
            <w:r>
              <w:rPr/>
              <w:t> </w:t>
            </w:r>
          </w:p>
        </w:tc>
        <w:tc>
          <w:tcPr>
            <w:tcW w:w="1294" w:type="dxa"/>
            <w:gridSpan w:val="2"/>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June 30,</w:t>
            </w:r>
          </w:p>
        </w:tc>
        <w:tc>
          <w:tcPr>
            <w:tcW w:w="60" w:type="dxa"/>
            <w:tcBorders/>
            <w:vAlign w:val="center"/>
          </w:tcPr>
          <w:p>
            <w:pPr>
              <w:pStyle w:val="TableContents"/>
              <w:bidi w:val="0"/>
              <w:spacing w:before="0" w:after="0"/>
              <w:jc w:val="left"/>
              <w:rPr/>
            </w:pPr>
            <w:r>
              <w:rPr/>
              <w:t> </w:t>
            </w:r>
          </w:p>
        </w:tc>
        <w:tc>
          <w:tcPr>
            <w:tcW w:w="1579" w:type="dxa"/>
            <w:gridSpan w:val="2"/>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As of</w:t>
            </w:r>
          </w:p>
        </w:tc>
      </w:tr>
      <w:tr>
        <w:trPr/>
        <w:tc>
          <w:tcPr>
            <w:tcW w:w="4910" w:type="dxa"/>
            <w:tcBorders/>
            <w:vAlign w:val="center"/>
          </w:tcPr>
          <w:p>
            <w:pPr>
              <w:pStyle w:val="TableContents"/>
              <w:bidi w:val="0"/>
              <w:spacing w:before="0" w:after="0"/>
              <w:jc w:val="left"/>
              <w:rPr/>
            </w:pPr>
            <w:r>
              <w:rPr/>
              <w:t> </w:t>
            </w:r>
          </w:p>
        </w:tc>
        <w:tc>
          <w:tcPr>
            <w:tcW w:w="1294" w:type="dxa"/>
            <w:gridSpan w:val="2"/>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2026</w:t>
            </w:r>
          </w:p>
        </w:tc>
        <w:tc>
          <w:tcPr>
            <w:tcW w:w="60" w:type="dxa"/>
            <w:tcBorders/>
            <w:vAlign w:val="center"/>
          </w:tcPr>
          <w:p>
            <w:pPr>
              <w:pStyle w:val="TableContents"/>
              <w:bidi w:val="0"/>
              <w:spacing w:before="0" w:after="0"/>
              <w:jc w:val="left"/>
              <w:rPr/>
            </w:pPr>
            <w:r>
              <w:rPr/>
              <w:t> </w:t>
            </w:r>
          </w:p>
        </w:tc>
        <w:tc>
          <w:tcPr>
            <w:tcW w:w="1579" w:type="dxa"/>
            <w:gridSpan w:val="2"/>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December 31,</w:t>
            </w:r>
          </w:p>
        </w:tc>
      </w:tr>
      <w:tr>
        <w:trPr/>
        <w:tc>
          <w:tcPr>
            <w:tcW w:w="4910" w:type="dxa"/>
            <w:tcBorders/>
            <w:vAlign w:val="center"/>
          </w:tcPr>
          <w:p>
            <w:pPr>
              <w:pStyle w:val="TableContents"/>
              <w:bidi w:val="0"/>
              <w:spacing w:before="0" w:after="0"/>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(unaudited)</w:t>
            </w:r>
          </w:p>
        </w:tc>
        <w:tc>
          <w:tcPr>
            <w:tcW w:w="60" w:type="dxa"/>
            <w:tcBorders/>
            <w:vAlign w:val="center"/>
          </w:tcPr>
          <w:p>
            <w:pPr>
              <w:pStyle w:val="TableContents"/>
              <w:bidi w:val="0"/>
              <w:spacing w:before="0" w:after="0"/>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2025</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ASSETS</w:t>
            </w:r>
          </w:p>
        </w:tc>
        <w:tc>
          <w:tcPr>
            <w:tcW w:w="205" w:type="dxa"/>
            <w:tcBorders>
              <w:top w:val="single" w:sz="8" w:space="0" w:color="000000"/>
            </w:tcBorders>
            <w:tcMar>
              <w:top w:w="28" w:type="dxa"/>
            </w:tcMar>
            <w:vAlign w:val="center"/>
          </w:tcPr>
          <w:p>
            <w:pPr>
              <w:pStyle w:val="TableContents"/>
              <w:bidi w:val="0"/>
              <w:spacing w:before="0" w:after="0"/>
              <w:jc w:val="left"/>
              <w:rPr/>
            </w:pPr>
            <w:r>
              <w:rPr/>
              <w:t> </w:t>
            </w:r>
          </w:p>
        </w:tc>
        <w:tc>
          <w:tcPr>
            <w:tcW w:w="1089"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top w:val="single" w:sz="8" w:space="0" w:color="000000"/>
            </w:tcBorders>
            <w:tcMar>
              <w:top w:w="28" w:type="dxa"/>
            </w:tcMar>
            <w:vAlign w:val="center"/>
          </w:tcPr>
          <w:p>
            <w:pPr>
              <w:pStyle w:val="TableContents"/>
              <w:bidi w:val="0"/>
              <w:spacing w:before="0" w:after="0"/>
              <w:jc w:val="left"/>
              <w:rPr/>
            </w:pPr>
            <w:r>
              <w:rPr/>
              <w:t> </w:t>
            </w:r>
          </w:p>
        </w:tc>
        <w:tc>
          <w:tcPr>
            <w:tcW w:w="1333"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Current assets:</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Cash and cash equivalents</w:t>
            </w:r>
          </w:p>
        </w:tc>
        <w:tc>
          <w:tcPr>
            <w:tcW w:w="205"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1,196.7</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1,040.3</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 xml:space="preserve">ATM cash </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987.2</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650.3</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Restricted cash</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36.8</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23.2</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Settlement assets</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1,425.3</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1,910.4 </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 xml:space="preserve">Trade accounts receivable, net </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363.9</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334.5 </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Prepaid expenses and other current assets</w:t>
            </w:r>
          </w:p>
        </w:tc>
        <w:tc>
          <w:tcPr>
            <w:tcW w:w="205" w:type="dxa"/>
            <w:tcBorders>
              <w:bottom w:val="single" w:sz="6" w:space="0" w:color="000000"/>
            </w:tcBorders>
            <w:tcMar>
              <w:bottom w:w="28" w:type="dxa"/>
            </w:tcMar>
            <w:vAlign w:val="center"/>
          </w:tcPr>
          <w:p>
            <w:pPr>
              <w:pStyle w:val="TableContents"/>
              <w:bidi w:val="0"/>
              <w:spacing w:before="0" w:after="0"/>
              <w:jc w:val="left"/>
              <w:rPr/>
            </w:pPr>
            <w:r>
              <w:rPr/>
              <w:t> </w:t>
            </w:r>
          </w:p>
        </w:tc>
        <w:tc>
          <w:tcPr>
            <w:tcW w:w="1089"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321.7</w:t>
            </w:r>
          </w:p>
        </w:tc>
        <w:tc>
          <w:tcPr>
            <w:tcW w:w="60" w:type="dxa"/>
            <w:tcBorders/>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1333"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311.5 </w:t>
            </w:r>
          </w:p>
        </w:tc>
      </w:tr>
      <w:tr>
        <w:trPr/>
        <w:tc>
          <w:tcPr>
            <w:tcW w:w="4910" w:type="dxa"/>
            <w:tcBorders/>
            <w:vAlign w:val="center"/>
          </w:tcPr>
          <w:p>
            <w:pPr>
              <w:pStyle w:val="TableContents"/>
              <w:bidi w:val="0"/>
              <w:spacing w:before="0" w:after="0"/>
              <w:ind w:left="540" w:right="0" w:hanging="0"/>
              <w:jc w:val="left"/>
              <w:rPr>
                <w:rFonts w:ascii="Century Gothic" w:hAnsi="Century Gothic"/>
                <w:sz w:val="20"/>
              </w:rPr>
            </w:pPr>
            <w:r>
              <w:rPr>
                <w:rFonts w:ascii="Century Gothic" w:hAnsi="Century Gothic"/>
                <w:sz w:val="20"/>
              </w:rPr>
              <w:t>Total current assets</w:t>
            </w:r>
          </w:p>
        </w:tc>
        <w:tc>
          <w:tcPr>
            <w:tcW w:w="205" w:type="dxa"/>
            <w:tcBorders>
              <w:top w:val="single" w:sz="6" w:space="0" w:color="000000"/>
            </w:tcBorders>
            <w:tcMar>
              <w:top w:w="28" w:type="dxa"/>
            </w:tcMar>
            <w:vAlign w:val="center"/>
          </w:tcPr>
          <w:p>
            <w:pPr>
              <w:pStyle w:val="TableContents"/>
              <w:bidi w:val="0"/>
              <w:spacing w:before="0" w:after="0"/>
              <w:jc w:val="left"/>
              <w:rPr/>
            </w:pPr>
            <w:r>
              <w:rPr/>
              <w:t> </w:t>
            </w:r>
          </w:p>
        </w:tc>
        <w:tc>
          <w:tcPr>
            <w:tcW w:w="1089"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4,331.6</w:t>
            </w:r>
          </w:p>
        </w:tc>
        <w:tc>
          <w:tcPr>
            <w:tcW w:w="60" w:type="dxa"/>
            <w:tcBorders/>
            <w:vAlign w:val="center"/>
          </w:tcPr>
          <w:p>
            <w:pPr>
              <w:pStyle w:val="TableContents"/>
              <w:bidi w:val="0"/>
              <w:spacing w:before="0" w:after="0"/>
              <w:jc w:val="left"/>
              <w:rPr/>
            </w:pPr>
            <w:r>
              <w:rPr/>
              <w:t> </w:t>
            </w:r>
          </w:p>
        </w:tc>
        <w:tc>
          <w:tcPr>
            <w:tcW w:w="246" w:type="dxa"/>
            <w:tcBorders>
              <w:top w:val="single" w:sz="6" w:space="0" w:color="000000"/>
            </w:tcBorders>
            <w:tcMar>
              <w:top w:w="28" w:type="dxa"/>
            </w:tcMar>
            <w:vAlign w:val="center"/>
          </w:tcPr>
          <w:p>
            <w:pPr>
              <w:pStyle w:val="TableContents"/>
              <w:bidi w:val="0"/>
              <w:spacing w:before="0" w:after="0"/>
              <w:jc w:val="left"/>
              <w:rPr/>
            </w:pPr>
            <w:r>
              <w:rPr/>
              <w:t> </w:t>
            </w:r>
          </w:p>
        </w:tc>
        <w:tc>
          <w:tcPr>
            <w:tcW w:w="1333"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4,270.2</w:t>
            </w:r>
          </w:p>
        </w:tc>
      </w:tr>
      <w:tr>
        <w:trPr/>
        <w:tc>
          <w:tcPr>
            <w:tcW w:w="4910"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Property and equipment, net</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371.8</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375.3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Right of use lease asset, net</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149.9</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153.9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Goodwill and acquired intangible assets, net</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1,266.7</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1,303.5</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Other assets, net</w:t>
            </w:r>
          </w:p>
        </w:tc>
        <w:tc>
          <w:tcPr>
            <w:tcW w:w="205" w:type="dxa"/>
            <w:tcBorders>
              <w:bottom w:val="single" w:sz="6" w:space="0" w:color="000000"/>
            </w:tcBorders>
            <w:tcMar>
              <w:bottom w:w="28" w:type="dxa"/>
            </w:tcMar>
            <w:vAlign w:val="center"/>
          </w:tcPr>
          <w:p>
            <w:pPr>
              <w:pStyle w:val="TableContents"/>
              <w:bidi w:val="0"/>
              <w:spacing w:before="0" w:after="0"/>
              <w:jc w:val="left"/>
              <w:rPr/>
            </w:pPr>
            <w:r>
              <w:rPr/>
              <w:t> </w:t>
            </w:r>
          </w:p>
        </w:tc>
        <w:tc>
          <w:tcPr>
            <w:tcW w:w="1089"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373.1</w:t>
            </w:r>
          </w:p>
        </w:tc>
        <w:tc>
          <w:tcPr>
            <w:tcW w:w="60" w:type="dxa"/>
            <w:tcBorders/>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1333"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385.8 </w:t>
            </w:r>
          </w:p>
        </w:tc>
      </w:tr>
      <w:tr>
        <w:trPr/>
        <w:tc>
          <w:tcPr>
            <w:tcW w:w="4910" w:type="dxa"/>
            <w:tcBorders/>
            <w:vAlign w:val="center"/>
          </w:tcPr>
          <w:p>
            <w:pPr>
              <w:pStyle w:val="TableContents"/>
              <w:bidi w:val="0"/>
              <w:spacing w:before="0" w:after="0"/>
              <w:ind w:left="720" w:right="0" w:hanging="0"/>
              <w:jc w:val="left"/>
              <w:rPr>
                <w:rFonts w:ascii="Century Gothic" w:hAnsi="Century Gothic"/>
                <w:sz w:val="20"/>
              </w:rPr>
            </w:pPr>
            <w:r>
              <w:rPr>
                <w:rFonts w:ascii="Century Gothic" w:hAnsi="Century Gothic"/>
                <w:sz w:val="20"/>
              </w:rPr>
              <w:t>Total assets</w:t>
            </w:r>
          </w:p>
        </w:tc>
        <w:tc>
          <w:tcPr>
            <w:tcW w:w="205"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089"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6,493.1</w:t>
            </w:r>
          </w:p>
        </w:tc>
        <w:tc>
          <w:tcPr>
            <w:tcW w:w="60" w:type="dxa"/>
            <w:tcBorders/>
            <w:vAlign w:val="center"/>
          </w:tcPr>
          <w:p>
            <w:pPr>
              <w:pStyle w:val="TableContents"/>
              <w:bidi w:val="0"/>
              <w:spacing w:before="0" w:after="0"/>
              <w:jc w:val="left"/>
              <w:rPr/>
            </w:pPr>
            <w:r>
              <w:rPr/>
              <w:t> </w:t>
            </w:r>
          </w:p>
        </w:tc>
        <w:tc>
          <w:tcPr>
            <w:tcW w:w="246"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33"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6,488.7</w:t>
            </w:r>
          </w:p>
        </w:tc>
      </w:tr>
      <w:tr>
        <w:trPr/>
        <w:tc>
          <w:tcPr>
            <w:tcW w:w="4910" w:type="dxa"/>
            <w:tcBorders/>
            <w:vAlign w:val="center"/>
          </w:tcPr>
          <w:p>
            <w:pPr>
              <w:pStyle w:val="TableContents"/>
              <w:bidi w:val="0"/>
              <w:spacing w:before="0" w:after="0"/>
              <w:jc w:val="left"/>
              <w:rPr/>
            </w:pPr>
            <w:r>
              <w:rPr/>
              <w:t> </w:t>
            </w:r>
          </w:p>
        </w:tc>
        <w:tc>
          <w:tcPr>
            <w:tcW w:w="205" w:type="dxa"/>
            <w:tcBorders>
              <w:top w:val="double" w:sz="6" w:space="0" w:color="000000"/>
            </w:tcBorders>
            <w:tcMar>
              <w:top w:w="28" w:type="dxa"/>
            </w:tcMar>
            <w:vAlign w:val="center"/>
          </w:tcPr>
          <w:p>
            <w:pPr>
              <w:pStyle w:val="TableContents"/>
              <w:bidi w:val="0"/>
              <w:spacing w:before="0" w:after="0"/>
              <w:jc w:val="left"/>
              <w:rPr/>
            </w:pPr>
            <w:r>
              <w:rPr/>
              <w:t> </w:t>
            </w:r>
          </w:p>
        </w:tc>
        <w:tc>
          <w:tcPr>
            <w:tcW w:w="1089" w:type="dxa"/>
            <w:tcBorders>
              <w:top w:val="doub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top w:val="double" w:sz="6" w:space="0" w:color="000000"/>
            </w:tcBorders>
            <w:tcMar>
              <w:top w:w="28" w:type="dxa"/>
            </w:tcMar>
            <w:vAlign w:val="center"/>
          </w:tcPr>
          <w:p>
            <w:pPr>
              <w:pStyle w:val="TableContents"/>
              <w:bidi w:val="0"/>
              <w:spacing w:before="0" w:after="0"/>
              <w:jc w:val="left"/>
              <w:rPr/>
            </w:pPr>
            <w:r>
              <w:rPr/>
              <w:t> </w:t>
            </w:r>
          </w:p>
        </w:tc>
        <w:tc>
          <w:tcPr>
            <w:tcW w:w="1333" w:type="dxa"/>
            <w:tcBorders>
              <w:top w:val="double" w:sz="6" w:space="0" w:color="000000"/>
            </w:tcBorders>
            <w:tcMar>
              <w:top w:w="28" w:type="dxa"/>
            </w:tcMar>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LIABILITIES AND EQUITY</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Current liabilities:</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Settlement obligations</w:t>
            </w:r>
          </w:p>
        </w:tc>
        <w:tc>
          <w:tcPr>
            <w:tcW w:w="205"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1,425.3</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1,910.4 </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Accounts payable and other current liabilities</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852.1</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905.2</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Current portion of operating lease obligations</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55.8</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54.9 </w:t>
            </w:r>
          </w:p>
        </w:tc>
      </w:tr>
      <w:tr>
        <w:trPr/>
        <w:tc>
          <w:tcPr>
            <w:tcW w:w="4910" w:type="dxa"/>
            <w:tcBorders/>
            <w:vAlign w:val="center"/>
          </w:tcPr>
          <w:p>
            <w:pPr>
              <w:pStyle w:val="TableContents"/>
              <w:bidi w:val="0"/>
              <w:spacing w:before="0" w:after="0"/>
              <w:ind w:left="360" w:right="0" w:hanging="0"/>
              <w:jc w:val="left"/>
              <w:rPr>
                <w:rFonts w:ascii="Century Gothic" w:hAnsi="Century Gothic"/>
                <w:sz w:val="20"/>
              </w:rPr>
            </w:pPr>
            <w:r>
              <w:rPr>
                <w:rFonts w:ascii="Century Gothic" w:hAnsi="Century Gothic"/>
                <w:sz w:val="20"/>
              </w:rPr>
              <w:t>Short-term debt obligations</w:t>
            </w:r>
          </w:p>
        </w:tc>
        <w:tc>
          <w:tcPr>
            <w:tcW w:w="205" w:type="dxa"/>
            <w:tcBorders>
              <w:bottom w:val="single" w:sz="6" w:space="0" w:color="000000"/>
            </w:tcBorders>
            <w:tcMar>
              <w:bottom w:w="28" w:type="dxa"/>
            </w:tcMar>
            <w:vAlign w:val="center"/>
          </w:tcPr>
          <w:p>
            <w:pPr>
              <w:pStyle w:val="TableContents"/>
              <w:bidi w:val="0"/>
              <w:spacing w:before="0" w:after="0"/>
              <w:jc w:val="left"/>
              <w:rPr/>
            </w:pPr>
            <w:r>
              <w:rPr/>
              <w:t> </w:t>
            </w:r>
          </w:p>
        </w:tc>
        <w:tc>
          <w:tcPr>
            <w:tcW w:w="1089"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827.0</w:t>
            </w:r>
          </w:p>
        </w:tc>
        <w:tc>
          <w:tcPr>
            <w:tcW w:w="60" w:type="dxa"/>
            <w:tcBorders/>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1333"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984.2</w:t>
            </w:r>
          </w:p>
        </w:tc>
      </w:tr>
      <w:tr>
        <w:trPr/>
        <w:tc>
          <w:tcPr>
            <w:tcW w:w="4910" w:type="dxa"/>
            <w:tcBorders/>
            <w:vAlign w:val="center"/>
          </w:tcPr>
          <w:p>
            <w:pPr>
              <w:pStyle w:val="TableContents"/>
              <w:bidi w:val="0"/>
              <w:spacing w:before="0" w:after="0"/>
              <w:ind w:left="540" w:right="0" w:hanging="0"/>
              <w:jc w:val="left"/>
              <w:rPr>
                <w:rFonts w:ascii="Century Gothic" w:hAnsi="Century Gothic"/>
                <w:sz w:val="20"/>
              </w:rPr>
            </w:pPr>
            <w:r>
              <w:rPr>
                <w:rFonts w:ascii="Century Gothic" w:hAnsi="Century Gothic"/>
                <w:sz w:val="20"/>
              </w:rPr>
              <w:t>Total current liabilities</w:t>
            </w:r>
          </w:p>
        </w:tc>
        <w:tc>
          <w:tcPr>
            <w:tcW w:w="205" w:type="dxa"/>
            <w:tcBorders>
              <w:top w:val="single" w:sz="6" w:space="0" w:color="000000"/>
            </w:tcBorders>
            <w:tcMar>
              <w:top w:w="28" w:type="dxa"/>
            </w:tcMar>
            <w:vAlign w:val="center"/>
          </w:tcPr>
          <w:p>
            <w:pPr>
              <w:pStyle w:val="TableContents"/>
              <w:bidi w:val="0"/>
              <w:spacing w:before="0" w:after="0"/>
              <w:jc w:val="left"/>
              <w:rPr/>
            </w:pPr>
            <w:r>
              <w:rPr/>
              <w:t> </w:t>
            </w:r>
          </w:p>
        </w:tc>
        <w:tc>
          <w:tcPr>
            <w:tcW w:w="1089"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3,160.2</w:t>
            </w:r>
          </w:p>
        </w:tc>
        <w:tc>
          <w:tcPr>
            <w:tcW w:w="60" w:type="dxa"/>
            <w:tcBorders/>
            <w:vAlign w:val="center"/>
          </w:tcPr>
          <w:p>
            <w:pPr>
              <w:pStyle w:val="TableContents"/>
              <w:bidi w:val="0"/>
              <w:spacing w:before="0" w:after="0"/>
              <w:jc w:val="left"/>
              <w:rPr/>
            </w:pPr>
            <w:r>
              <w:rPr/>
              <w:t> </w:t>
            </w:r>
          </w:p>
        </w:tc>
        <w:tc>
          <w:tcPr>
            <w:tcW w:w="246" w:type="dxa"/>
            <w:tcBorders>
              <w:top w:val="single" w:sz="6" w:space="0" w:color="000000"/>
            </w:tcBorders>
            <w:tcMar>
              <w:top w:w="28" w:type="dxa"/>
            </w:tcMar>
            <w:vAlign w:val="center"/>
          </w:tcPr>
          <w:p>
            <w:pPr>
              <w:pStyle w:val="TableContents"/>
              <w:bidi w:val="0"/>
              <w:spacing w:before="0" w:after="0"/>
              <w:jc w:val="left"/>
              <w:rPr/>
            </w:pPr>
            <w:r>
              <w:rPr/>
              <w:t> </w:t>
            </w:r>
          </w:p>
        </w:tc>
        <w:tc>
          <w:tcPr>
            <w:tcW w:w="1333"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3,854.7</w:t>
            </w:r>
          </w:p>
        </w:tc>
      </w:tr>
      <w:tr>
        <w:trPr/>
        <w:tc>
          <w:tcPr>
            <w:tcW w:w="4910" w:type="dxa"/>
            <w:tcBorders/>
            <w:vAlign w:val="center"/>
          </w:tcPr>
          <w:p>
            <w:pPr>
              <w:pStyle w:val="TableContents"/>
              <w:bidi w:val="0"/>
              <w:spacing w:before="0" w:after="0"/>
              <w:jc w:val="left"/>
              <w:rPr/>
            </w:pPr>
            <w:r>
              <w:rPr/>
              <w:t> </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left"/>
              <w:rPr/>
            </w:pPr>
            <w:r>
              <w:rPr/>
              <w:t>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Debt obligations, net of current portion</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1,826.8</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1,037.0</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Operating lease obligations, net of current portion</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97.1</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100.6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Capital lease obligations, net of current portion</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0.2</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0.6</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Deferred income taxes</w:t>
            </w:r>
          </w:p>
        </w:tc>
        <w:tc>
          <w:tcPr>
            <w:tcW w:w="205"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75.9</w:t>
            </w:r>
          </w:p>
        </w:tc>
        <w:tc>
          <w:tcPr>
            <w:tcW w:w="60" w:type="dxa"/>
            <w:tcBorders/>
            <w:vAlign w:val="center"/>
          </w:tcPr>
          <w:p>
            <w:pPr>
              <w:pStyle w:val="TableContents"/>
              <w:bidi w:val="0"/>
              <w:spacing w:before="0" w:after="0"/>
              <w:jc w:val="left"/>
              <w:rPr/>
            </w:pPr>
            <w:r>
              <w:rPr/>
              <w:t> </w:t>
            </w:r>
          </w:p>
        </w:tc>
        <w:tc>
          <w:tcPr>
            <w:tcW w:w="246" w:type="dxa"/>
            <w:tcBorders/>
            <w:vAlign w:val="center"/>
          </w:tcPr>
          <w:p>
            <w:pPr>
              <w:pStyle w:val="TableContents"/>
              <w:bidi w:val="0"/>
              <w:spacing w:before="0" w:after="0"/>
              <w:jc w:val="left"/>
              <w:rPr/>
            </w:pPr>
            <w:r>
              <w:rPr/>
              <w:t> </w:t>
            </w:r>
          </w:p>
        </w:tc>
        <w:tc>
          <w:tcPr>
            <w:tcW w:w="1333"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78.3 </w:t>
            </w:r>
          </w:p>
        </w:tc>
      </w:tr>
      <w:tr>
        <w:trPr/>
        <w:tc>
          <w:tcPr>
            <w:tcW w:w="491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Other long-term liabilities</w:t>
            </w:r>
          </w:p>
        </w:tc>
        <w:tc>
          <w:tcPr>
            <w:tcW w:w="205" w:type="dxa"/>
            <w:tcBorders>
              <w:bottom w:val="single" w:sz="6" w:space="0" w:color="000000"/>
            </w:tcBorders>
            <w:tcMar>
              <w:bottom w:w="28" w:type="dxa"/>
            </w:tcMar>
            <w:vAlign w:val="center"/>
          </w:tcPr>
          <w:p>
            <w:pPr>
              <w:pStyle w:val="TableContents"/>
              <w:bidi w:val="0"/>
              <w:spacing w:before="0" w:after="0"/>
              <w:jc w:val="left"/>
              <w:rPr/>
            </w:pPr>
            <w:r>
              <w:rPr/>
              <w:t> </w:t>
            </w:r>
          </w:p>
        </w:tc>
        <w:tc>
          <w:tcPr>
            <w:tcW w:w="1089"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87.6</w:t>
            </w:r>
          </w:p>
        </w:tc>
        <w:tc>
          <w:tcPr>
            <w:tcW w:w="60" w:type="dxa"/>
            <w:tcBorders/>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1333"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95.0 </w:t>
            </w:r>
          </w:p>
        </w:tc>
      </w:tr>
      <w:tr>
        <w:trPr/>
        <w:tc>
          <w:tcPr>
            <w:tcW w:w="4910" w:type="dxa"/>
            <w:tcBorders/>
            <w:vAlign w:val="center"/>
          </w:tcPr>
          <w:p>
            <w:pPr>
              <w:pStyle w:val="TableContents"/>
              <w:bidi w:val="0"/>
              <w:spacing w:before="0" w:after="0"/>
              <w:ind w:left="720" w:right="0" w:hanging="0"/>
              <w:jc w:val="left"/>
              <w:rPr>
                <w:rFonts w:ascii="Century Gothic" w:hAnsi="Century Gothic"/>
                <w:sz w:val="20"/>
              </w:rPr>
            </w:pPr>
            <w:r>
              <w:rPr>
                <w:rFonts w:ascii="Century Gothic" w:hAnsi="Century Gothic"/>
                <w:sz w:val="20"/>
              </w:rPr>
              <w:t>Total liabilities</w:t>
            </w:r>
          </w:p>
        </w:tc>
        <w:tc>
          <w:tcPr>
            <w:tcW w:w="205" w:type="dxa"/>
            <w:tcBorders>
              <w:top w:val="single" w:sz="6" w:space="0" w:color="000000"/>
            </w:tcBorders>
            <w:tcMar>
              <w:top w:w="28" w:type="dxa"/>
            </w:tcMar>
            <w:vAlign w:val="center"/>
          </w:tcPr>
          <w:p>
            <w:pPr>
              <w:pStyle w:val="TableContents"/>
              <w:bidi w:val="0"/>
              <w:spacing w:before="0" w:after="0"/>
              <w:jc w:val="left"/>
              <w:rPr/>
            </w:pPr>
            <w:r>
              <w:rPr/>
              <w:t> </w:t>
            </w:r>
          </w:p>
        </w:tc>
        <w:tc>
          <w:tcPr>
            <w:tcW w:w="1089"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5,247.8</w:t>
            </w:r>
          </w:p>
        </w:tc>
        <w:tc>
          <w:tcPr>
            <w:tcW w:w="60" w:type="dxa"/>
            <w:tcBorders/>
            <w:vAlign w:val="center"/>
          </w:tcPr>
          <w:p>
            <w:pPr>
              <w:pStyle w:val="TableContents"/>
              <w:bidi w:val="0"/>
              <w:spacing w:before="0" w:after="0"/>
              <w:jc w:val="left"/>
              <w:rPr/>
            </w:pPr>
            <w:r>
              <w:rPr/>
              <w:t> </w:t>
            </w:r>
          </w:p>
        </w:tc>
        <w:tc>
          <w:tcPr>
            <w:tcW w:w="246" w:type="dxa"/>
            <w:tcBorders>
              <w:top w:val="single" w:sz="6" w:space="0" w:color="000000"/>
            </w:tcBorders>
            <w:tcMar>
              <w:top w:w="28" w:type="dxa"/>
            </w:tcMar>
            <w:vAlign w:val="center"/>
          </w:tcPr>
          <w:p>
            <w:pPr>
              <w:pStyle w:val="TableContents"/>
              <w:bidi w:val="0"/>
              <w:spacing w:before="0" w:after="0"/>
              <w:jc w:val="left"/>
              <w:rPr/>
            </w:pPr>
            <w:r>
              <w:rPr/>
              <w:t> </w:t>
            </w:r>
          </w:p>
        </w:tc>
        <w:tc>
          <w:tcPr>
            <w:tcW w:w="1333"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5,166.2</w:t>
            </w:r>
          </w:p>
        </w:tc>
      </w:tr>
      <w:tr>
        <w:trPr/>
        <w:tc>
          <w:tcPr>
            <w:tcW w:w="4910" w:type="dxa"/>
            <w:tcBorders/>
            <w:vAlign w:val="center"/>
          </w:tcPr>
          <w:p>
            <w:pPr>
              <w:pStyle w:val="TableContents"/>
              <w:bidi w:val="0"/>
              <w:spacing w:before="0" w:after="0"/>
              <w:ind w:left="720" w:right="0" w:hanging="0"/>
              <w:jc w:val="left"/>
              <w:rPr>
                <w:rFonts w:ascii="Century Gothic" w:hAnsi="Century Gothic"/>
                <w:sz w:val="20"/>
              </w:rPr>
            </w:pPr>
            <w:r>
              <w:rPr>
                <w:rFonts w:ascii="Century Gothic" w:hAnsi="Century Gothic"/>
                <w:sz w:val="20"/>
              </w:rPr>
              <w:t>Total equity</w:t>
            </w:r>
          </w:p>
        </w:tc>
        <w:tc>
          <w:tcPr>
            <w:tcW w:w="205" w:type="dxa"/>
            <w:tcBorders>
              <w:bottom w:val="single" w:sz="6" w:space="0" w:color="000000"/>
            </w:tcBorders>
            <w:tcMar>
              <w:bottom w:w="28" w:type="dxa"/>
            </w:tcMar>
            <w:vAlign w:val="center"/>
          </w:tcPr>
          <w:p>
            <w:pPr>
              <w:pStyle w:val="TableContents"/>
              <w:bidi w:val="0"/>
              <w:spacing w:before="0" w:after="0"/>
              <w:jc w:val="left"/>
              <w:rPr/>
            </w:pPr>
            <w:r>
              <w:rPr/>
              <w:t> </w:t>
            </w:r>
          </w:p>
        </w:tc>
        <w:tc>
          <w:tcPr>
            <w:tcW w:w="1089"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1,245.3</w:t>
            </w:r>
          </w:p>
        </w:tc>
        <w:tc>
          <w:tcPr>
            <w:tcW w:w="60" w:type="dxa"/>
            <w:tcBorders/>
            <w:vAlign w:val="center"/>
          </w:tcPr>
          <w:p>
            <w:pPr>
              <w:pStyle w:val="TableContents"/>
              <w:bidi w:val="0"/>
              <w:spacing w:before="0" w:after="0"/>
              <w:jc w:val="left"/>
              <w:rPr/>
            </w:pPr>
            <w:r>
              <w:rPr/>
              <w:t> </w:t>
            </w:r>
          </w:p>
        </w:tc>
        <w:tc>
          <w:tcPr>
            <w:tcW w:w="246" w:type="dxa"/>
            <w:tcBorders>
              <w:bottom w:val="single" w:sz="6" w:space="0" w:color="000000"/>
            </w:tcBorders>
            <w:tcMar>
              <w:bottom w:w="28" w:type="dxa"/>
            </w:tcMar>
            <w:vAlign w:val="center"/>
          </w:tcPr>
          <w:p>
            <w:pPr>
              <w:pStyle w:val="TableContents"/>
              <w:bidi w:val="0"/>
              <w:spacing w:before="0" w:after="0"/>
              <w:jc w:val="left"/>
              <w:rPr/>
            </w:pPr>
            <w:r>
              <w:rPr/>
              <w:t> </w:t>
            </w:r>
          </w:p>
        </w:tc>
        <w:tc>
          <w:tcPr>
            <w:tcW w:w="1333"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 xml:space="preserve">1,322.5 </w:t>
            </w:r>
          </w:p>
        </w:tc>
      </w:tr>
      <w:tr>
        <w:trPr/>
        <w:tc>
          <w:tcPr>
            <w:tcW w:w="4910" w:type="dxa"/>
            <w:tcBorders/>
            <w:vAlign w:val="center"/>
          </w:tcPr>
          <w:p>
            <w:pPr>
              <w:pStyle w:val="TableContents"/>
              <w:bidi w:val="0"/>
              <w:spacing w:before="0" w:after="0"/>
              <w:ind w:left="720" w:right="0" w:hanging="0"/>
              <w:jc w:val="left"/>
              <w:rPr>
                <w:rFonts w:ascii="Century Gothic" w:hAnsi="Century Gothic"/>
                <w:sz w:val="20"/>
              </w:rPr>
            </w:pPr>
            <w:r>
              <w:rPr>
                <w:rFonts w:ascii="Century Gothic" w:hAnsi="Century Gothic"/>
                <w:sz w:val="20"/>
              </w:rPr>
              <w:t>Total liabilities and equity</w:t>
            </w:r>
          </w:p>
        </w:tc>
        <w:tc>
          <w:tcPr>
            <w:tcW w:w="205"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089"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6,493.1</w:t>
            </w:r>
          </w:p>
        </w:tc>
        <w:tc>
          <w:tcPr>
            <w:tcW w:w="60" w:type="dxa"/>
            <w:tcBorders/>
            <w:vAlign w:val="center"/>
          </w:tcPr>
          <w:p>
            <w:pPr>
              <w:pStyle w:val="TableContents"/>
              <w:bidi w:val="0"/>
              <w:spacing w:before="0" w:after="0"/>
              <w:jc w:val="left"/>
              <w:rPr/>
            </w:pPr>
            <w:r>
              <w:rPr/>
              <w:t> </w:t>
            </w:r>
          </w:p>
        </w:tc>
        <w:tc>
          <w:tcPr>
            <w:tcW w:w="246"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33"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6,488.7</w:t>
            </w:r>
          </w:p>
        </w:tc>
      </w:tr>
    </w:tbl>
    <w:p>
      <w:pPr>
        <w:pStyle w:val="TextBody"/>
        <w:bidi w:val="0"/>
        <w:spacing w:before="0" w:after="0"/>
        <w:jc w:val="center"/>
        <w:rPr/>
      </w:pPr>
      <w:r>
        <w:rPr/>
        <w:t> </w:t>
      </w:r>
    </w:p>
    <w:p>
      <w:pPr>
        <w:pStyle w:val="HorizontalLine"/>
        <w:pBdr>
          <w:bottom w:val="double" w:sz="2" w:space="0" w:color="808080"/>
        </w:pBdr>
        <w:bidi w:val="0"/>
        <w:jc w:val="center"/>
        <w:rPr/>
      </w:pPr>
      <w:r>
        <w:rPr/>
      </w:r>
    </w:p>
    <w:tbl>
      <w:tblPr>
        <w:tblW w:w="6440" w:type="dxa"/>
        <w:jc w:val="left"/>
        <w:tblInd w:w="0" w:type="dxa"/>
        <w:tblLayout w:type="fixed"/>
        <w:tblCellMar>
          <w:top w:w="0" w:type="dxa"/>
          <w:left w:w="0" w:type="dxa"/>
          <w:bottom w:w="0" w:type="dxa"/>
          <w:right w:w="0" w:type="dxa"/>
        </w:tblCellMar>
      </w:tblPr>
      <w:tblGrid>
        <w:gridCol w:w="6440"/>
      </w:tblGrid>
      <w:tr>
        <w:trPr/>
        <w:tc>
          <w:tcPr>
            <w:tcW w:w="6440" w:type="dxa"/>
            <w:tcBorders/>
            <w:vAlign w:val="center"/>
          </w:tcPr>
          <w:p>
            <w:pPr>
              <w:pStyle w:val="TableContents"/>
              <w:bidi w:val="0"/>
              <w:spacing w:before="0" w:after="0"/>
              <w:jc w:val="center"/>
              <w:rPr/>
            </w:pPr>
            <w:r>
              <w:rPr/>
              <w:t> </w:t>
            </w:r>
            <w:r>
              <w:rPr>
                <w:rFonts w:ascii="Century Gothic" w:hAnsi="Century Gothic"/>
                <w:b/>
                <w:sz w:val="20"/>
              </w:rPr>
              <w:t>EURONET WORLDWIDE, INC.</w:t>
            </w:r>
          </w:p>
        </w:tc>
      </w:tr>
      <w:tr>
        <w:trPr/>
        <w:tc>
          <w:tcPr>
            <w:tcW w:w="6440" w:type="dxa"/>
            <w:tcBorders/>
            <w:vAlign w:val="center"/>
          </w:tcPr>
          <w:p>
            <w:pPr>
              <w:pStyle w:val="TableContents"/>
              <w:bidi w:val="0"/>
              <w:spacing w:before="0" w:after="0"/>
              <w:jc w:val="center"/>
              <w:rPr/>
            </w:pPr>
            <w:r>
              <w:rPr/>
              <w:t> </w:t>
            </w:r>
            <w:r>
              <w:rPr>
                <w:rFonts w:ascii="Century Gothic" w:hAnsi="Century Gothic"/>
                <w:b/>
                <w:sz w:val="20"/>
              </w:rPr>
              <w:t>Consolidated Statements of Operations</w:t>
            </w:r>
          </w:p>
        </w:tc>
      </w:tr>
      <w:tr>
        <w:trPr/>
        <w:tc>
          <w:tcPr>
            <w:tcW w:w="6440" w:type="dxa"/>
            <w:tcBorders/>
            <w:vAlign w:val="center"/>
          </w:tcPr>
          <w:p>
            <w:pPr>
              <w:pStyle w:val="TableContents"/>
              <w:bidi w:val="0"/>
              <w:spacing w:before="0" w:after="0"/>
              <w:jc w:val="center"/>
              <w:rPr/>
            </w:pPr>
            <w:r>
              <w:rPr/>
              <w:t> </w:t>
            </w:r>
            <w:r>
              <w:rPr>
                <w:rFonts w:ascii="Century Gothic" w:hAnsi="Century Gothic"/>
                <w:b/>
                <w:sz w:val="20"/>
              </w:rPr>
              <w:t>(unaudited -</w:t>
            </w:r>
            <w:r>
              <w:rPr>
                <w:sz w:val="20"/>
              </w:rPr>
              <w:t xml:space="preserve"> </w:t>
            </w:r>
            <w:r>
              <w:rPr>
                <w:rFonts w:ascii="Century Gothic" w:hAnsi="Century Gothic"/>
                <w:b/>
                <w:sz w:val="20"/>
              </w:rPr>
              <w:t>in millions, except share and per share data)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50"/>
        <w:gridCol w:w="140"/>
        <w:gridCol w:w="1100"/>
        <w:gridCol w:w="60"/>
        <w:gridCol w:w="140"/>
        <w:gridCol w:w="1115"/>
      </w:tblGrid>
      <w:tr>
        <w:trPr/>
        <w:tc>
          <w:tcPr>
            <w:tcW w:w="7650" w:type="dxa"/>
            <w:tcBorders/>
            <w:vAlign w:val="center"/>
          </w:tcPr>
          <w:p>
            <w:pPr>
              <w:pStyle w:val="TableContents"/>
              <w:bidi w:val="0"/>
              <w:spacing w:before="0" w:after="0"/>
              <w:jc w:val="left"/>
              <w:rPr/>
            </w:pPr>
            <w:r>
              <w:rPr/>
              <w:t> </w:t>
            </w:r>
          </w:p>
        </w:tc>
        <w:tc>
          <w:tcPr>
            <w:tcW w:w="2555" w:type="dxa"/>
            <w:gridSpan w:val="5"/>
            <w:tcBorders/>
            <w:vAlign w:val="center"/>
          </w:tcPr>
          <w:p>
            <w:pPr>
              <w:pStyle w:val="TableContents"/>
              <w:bidi w:val="0"/>
              <w:spacing w:before="0" w:after="0"/>
              <w:jc w:val="center"/>
              <w:rPr/>
            </w:pPr>
            <w:r>
              <w:rPr/>
              <w:t> </w:t>
            </w:r>
            <w:r>
              <w:rPr>
                <w:rFonts w:ascii="Century Gothic" w:hAnsi="Century Gothic"/>
                <w:b/>
                <w:sz w:val="20"/>
              </w:rPr>
              <w:t xml:space="preserve">Three Months Ended </w:t>
            </w:r>
          </w:p>
        </w:tc>
      </w:tr>
      <w:tr>
        <w:trPr/>
        <w:tc>
          <w:tcPr>
            <w:tcW w:w="7650" w:type="dxa"/>
            <w:tcBorders/>
            <w:vAlign w:val="center"/>
          </w:tcPr>
          <w:p>
            <w:pPr>
              <w:pStyle w:val="TableContents"/>
              <w:bidi w:val="0"/>
              <w:spacing w:before="0" w:after="0"/>
              <w:jc w:val="left"/>
              <w:rPr/>
            </w:pPr>
            <w:r>
              <w:rPr/>
              <w:t> </w:t>
            </w:r>
          </w:p>
        </w:tc>
        <w:tc>
          <w:tcPr>
            <w:tcW w:w="2555" w:type="dxa"/>
            <w:gridSpan w:val="5"/>
            <w:tcBorders>
              <w:bottom w:val="single" w:sz="6" w:space="0" w:color="000000"/>
            </w:tcBorders>
            <w:tcMar>
              <w:bottom w:w="28" w:type="dxa"/>
            </w:tcMar>
            <w:vAlign w:val="center"/>
          </w:tcPr>
          <w:p>
            <w:pPr>
              <w:pStyle w:val="TableContents"/>
              <w:bidi w:val="0"/>
              <w:spacing w:before="0" w:after="0"/>
              <w:jc w:val="center"/>
              <w:rPr/>
            </w:pPr>
            <w:r>
              <w:rPr/>
              <w:t> </w:t>
            </w:r>
            <w:r>
              <w:rPr>
                <w:rFonts w:ascii="Century Gothic" w:hAnsi="Century Gothic"/>
                <w:b/>
                <w:sz w:val="20"/>
              </w:rPr>
              <w:t xml:space="preserve">June 30, </w:t>
            </w:r>
          </w:p>
        </w:tc>
      </w:tr>
      <w:tr>
        <w:trPr/>
        <w:tc>
          <w:tcPr>
            <w:tcW w:w="7650" w:type="dxa"/>
            <w:tcBorders/>
            <w:vAlign w:val="center"/>
          </w:tcPr>
          <w:p>
            <w:pPr>
              <w:pStyle w:val="TableContents"/>
              <w:bidi w:val="0"/>
              <w:spacing w:before="0" w:after="0"/>
              <w:jc w:val="center"/>
              <w:rPr/>
            </w:pPr>
            <w:r>
              <w:rPr/>
              <w:t> </w:t>
            </w:r>
          </w:p>
        </w:tc>
        <w:tc>
          <w:tcPr>
            <w:tcW w:w="1300" w:type="dxa"/>
            <w:gridSpan w:val="3"/>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2026</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pPr>
            <w:r>
              <w:rPr/>
              <w:t> </w:t>
            </w:r>
          </w:p>
        </w:tc>
        <w:tc>
          <w:tcPr>
            <w:tcW w:w="111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2025</w:t>
            </w:r>
          </w:p>
        </w:tc>
      </w:tr>
      <w:tr>
        <w:trPr/>
        <w:tc>
          <w:tcPr>
            <w:tcW w:w="765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Revenues</w:t>
            </w:r>
          </w:p>
        </w:tc>
        <w:tc>
          <w:tcPr>
            <w:tcW w:w="140" w:type="dxa"/>
            <w:tcBorders>
              <w:top w:val="single" w:sz="6" w:space="0" w:color="000000"/>
              <w:bottom w:val="single" w:sz="6" w:space="0" w:color="000000"/>
            </w:tcBorders>
            <w:tcMar>
              <w:top w:w="144"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00" w:type="dxa"/>
            <w:tcBorders>
              <w:top w:val="single" w:sz="6" w:space="0" w:color="000000"/>
              <w:bottom w:val="single" w:sz="6" w:space="0" w:color="000000"/>
            </w:tcBorders>
            <w:tcMar>
              <w:top w:w="144"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1,108.4</w:t>
            </w:r>
          </w:p>
        </w:tc>
        <w:tc>
          <w:tcPr>
            <w:tcW w:w="60" w:type="dxa"/>
            <w:tcBorders/>
            <w:vAlign w:val="center"/>
          </w:tcPr>
          <w:p>
            <w:pPr>
              <w:pStyle w:val="TableContents"/>
              <w:bidi w:val="0"/>
              <w:spacing w:before="0" w:after="0"/>
              <w:jc w:val="left"/>
              <w:rPr/>
            </w:pPr>
            <w:r>
              <w:rPr/>
              <w:t> </w:t>
            </w:r>
          </w:p>
        </w:tc>
        <w:tc>
          <w:tcPr>
            <w:tcW w:w="140" w:type="dxa"/>
            <w:tcBorders>
              <w:top w:val="single" w:sz="6" w:space="0" w:color="000000"/>
              <w:bottom w:val="single" w:sz="6" w:space="0" w:color="000000"/>
            </w:tcBorders>
            <w:tcMar>
              <w:top w:w="144"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5"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1,074.3</w:t>
            </w:r>
          </w:p>
        </w:tc>
      </w:tr>
      <w:tr>
        <w:trPr/>
        <w:tc>
          <w:tcPr>
            <w:tcW w:w="7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top w:val="single" w:sz="6" w:space="0" w:color="000000"/>
            </w:tcBorders>
            <w:tcMar>
              <w:top w:w="28" w:type="dxa"/>
            </w:tcMar>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Operating expenses:</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Direct operating costs, exclusive of depreciation</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639.6</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620.6</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Salaries and benefits</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193.3</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173.5</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Selling, general and administrative</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98.4</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87.8</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Depreciation and amortization</w:t>
            </w:r>
          </w:p>
        </w:tc>
        <w:tc>
          <w:tcPr>
            <w:tcW w:w="14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40.0</w:t>
            </w:r>
          </w:p>
        </w:tc>
        <w:tc>
          <w:tcPr>
            <w:tcW w:w="60" w:type="dxa"/>
            <w:tcBorders/>
            <w:vAlign w:val="center"/>
          </w:tcPr>
          <w:p>
            <w:pPr>
              <w:pStyle w:val="TableContents"/>
              <w:bidi w:val="0"/>
              <w:spacing w:before="0" w:after="0"/>
              <w:jc w:val="right"/>
              <w:rPr/>
            </w:pPr>
            <w:r>
              <w:rPr/>
              <w:t> </w:t>
            </w:r>
          </w:p>
        </w:tc>
        <w:tc>
          <w:tcPr>
            <w:tcW w:w="140" w:type="dxa"/>
            <w:tcBorders>
              <w:bottom w:val="single" w:sz="6" w:space="0" w:color="000000"/>
            </w:tcBorders>
            <w:tcMar>
              <w:bottom w:w="28" w:type="dxa"/>
            </w:tcMar>
            <w:vAlign w:val="center"/>
          </w:tcPr>
          <w:p>
            <w:pPr>
              <w:pStyle w:val="TableContents"/>
              <w:bidi w:val="0"/>
              <w:spacing w:before="0" w:after="0"/>
              <w:jc w:val="right"/>
              <w:rPr/>
            </w:pPr>
            <w:r>
              <w:rPr/>
              <w:t> </w:t>
            </w:r>
          </w:p>
        </w:tc>
        <w:tc>
          <w:tcPr>
            <w:tcW w:w="1115"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33.8</w:t>
            </w:r>
          </w:p>
        </w:tc>
      </w:tr>
      <w:tr>
        <w:trPr/>
        <w:tc>
          <w:tcPr>
            <w:tcW w:w="7650" w:type="dxa"/>
            <w:tcBorders/>
            <w:vAlign w:val="center"/>
          </w:tcPr>
          <w:p>
            <w:pPr>
              <w:pStyle w:val="TableContents"/>
              <w:bidi w:val="0"/>
              <w:spacing w:before="0" w:after="0"/>
              <w:ind w:left="288" w:right="0" w:hanging="0"/>
              <w:jc w:val="left"/>
              <w:rPr>
                <w:rFonts w:ascii="Century Gothic" w:hAnsi="Century Gothic"/>
                <w:sz w:val="20"/>
              </w:rPr>
            </w:pPr>
            <w:r>
              <w:rPr>
                <w:rFonts w:ascii="Century Gothic" w:hAnsi="Century Gothic"/>
                <w:sz w:val="20"/>
              </w:rPr>
              <w:t>Total operating expenses</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10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971.3</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pPr>
            <w:r>
              <w:rPr/>
              <w:t> </w:t>
            </w:r>
          </w:p>
        </w:tc>
        <w:tc>
          <w:tcPr>
            <w:tcW w:w="111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915.7</w:t>
            </w:r>
          </w:p>
        </w:tc>
      </w:tr>
      <w:tr>
        <w:trPr/>
        <w:tc>
          <w:tcPr>
            <w:tcW w:w="7650" w:type="dxa"/>
            <w:tcBorders/>
            <w:vAlign w:val="center"/>
          </w:tcPr>
          <w:p>
            <w:pPr>
              <w:pStyle w:val="TableContents"/>
              <w:bidi w:val="0"/>
              <w:spacing w:before="0" w:after="0"/>
              <w:ind w:left="432" w:right="0" w:hanging="0"/>
              <w:jc w:val="left"/>
              <w:rPr>
                <w:rFonts w:ascii="Century Gothic" w:hAnsi="Century Gothic"/>
                <w:sz w:val="20"/>
              </w:rPr>
            </w:pPr>
            <w:r>
              <w:rPr>
                <w:rFonts w:ascii="Century Gothic" w:hAnsi="Century Gothic"/>
                <w:sz w:val="20"/>
              </w:rPr>
              <w:t>Operating income</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10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137.1</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pPr>
            <w:r>
              <w:rPr/>
              <w:t> </w:t>
            </w:r>
          </w:p>
        </w:tc>
        <w:tc>
          <w:tcPr>
            <w:tcW w:w="111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158.6</w:t>
            </w:r>
          </w:p>
        </w:tc>
      </w:tr>
      <w:tr>
        <w:trPr/>
        <w:tc>
          <w:tcPr>
            <w:tcW w:w="7650" w:type="dxa"/>
            <w:tcBorders/>
            <w:vAlign w:val="center"/>
          </w:tcPr>
          <w:p>
            <w:pPr>
              <w:pStyle w:val="TableContents"/>
              <w:bidi w:val="0"/>
              <w:spacing w:before="0" w:after="0"/>
              <w:jc w:val="left"/>
              <w:rPr/>
            </w:pPr>
            <w:r>
              <w:rPr/>
              <w:t> </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1100" w:type="dxa"/>
            <w:tcBorders>
              <w:top w:val="single" w:sz="6"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tcBorders>
            <w:tcMar>
              <w:top w:w="28" w:type="dxa"/>
            </w:tcMar>
            <w:vAlign w:val="center"/>
          </w:tcPr>
          <w:p>
            <w:pPr>
              <w:pStyle w:val="TableContents"/>
              <w:bidi w:val="0"/>
              <w:spacing w:before="0" w:after="0"/>
              <w:jc w:val="right"/>
              <w:rPr/>
            </w:pPr>
            <w:r>
              <w:rPr/>
              <w:t> </w:t>
            </w:r>
          </w:p>
        </w:tc>
        <w:tc>
          <w:tcPr>
            <w:tcW w:w="1115" w:type="dxa"/>
            <w:tcBorders>
              <w:top w:val="single" w:sz="6" w:space="0" w:color="000000"/>
            </w:tcBorders>
            <w:tcMar>
              <w:top w:w="28" w:type="dxa"/>
            </w:tcMar>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Other income (expense):</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Interest income</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4.8</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6.2</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Interest expense</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(20.6)</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(28.2)</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Foreign currency exchange loss, net</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(0.2)</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(5.7)</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Other income</w:t>
            </w:r>
          </w:p>
        </w:tc>
        <w:tc>
          <w:tcPr>
            <w:tcW w:w="14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3.2</w:t>
            </w:r>
          </w:p>
        </w:tc>
        <w:tc>
          <w:tcPr>
            <w:tcW w:w="60" w:type="dxa"/>
            <w:tcBorders/>
            <w:vAlign w:val="center"/>
          </w:tcPr>
          <w:p>
            <w:pPr>
              <w:pStyle w:val="TableContents"/>
              <w:bidi w:val="0"/>
              <w:spacing w:before="0" w:after="0"/>
              <w:jc w:val="right"/>
              <w:rPr/>
            </w:pPr>
            <w:r>
              <w:rPr/>
              <w:t> </w:t>
            </w:r>
          </w:p>
        </w:tc>
        <w:tc>
          <w:tcPr>
            <w:tcW w:w="140" w:type="dxa"/>
            <w:tcBorders>
              <w:bottom w:val="single" w:sz="6" w:space="0" w:color="000000"/>
            </w:tcBorders>
            <w:tcMar>
              <w:bottom w:w="28" w:type="dxa"/>
            </w:tcMar>
            <w:vAlign w:val="center"/>
          </w:tcPr>
          <w:p>
            <w:pPr>
              <w:pStyle w:val="TableContents"/>
              <w:bidi w:val="0"/>
              <w:spacing w:before="0" w:after="0"/>
              <w:jc w:val="right"/>
              <w:rPr/>
            </w:pPr>
            <w:r>
              <w:rPr/>
              <w:t> </w:t>
            </w:r>
          </w:p>
        </w:tc>
        <w:tc>
          <w:tcPr>
            <w:tcW w:w="1115"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0.4</w:t>
            </w:r>
          </w:p>
        </w:tc>
      </w:tr>
      <w:tr>
        <w:trPr/>
        <w:tc>
          <w:tcPr>
            <w:tcW w:w="7650" w:type="dxa"/>
            <w:tcBorders/>
            <w:vAlign w:val="center"/>
          </w:tcPr>
          <w:p>
            <w:pPr>
              <w:pStyle w:val="TableContents"/>
              <w:bidi w:val="0"/>
              <w:spacing w:before="0" w:after="0"/>
              <w:ind w:left="288" w:right="0" w:hanging="0"/>
              <w:jc w:val="left"/>
              <w:rPr>
                <w:rFonts w:ascii="Century Gothic" w:hAnsi="Century Gothic"/>
                <w:sz w:val="20"/>
              </w:rPr>
            </w:pPr>
            <w:r>
              <w:rPr>
                <w:rFonts w:ascii="Century Gothic" w:hAnsi="Century Gothic"/>
                <w:sz w:val="20"/>
              </w:rPr>
              <w:t>Total other expense, net</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10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(12.8)</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pPr>
            <w:r>
              <w:rPr/>
              <w:t> </w:t>
            </w:r>
          </w:p>
        </w:tc>
        <w:tc>
          <w:tcPr>
            <w:tcW w:w="111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(27.3)</w:t>
            </w:r>
          </w:p>
        </w:tc>
      </w:tr>
      <w:tr>
        <w:trPr/>
        <w:tc>
          <w:tcPr>
            <w:tcW w:w="7650" w:type="dxa"/>
            <w:tcBorders/>
            <w:vAlign w:val="center"/>
          </w:tcPr>
          <w:p>
            <w:pPr>
              <w:pStyle w:val="TableContents"/>
              <w:bidi w:val="0"/>
              <w:spacing w:before="0" w:after="0"/>
              <w:ind w:left="432" w:right="0" w:hanging="0"/>
              <w:jc w:val="left"/>
              <w:rPr>
                <w:rFonts w:ascii="Century Gothic" w:hAnsi="Century Gothic"/>
                <w:sz w:val="20"/>
              </w:rPr>
            </w:pPr>
            <w:r>
              <w:rPr>
                <w:rFonts w:ascii="Century Gothic" w:hAnsi="Century Gothic"/>
                <w:sz w:val="20"/>
              </w:rPr>
              <w:t>Income before income taxes</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1100"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124.3</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tcBorders>
            <w:tcMar>
              <w:top w:w="28" w:type="dxa"/>
            </w:tcMar>
            <w:vAlign w:val="center"/>
          </w:tcPr>
          <w:p>
            <w:pPr>
              <w:pStyle w:val="TableContents"/>
              <w:bidi w:val="0"/>
              <w:spacing w:before="0" w:after="0"/>
              <w:jc w:val="right"/>
              <w:rPr/>
            </w:pPr>
            <w:r>
              <w:rPr/>
              <w:t> </w:t>
            </w:r>
          </w:p>
        </w:tc>
        <w:tc>
          <w:tcPr>
            <w:tcW w:w="1115"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131.3</w:t>
            </w:r>
          </w:p>
        </w:tc>
      </w:tr>
      <w:tr>
        <w:trPr/>
        <w:tc>
          <w:tcPr>
            <w:tcW w:w="7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Income tax expense</w:t>
            </w:r>
          </w:p>
        </w:tc>
        <w:tc>
          <w:tcPr>
            <w:tcW w:w="14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(46.7)</w:t>
            </w:r>
          </w:p>
        </w:tc>
        <w:tc>
          <w:tcPr>
            <w:tcW w:w="60" w:type="dxa"/>
            <w:tcBorders/>
            <w:vAlign w:val="center"/>
          </w:tcPr>
          <w:p>
            <w:pPr>
              <w:pStyle w:val="TableContents"/>
              <w:bidi w:val="0"/>
              <w:spacing w:before="0" w:after="0"/>
              <w:jc w:val="right"/>
              <w:rPr/>
            </w:pPr>
            <w:r>
              <w:rPr/>
              <w:t> </w:t>
            </w:r>
          </w:p>
        </w:tc>
        <w:tc>
          <w:tcPr>
            <w:tcW w:w="140" w:type="dxa"/>
            <w:tcBorders>
              <w:bottom w:val="single" w:sz="6" w:space="0" w:color="000000"/>
            </w:tcBorders>
            <w:tcMar>
              <w:bottom w:w="28" w:type="dxa"/>
            </w:tcMar>
            <w:vAlign w:val="center"/>
          </w:tcPr>
          <w:p>
            <w:pPr>
              <w:pStyle w:val="TableContents"/>
              <w:bidi w:val="0"/>
              <w:spacing w:before="0" w:after="0"/>
              <w:jc w:val="right"/>
              <w:rPr/>
            </w:pPr>
            <w:r>
              <w:rPr/>
              <w:t> </w:t>
            </w:r>
          </w:p>
        </w:tc>
        <w:tc>
          <w:tcPr>
            <w:tcW w:w="1115"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(33.6)</w:t>
            </w:r>
          </w:p>
        </w:tc>
      </w:tr>
      <w:tr>
        <w:trPr/>
        <w:tc>
          <w:tcPr>
            <w:tcW w:w="7650" w:type="dxa"/>
            <w:tcBorders/>
            <w:vAlign w:val="center"/>
          </w:tcPr>
          <w:p>
            <w:pPr>
              <w:pStyle w:val="TableContents"/>
              <w:bidi w:val="0"/>
              <w:spacing w:before="0" w:after="0"/>
              <w:jc w:val="left"/>
              <w:rPr/>
            </w:pPr>
            <w:r>
              <w:rPr/>
              <w:t> </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1100" w:type="dxa"/>
            <w:tcBorders>
              <w:top w:val="single" w:sz="6"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tcBorders>
            <w:tcMar>
              <w:top w:w="28" w:type="dxa"/>
            </w:tcMar>
            <w:vAlign w:val="center"/>
          </w:tcPr>
          <w:p>
            <w:pPr>
              <w:pStyle w:val="TableContents"/>
              <w:bidi w:val="0"/>
              <w:spacing w:before="0" w:after="0"/>
              <w:jc w:val="right"/>
              <w:rPr/>
            </w:pPr>
            <w:r>
              <w:rPr/>
              <w:t> </w:t>
            </w:r>
          </w:p>
        </w:tc>
        <w:tc>
          <w:tcPr>
            <w:tcW w:w="1115" w:type="dxa"/>
            <w:tcBorders>
              <w:top w:val="single" w:sz="6" w:space="0" w:color="000000"/>
            </w:tcBorders>
            <w:tcMar>
              <w:top w:w="28" w:type="dxa"/>
            </w:tcMar>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ind w:left="288" w:right="0" w:hanging="0"/>
              <w:jc w:val="left"/>
              <w:rPr>
                <w:rFonts w:ascii="Century Gothic" w:hAnsi="Century Gothic"/>
                <w:sz w:val="20"/>
              </w:rPr>
            </w:pPr>
            <w:r>
              <w:rPr>
                <w:rFonts w:ascii="Century Gothic" w:hAnsi="Century Gothic"/>
                <w:sz w:val="20"/>
              </w:rPr>
              <w:t>Net income</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77.6</w:t>
            </w:r>
          </w:p>
        </w:tc>
        <w:tc>
          <w:tcPr>
            <w:tcW w:w="60" w:type="dxa"/>
            <w:tcBorders/>
            <w:vAlign w:val="center"/>
          </w:tcPr>
          <w:p>
            <w:pPr>
              <w:pStyle w:val="TableContents"/>
              <w:bidi w:val="0"/>
              <w:spacing w:before="0" w:after="0"/>
              <w:jc w:val="right"/>
              <w:rPr/>
            </w:pPr>
            <w:r>
              <w:rPr/>
              <w:t> </w:t>
            </w:r>
          </w:p>
        </w:tc>
        <w:tc>
          <w:tcPr>
            <w:tcW w:w="140" w:type="dxa"/>
            <w:tcBorders/>
            <w:vAlign w:val="center"/>
          </w:tcPr>
          <w:p>
            <w:pPr>
              <w:pStyle w:val="TableContents"/>
              <w:bidi w:val="0"/>
              <w:spacing w:before="0" w:after="0"/>
              <w:jc w:val="right"/>
              <w:rPr/>
            </w:pPr>
            <w:r>
              <w:rPr/>
              <w:t> </w:t>
            </w:r>
          </w:p>
        </w:tc>
        <w:tc>
          <w:tcPr>
            <w:tcW w:w="1115"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97.7</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Net income attributable to noncontrolling interests</w:t>
            </w:r>
          </w:p>
        </w:tc>
        <w:tc>
          <w:tcPr>
            <w:tcW w:w="14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(0.2)</w:t>
            </w:r>
          </w:p>
        </w:tc>
        <w:tc>
          <w:tcPr>
            <w:tcW w:w="60" w:type="dxa"/>
            <w:tcBorders/>
            <w:vAlign w:val="center"/>
          </w:tcPr>
          <w:p>
            <w:pPr>
              <w:pStyle w:val="TableContents"/>
              <w:bidi w:val="0"/>
              <w:spacing w:before="0" w:after="0"/>
              <w:jc w:val="right"/>
              <w:rPr/>
            </w:pPr>
            <w:r>
              <w:rPr/>
              <w:t> </w:t>
            </w:r>
          </w:p>
        </w:tc>
        <w:tc>
          <w:tcPr>
            <w:tcW w:w="140" w:type="dxa"/>
            <w:tcBorders>
              <w:bottom w:val="single" w:sz="6" w:space="0" w:color="000000"/>
            </w:tcBorders>
            <w:tcMar>
              <w:bottom w:w="28" w:type="dxa"/>
            </w:tcMar>
            <w:vAlign w:val="center"/>
          </w:tcPr>
          <w:p>
            <w:pPr>
              <w:pStyle w:val="TableContents"/>
              <w:bidi w:val="0"/>
              <w:spacing w:before="0" w:after="0"/>
              <w:jc w:val="right"/>
              <w:rPr/>
            </w:pPr>
            <w:r>
              <w:rPr/>
              <w:t> </w:t>
            </w:r>
          </w:p>
        </w:tc>
        <w:tc>
          <w:tcPr>
            <w:tcW w:w="1115"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(0.1)</w:t>
            </w:r>
          </w:p>
        </w:tc>
      </w:tr>
      <w:tr>
        <w:trPr/>
        <w:tc>
          <w:tcPr>
            <w:tcW w:w="7650" w:type="dxa"/>
            <w:tcBorders/>
            <w:vAlign w:val="center"/>
          </w:tcPr>
          <w:p>
            <w:pPr>
              <w:pStyle w:val="TableContents"/>
              <w:bidi w:val="0"/>
              <w:spacing w:before="0" w:after="0"/>
              <w:ind w:left="288" w:right="0" w:hanging="0"/>
              <w:jc w:val="left"/>
              <w:rPr>
                <w:rFonts w:ascii="Century Gothic" w:hAnsi="Century Gothic"/>
                <w:sz w:val="20"/>
              </w:rPr>
            </w:pPr>
            <w:r>
              <w:rPr>
                <w:rFonts w:ascii="Century Gothic" w:hAnsi="Century Gothic"/>
                <w:sz w:val="20"/>
              </w:rPr>
              <w:t>Net income attributable to Euronet Worldwide, Inc.</w:t>
            </w:r>
          </w:p>
        </w:tc>
        <w:tc>
          <w:tcPr>
            <w:tcW w:w="140" w:type="dxa"/>
            <w:tcBorders>
              <w:top w:val="single" w:sz="6" w:space="0" w:color="000000"/>
            </w:tcBorders>
            <w:tcMar>
              <w:top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00"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77.4</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tcBorders>
            <w:tcMar>
              <w:top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5"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97.6</w:t>
            </w:r>
          </w:p>
        </w:tc>
      </w:tr>
      <w:tr>
        <w:trPr/>
        <w:tc>
          <w:tcPr>
            <w:tcW w:w="7650" w:type="dxa"/>
            <w:tcBorders/>
            <w:vAlign w:val="center"/>
          </w:tcPr>
          <w:p>
            <w:pPr>
              <w:pStyle w:val="TableContents"/>
              <w:bidi w:val="0"/>
              <w:spacing w:before="0" w:after="0"/>
              <w:ind w:left="432" w:right="0" w:hanging="0"/>
              <w:jc w:val="left"/>
              <w:rPr>
                <w:rFonts w:ascii="Century Gothic" w:hAnsi="Century Gothic"/>
                <w:sz w:val="20"/>
              </w:rPr>
            </w:pPr>
            <w:r>
              <w:rPr>
                <w:rFonts w:ascii="Century Gothic" w:hAnsi="Century Gothic"/>
                <w:sz w:val="20"/>
              </w:rPr>
              <w:t>Add: Interest expense from assumed conversion of convertible notes, net of tax</w:t>
            </w:r>
          </w:p>
        </w:tc>
        <w:tc>
          <w:tcPr>
            <w:tcW w:w="140" w:type="dxa"/>
            <w:tcBorders>
              <w:bottom w:val="single" w:sz="6" w:space="0" w:color="000000"/>
            </w:tcBorders>
            <w:tcMar>
              <w:bottom w:w="28" w:type="dxa"/>
            </w:tcMar>
            <w:vAlign w:val="center"/>
          </w:tcPr>
          <w:p>
            <w:pPr>
              <w:pStyle w:val="TableContents"/>
              <w:bidi w:val="0"/>
              <w:spacing w:before="0" w:after="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1.7</w:t>
            </w:r>
          </w:p>
        </w:tc>
        <w:tc>
          <w:tcPr>
            <w:tcW w:w="60" w:type="dxa"/>
            <w:tcBorders/>
            <w:vAlign w:val="center"/>
          </w:tcPr>
          <w:p>
            <w:pPr>
              <w:pStyle w:val="TableContents"/>
              <w:bidi w:val="0"/>
              <w:spacing w:before="0" w:after="0"/>
              <w:jc w:val="right"/>
              <w:rPr/>
            </w:pPr>
            <w:r>
              <w:rPr/>
              <w:t> </w:t>
            </w:r>
          </w:p>
        </w:tc>
        <w:tc>
          <w:tcPr>
            <w:tcW w:w="140" w:type="dxa"/>
            <w:tcBorders>
              <w:bottom w:val="single" w:sz="6" w:space="0" w:color="000000"/>
            </w:tcBorders>
            <w:tcMar>
              <w:bottom w:w="28" w:type="dxa"/>
            </w:tcMar>
            <w:vAlign w:val="center"/>
          </w:tcPr>
          <w:p>
            <w:pPr>
              <w:pStyle w:val="TableContents"/>
              <w:bidi w:val="0"/>
              <w:spacing w:before="0" w:after="0"/>
              <w:jc w:val="right"/>
              <w:rPr/>
            </w:pPr>
            <w:r>
              <w:rPr/>
              <w:t> </w:t>
            </w:r>
          </w:p>
        </w:tc>
        <w:tc>
          <w:tcPr>
            <w:tcW w:w="1115"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0.1</w:t>
            </w:r>
          </w:p>
        </w:tc>
      </w:tr>
      <w:tr>
        <w:trPr/>
        <w:tc>
          <w:tcPr>
            <w:tcW w:w="7650" w:type="dxa"/>
            <w:tcBorders/>
            <w:vAlign w:val="center"/>
          </w:tcPr>
          <w:p>
            <w:pPr>
              <w:pStyle w:val="TableContents"/>
              <w:bidi w:val="0"/>
              <w:spacing w:before="0" w:after="0"/>
              <w:ind w:left="288" w:right="0" w:hanging="0"/>
              <w:jc w:val="left"/>
              <w:rPr>
                <w:rFonts w:ascii="Century Gothic" w:hAnsi="Century Gothic"/>
                <w:sz w:val="20"/>
              </w:rPr>
            </w:pPr>
            <w:r>
              <w:rPr>
                <w:rFonts w:ascii="Century Gothic" w:hAnsi="Century Gothic"/>
                <w:sz w:val="20"/>
              </w:rPr>
              <w:t>Net income for diluted earnings per share calculation</w:t>
            </w:r>
          </w:p>
        </w:tc>
        <w:tc>
          <w:tcPr>
            <w:tcW w:w="140"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00"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79.1</w:t>
            </w:r>
          </w:p>
        </w:tc>
        <w:tc>
          <w:tcPr>
            <w:tcW w:w="60" w:type="dxa"/>
            <w:tcBorders/>
            <w:vAlign w:val="center"/>
          </w:tcPr>
          <w:p>
            <w:pPr>
              <w:pStyle w:val="TableContents"/>
              <w:bidi w:val="0"/>
              <w:spacing w:before="0" w:after="0"/>
              <w:jc w:val="right"/>
              <w:rPr/>
            </w:pPr>
            <w:r>
              <w:rPr/>
              <w:t> </w:t>
            </w:r>
          </w:p>
        </w:tc>
        <w:tc>
          <w:tcPr>
            <w:tcW w:w="140"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5"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97.7</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Earnings per share attributable to Euronet</w:t>
            </w:r>
          </w:p>
        </w:tc>
        <w:tc>
          <w:tcPr>
            <w:tcW w:w="140" w:type="dxa"/>
            <w:tcBorders>
              <w:top w:val="double" w:sz="6" w:space="0" w:color="000000"/>
            </w:tcBorders>
            <w:tcMar>
              <w:top w:w="28" w:type="dxa"/>
            </w:tcMar>
            <w:vAlign w:val="center"/>
          </w:tcPr>
          <w:p>
            <w:pPr>
              <w:pStyle w:val="TableContents"/>
              <w:bidi w:val="0"/>
              <w:spacing w:before="0" w:after="0"/>
              <w:jc w:val="left"/>
              <w:rPr/>
            </w:pPr>
            <w:r>
              <w:rPr/>
              <w:t> </w:t>
            </w:r>
          </w:p>
        </w:tc>
        <w:tc>
          <w:tcPr>
            <w:tcW w:w="1100" w:type="dxa"/>
            <w:tcBorders>
              <w:top w:val="double" w:sz="6"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top w:val="double" w:sz="6" w:space="0" w:color="000000"/>
            </w:tcBorders>
            <w:tcMar>
              <w:top w:w="28" w:type="dxa"/>
            </w:tcMar>
            <w:vAlign w:val="center"/>
          </w:tcPr>
          <w:p>
            <w:pPr>
              <w:pStyle w:val="TableContents"/>
              <w:bidi w:val="0"/>
              <w:spacing w:before="0" w:after="0"/>
              <w:jc w:val="right"/>
              <w:rPr/>
            </w:pPr>
            <w:r>
              <w:rPr/>
              <w:t> </w:t>
            </w:r>
          </w:p>
        </w:tc>
        <w:tc>
          <w:tcPr>
            <w:tcW w:w="1115" w:type="dxa"/>
            <w:tcBorders>
              <w:top w:val="double" w:sz="6" w:space="0" w:color="000000"/>
            </w:tcBorders>
            <w:tcMar>
              <w:top w:w="28" w:type="dxa"/>
            </w:tcMar>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Worldwide, Inc. stockholders - diluted</w:t>
            </w:r>
          </w:p>
        </w:tc>
        <w:tc>
          <w:tcPr>
            <w:tcW w:w="140" w:type="dxa"/>
            <w:tcBorders>
              <w:bottom w:val="double" w:sz="6" w:space="0" w:color="000000"/>
            </w:tcBorders>
            <w:tcMar>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00" w:type="dxa"/>
            <w:tcBorders>
              <w:bottom w:val="doub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1.71</w:t>
            </w:r>
          </w:p>
        </w:tc>
        <w:tc>
          <w:tcPr>
            <w:tcW w:w="60" w:type="dxa"/>
            <w:tcBorders/>
            <w:vAlign w:val="center"/>
          </w:tcPr>
          <w:p>
            <w:pPr>
              <w:pStyle w:val="TableContents"/>
              <w:bidi w:val="0"/>
              <w:spacing w:before="0" w:after="0"/>
              <w:jc w:val="right"/>
              <w:rPr/>
            </w:pPr>
            <w:r>
              <w:rPr/>
              <w:t> </w:t>
            </w:r>
          </w:p>
        </w:tc>
        <w:tc>
          <w:tcPr>
            <w:tcW w:w="140" w:type="dxa"/>
            <w:tcBorders>
              <w:bottom w:val="double" w:sz="6" w:space="0" w:color="000000"/>
            </w:tcBorders>
            <w:tcMar>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5" w:type="dxa"/>
            <w:tcBorders>
              <w:bottom w:val="doub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2.27</w:t>
            </w:r>
          </w:p>
        </w:tc>
      </w:tr>
      <w:tr>
        <w:trPr/>
        <w:tc>
          <w:tcPr>
            <w:tcW w:w="7650" w:type="dxa"/>
            <w:tcBorders/>
            <w:vAlign w:val="center"/>
          </w:tcPr>
          <w:p>
            <w:pPr>
              <w:pStyle w:val="TableContents"/>
              <w:bidi w:val="0"/>
              <w:spacing w:before="0" w:after="0"/>
              <w:jc w:val="left"/>
              <w:rPr/>
            </w:pPr>
            <w:r>
              <w:rPr/>
              <w:t> </w:t>
            </w:r>
          </w:p>
        </w:tc>
        <w:tc>
          <w:tcPr>
            <w:tcW w:w="140" w:type="dxa"/>
            <w:tcBorders>
              <w:top w:val="double" w:sz="6" w:space="0" w:color="000000"/>
            </w:tcBorders>
            <w:tcMar>
              <w:top w:w="28" w:type="dxa"/>
            </w:tcMar>
            <w:vAlign w:val="center"/>
          </w:tcPr>
          <w:p>
            <w:pPr>
              <w:pStyle w:val="TableContents"/>
              <w:bidi w:val="0"/>
              <w:spacing w:before="0" w:after="0"/>
              <w:jc w:val="left"/>
              <w:rPr/>
            </w:pPr>
            <w:r>
              <w:rPr/>
              <w:t> </w:t>
            </w:r>
          </w:p>
        </w:tc>
        <w:tc>
          <w:tcPr>
            <w:tcW w:w="1100" w:type="dxa"/>
            <w:tcBorders>
              <w:top w:val="double" w:sz="6"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40" w:type="dxa"/>
            <w:tcBorders>
              <w:top w:val="double" w:sz="6" w:space="0" w:color="000000"/>
            </w:tcBorders>
            <w:tcMar>
              <w:top w:w="28" w:type="dxa"/>
            </w:tcMar>
            <w:vAlign w:val="center"/>
          </w:tcPr>
          <w:p>
            <w:pPr>
              <w:pStyle w:val="TableContents"/>
              <w:bidi w:val="0"/>
              <w:spacing w:before="0" w:after="0"/>
              <w:jc w:val="right"/>
              <w:rPr/>
            </w:pPr>
            <w:r>
              <w:rPr/>
              <w:t> </w:t>
            </w:r>
          </w:p>
        </w:tc>
        <w:tc>
          <w:tcPr>
            <w:tcW w:w="1115" w:type="dxa"/>
            <w:tcBorders>
              <w:top w:val="double" w:sz="6" w:space="0" w:color="000000"/>
            </w:tcBorders>
            <w:tcMar>
              <w:top w:w="28" w:type="dxa"/>
            </w:tcMar>
            <w:vAlign w:val="center"/>
          </w:tcPr>
          <w:p>
            <w:pPr>
              <w:pStyle w:val="TableContents"/>
              <w:bidi w:val="0"/>
              <w:spacing w:before="0" w:after="0"/>
              <w:jc w:val="right"/>
              <w:rPr/>
            </w:pPr>
            <w:r>
              <w:rPr/>
              <w:t> </w:t>
            </w:r>
          </w:p>
        </w:tc>
      </w:tr>
      <w:tr>
        <w:trPr/>
        <w:tc>
          <w:tcPr>
            <w:tcW w:w="7650" w:type="dxa"/>
            <w:tcBorders/>
            <w:vAlign w:val="center"/>
          </w:tcPr>
          <w:p>
            <w:pPr>
              <w:pStyle w:val="TableContents"/>
              <w:bidi w:val="0"/>
              <w:spacing w:before="0" w:after="0"/>
              <w:ind w:left="144" w:right="0" w:hanging="0"/>
              <w:jc w:val="left"/>
              <w:rPr>
                <w:rFonts w:ascii="Century Gothic" w:hAnsi="Century Gothic"/>
                <w:sz w:val="20"/>
              </w:rPr>
            </w:pPr>
            <w:r>
              <w:rPr>
                <w:rFonts w:ascii="Century Gothic" w:hAnsi="Century Gothic"/>
                <w:sz w:val="20"/>
              </w:rPr>
              <w:t>Diluted weighted average shares outstanding</w:t>
            </w:r>
          </w:p>
        </w:tc>
        <w:tc>
          <w:tcPr>
            <w:tcW w:w="140" w:type="dxa"/>
            <w:tcBorders>
              <w:bottom w:val="double" w:sz="6" w:space="0" w:color="000000"/>
            </w:tcBorders>
            <w:tcMar>
              <w:bottom w:w="28" w:type="dxa"/>
            </w:tcMar>
            <w:vAlign w:val="center"/>
          </w:tcPr>
          <w:p>
            <w:pPr>
              <w:pStyle w:val="TableContents"/>
              <w:bidi w:val="0"/>
              <w:spacing w:before="0" w:after="0"/>
              <w:jc w:val="left"/>
              <w:rPr/>
            </w:pPr>
            <w:r>
              <w:rPr/>
              <w:t> </w:t>
            </w:r>
          </w:p>
        </w:tc>
        <w:tc>
          <w:tcPr>
            <w:tcW w:w="1100" w:type="dxa"/>
            <w:tcBorders>
              <w:bottom w:val="doub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46,177,113</w:t>
            </w:r>
          </w:p>
        </w:tc>
        <w:tc>
          <w:tcPr>
            <w:tcW w:w="60" w:type="dxa"/>
            <w:tcBorders/>
            <w:vAlign w:val="center"/>
          </w:tcPr>
          <w:p>
            <w:pPr>
              <w:pStyle w:val="TableContents"/>
              <w:bidi w:val="0"/>
              <w:spacing w:before="0" w:after="0"/>
              <w:jc w:val="right"/>
              <w:rPr/>
            </w:pPr>
            <w:r>
              <w:rPr/>
              <w:t> </w:t>
            </w:r>
          </w:p>
        </w:tc>
        <w:tc>
          <w:tcPr>
            <w:tcW w:w="140" w:type="dxa"/>
            <w:tcBorders>
              <w:bottom w:val="double" w:sz="6" w:space="0" w:color="000000"/>
            </w:tcBorders>
            <w:tcMar>
              <w:bottom w:w="28" w:type="dxa"/>
            </w:tcMar>
            <w:vAlign w:val="center"/>
          </w:tcPr>
          <w:p>
            <w:pPr>
              <w:pStyle w:val="TableContents"/>
              <w:bidi w:val="0"/>
              <w:spacing w:before="0" w:after="0"/>
              <w:jc w:val="right"/>
              <w:rPr/>
            </w:pPr>
            <w:r>
              <w:rPr/>
              <w:t> </w:t>
            </w:r>
          </w:p>
        </w:tc>
        <w:tc>
          <w:tcPr>
            <w:tcW w:w="1115" w:type="dxa"/>
            <w:tcBorders>
              <w:bottom w:val="doub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42,954,631</w:t>
            </w:r>
          </w:p>
        </w:tc>
      </w:tr>
    </w:tbl>
    <w:p>
      <w:pPr>
        <w:pStyle w:val="TextBody"/>
        <w:bidi w:val="0"/>
        <w:spacing w:lineRule="atLeast" w:line="240" w:before="0" w:after="0"/>
        <w:jc w:val="both"/>
        <w:rPr/>
      </w:pPr>
      <w:r>
        <w:rPr/>
        <w:t> </w:t>
      </w:r>
    </w:p>
    <w:p>
      <w:pPr>
        <w:pStyle w:val="HorizontalLine"/>
        <w:pBdr>
          <w:bottom w:val="double" w:sz="2" w:space="0" w:color="808080"/>
        </w:pBdr>
        <w:bidi w:val="0"/>
        <w:jc w:val="center"/>
        <w:rPr/>
      </w:pPr>
      <w:r>
        <w:rPr/>
      </w:r>
    </w:p>
    <w:p>
      <w:pPr>
        <w:pStyle w:val="TextBody"/>
        <w:bidi w:val="0"/>
        <w:spacing w:before="0" w:after="0"/>
        <w:jc w:val="left"/>
        <w:rPr/>
      </w:pPr>
      <w:r>
        <w:rPr/>
        <w:t> </w:t>
      </w:r>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before="0" w:after="0"/>
              <w:jc w:val="center"/>
              <w:rPr/>
            </w:pPr>
            <w:r>
              <w:rPr/>
              <w:t> </w:t>
            </w:r>
            <w:r>
              <w:rPr>
                <w:rFonts w:ascii="Century Gothic" w:hAnsi="Century Gothic"/>
                <w:b/>
                <w:sz w:val="20"/>
              </w:rPr>
              <w:t>EURONET WORLDWIDE, INC.</w:t>
            </w:r>
          </w:p>
        </w:tc>
      </w:tr>
      <w:tr>
        <w:trPr/>
        <w:tc>
          <w:tcPr>
            <w:tcW w:w="9140" w:type="dxa"/>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Reconciliation of Net Income to Operating Income (Expense) and Adjusted EBITDA</w:t>
            </w:r>
          </w:p>
        </w:tc>
      </w:tr>
      <w:tr>
        <w:trPr/>
        <w:tc>
          <w:tcPr>
            <w:tcW w:w="9140" w:type="dxa"/>
            <w:tcBorders/>
            <w:vAlign w:val="center"/>
          </w:tcPr>
          <w:p>
            <w:pPr>
              <w:pStyle w:val="TableContents"/>
              <w:bidi w:val="0"/>
              <w:spacing w:before="0" w:after="0"/>
              <w:jc w:val="center"/>
              <w:rPr/>
            </w:pPr>
            <w:r>
              <w:rPr/>
              <w:t> </w:t>
            </w:r>
            <w:r>
              <w:rPr>
                <w:rFonts w:ascii="Century Gothic" w:hAnsi="Century Gothic"/>
                <w:b/>
                <w:sz w:val="20"/>
              </w:rPr>
              <w:t>(unaudited -</w:t>
            </w:r>
            <w:r>
              <w:rPr>
                <w:sz w:val="20"/>
              </w:rPr>
              <w:t xml:space="preserve"> </w:t>
            </w:r>
            <w:r>
              <w:rPr>
                <w:rFonts w:ascii="Century Gothic" w:hAnsi="Century Gothic"/>
                <w:b/>
                <w:sz w:val="20"/>
              </w:rPr>
              <w:t>in millions)</w:t>
            </w:r>
          </w:p>
        </w:tc>
      </w:tr>
    </w:tbl>
    <w:p>
      <w:pPr>
        <w:pStyle w:val="TextBody"/>
        <w:bidi w:val="0"/>
        <w:spacing w:before="0" w:after="0"/>
        <w:jc w:val="left"/>
        <w:rPr>
          <w:color w:val="FFFFFF"/>
        </w:rPr>
      </w:pPr>
      <w:r>
        <w:rPr>
          <w:color w:val="FFFFFF"/>
        </w:rPr>
        <w:t>.</w:t>
      </w:r>
    </w:p>
    <w:tbl>
      <w:tblPr>
        <w:tblW w:w="10205" w:type="dxa"/>
        <w:jc w:val="left"/>
        <w:tblInd w:w="0" w:type="dxa"/>
        <w:tblLayout w:type="fixed"/>
        <w:tblCellMar>
          <w:top w:w="0" w:type="dxa"/>
          <w:left w:w="0" w:type="dxa"/>
          <w:bottom w:w="0" w:type="dxa"/>
          <w:right w:w="0" w:type="dxa"/>
        </w:tblCellMar>
      </w:tblPr>
      <w:tblGrid>
        <w:gridCol w:w="3300"/>
        <w:gridCol w:w="329"/>
        <w:gridCol w:w="1318"/>
        <w:gridCol w:w="141"/>
        <w:gridCol w:w="142"/>
        <w:gridCol w:w="449"/>
        <w:gridCol w:w="61"/>
        <w:gridCol w:w="368"/>
        <w:gridCol w:w="1157"/>
        <w:gridCol w:w="158"/>
        <w:gridCol w:w="257"/>
        <w:gridCol w:w="948"/>
        <w:gridCol w:w="111"/>
        <w:gridCol w:w="285"/>
        <w:gridCol w:w="1181"/>
      </w:tblGrid>
      <w:tr>
        <w:trPr/>
        <w:tc>
          <w:tcPr>
            <w:tcW w:w="3300" w:type="dxa"/>
            <w:tcBorders/>
            <w:vAlign w:val="center"/>
          </w:tcPr>
          <w:p>
            <w:pPr>
              <w:pStyle w:val="TableContents"/>
              <w:bidi w:val="0"/>
              <w:spacing w:before="0" w:after="0"/>
              <w:jc w:val="left"/>
              <w:rPr/>
            </w:pPr>
            <w:r>
              <w:rPr/>
              <w:t> </w:t>
            </w:r>
          </w:p>
        </w:tc>
        <w:tc>
          <w:tcPr>
            <w:tcW w:w="6905" w:type="dxa"/>
            <w:gridSpan w:val="14"/>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Three months ended June 30, 2026</w:t>
            </w:r>
          </w:p>
        </w:tc>
      </w:tr>
      <w:tr>
        <w:trPr/>
        <w:tc>
          <w:tcPr>
            <w:tcW w:w="3300" w:type="dxa"/>
            <w:tcBorders/>
            <w:vAlign w:val="center"/>
          </w:tcPr>
          <w:p>
            <w:pPr>
              <w:pStyle w:val="TableContents"/>
              <w:bidi w:val="0"/>
              <w:spacing w:before="0" w:after="0"/>
              <w:jc w:val="left"/>
              <w:rPr/>
            </w:pPr>
            <w:r>
              <w:rPr/>
              <w:t> </w:t>
            </w:r>
          </w:p>
        </w:tc>
        <w:tc>
          <w:tcPr>
            <w:tcW w:w="1788"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Payments Infrastructure</w:t>
            </w:r>
          </w:p>
        </w:tc>
        <w:tc>
          <w:tcPr>
            <w:tcW w:w="652"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epay</w:t>
            </w:r>
          </w:p>
        </w:tc>
        <w:tc>
          <w:tcPr>
            <w:tcW w:w="1683"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Cross-Border Payments</w:t>
            </w:r>
          </w:p>
        </w:tc>
        <w:tc>
          <w:tcPr>
            <w:tcW w:w="1316"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Corporate Services</w:t>
            </w:r>
          </w:p>
        </w:tc>
        <w:tc>
          <w:tcPr>
            <w:tcW w:w="1466" w:type="dxa"/>
            <w:gridSpan w:val="2"/>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Consolidated</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Net income</w:t>
            </w:r>
          </w:p>
        </w:tc>
        <w:tc>
          <w:tcPr>
            <w:tcW w:w="329" w:type="dxa"/>
            <w:tcBorders>
              <w:top w:val="single" w:sz="6" w:space="0" w:color="000000"/>
            </w:tcBorders>
            <w:tcMar>
              <w:top w:w="28" w:type="dxa"/>
            </w:tcMar>
            <w:vAlign w:val="center"/>
          </w:tcPr>
          <w:p>
            <w:pPr>
              <w:pStyle w:val="TableContents"/>
              <w:bidi w:val="0"/>
              <w:spacing w:before="0" w:after="0"/>
              <w:jc w:val="left"/>
              <w:rPr/>
            </w:pPr>
            <w:r>
              <w:rPr/>
              <w:t> </w:t>
            </w:r>
          </w:p>
        </w:tc>
        <w:tc>
          <w:tcPr>
            <w:tcW w:w="1318" w:type="dxa"/>
            <w:tcBorders>
              <w:top w:val="single" w:sz="6" w:space="0" w:color="000000"/>
            </w:tcBorders>
            <w:tcMar>
              <w:top w:w="28" w:type="dxa"/>
            </w:tcMar>
            <w:vAlign w:val="center"/>
          </w:tcPr>
          <w:p>
            <w:pPr>
              <w:pStyle w:val="TableContents"/>
              <w:bidi w:val="0"/>
              <w:spacing w:before="0" w:after="0"/>
              <w:jc w:val="left"/>
              <w:rPr/>
            </w:pPr>
            <w:r>
              <w:rPr/>
              <w:t> </w:t>
            </w:r>
          </w:p>
        </w:tc>
        <w:tc>
          <w:tcPr>
            <w:tcW w:w="141" w:type="dxa"/>
            <w:tcBorders>
              <w:top w:val="single" w:sz="6" w:space="0" w:color="000000"/>
            </w:tcBorders>
            <w:tcMar>
              <w:top w:w="28" w:type="dxa"/>
            </w:tcMar>
            <w:vAlign w:val="center"/>
          </w:tcPr>
          <w:p>
            <w:pPr>
              <w:pStyle w:val="TableContents"/>
              <w:bidi w:val="0"/>
              <w:spacing w:before="0" w:after="0"/>
              <w:jc w:val="left"/>
              <w:rPr/>
            </w:pPr>
            <w:r>
              <w:rPr/>
              <w:t> </w:t>
            </w:r>
          </w:p>
        </w:tc>
        <w:tc>
          <w:tcPr>
            <w:tcW w:w="142" w:type="dxa"/>
            <w:tcBorders>
              <w:top w:val="single" w:sz="6" w:space="0" w:color="000000"/>
            </w:tcBorders>
            <w:tcMar>
              <w:top w:w="28" w:type="dxa"/>
            </w:tcMar>
            <w:vAlign w:val="center"/>
          </w:tcPr>
          <w:p>
            <w:pPr>
              <w:pStyle w:val="TableContents"/>
              <w:bidi w:val="0"/>
              <w:spacing w:before="0" w:after="0"/>
              <w:jc w:val="left"/>
              <w:rPr/>
            </w:pPr>
            <w:r>
              <w:rPr/>
              <w:t> </w:t>
            </w:r>
          </w:p>
        </w:tc>
        <w:tc>
          <w:tcPr>
            <w:tcW w:w="449" w:type="dxa"/>
            <w:tcBorders>
              <w:top w:val="single" w:sz="6" w:space="0" w:color="000000"/>
            </w:tcBorders>
            <w:tcMar>
              <w:top w:w="28" w:type="dxa"/>
            </w:tcMar>
            <w:vAlign w:val="center"/>
          </w:tcPr>
          <w:p>
            <w:pPr>
              <w:pStyle w:val="TableContents"/>
              <w:bidi w:val="0"/>
              <w:spacing w:before="0" w:after="0"/>
              <w:jc w:val="left"/>
              <w:rPr/>
            </w:pPr>
            <w:r>
              <w:rPr/>
              <w:t> </w:t>
            </w:r>
          </w:p>
        </w:tc>
        <w:tc>
          <w:tcPr>
            <w:tcW w:w="61" w:type="dxa"/>
            <w:tcBorders>
              <w:top w:val="single" w:sz="6" w:space="0" w:color="000000"/>
            </w:tcBorders>
            <w:tcMar>
              <w:top w:w="28" w:type="dxa"/>
            </w:tcMar>
            <w:vAlign w:val="center"/>
          </w:tcPr>
          <w:p>
            <w:pPr>
              <w:pStyle w:val="TableContents"/>
              <w:bidi w:val="0"/>
              <w:spacing w:before="0" w:after="0"/>
              <w:jc w:val="left"/>
              <w:rPr/>
            </w:pPr>
            <w:r>
              <w:rPr/>
              <w:t> </w:t>
            </w:r>
          </w:p>
        </w:tc>
        <w:tc>
          <w:tcPr>
            <w:tcW w:w="368" w:type="dxa"/>
            <w:tcBorders>
              <w:top w:val="single" w:sz="6" w:space="0" w:color="000000"/>
            </w:tcBorders>
            <w:tcMar>
              <w:top w:w="28" w:type="dxa"/>
            </w:tcMar>
            <w:vAlign w:val="center"/>
          </w:tcPr>
          <w:p>
            <w:pPr>
              <w:pStyle w:val="TableContents"/>
              <w:bidi w:val="0"/>
              <w:spacing w:before="0" w:after="0"/>
              <w:jc w:val="left"/>
              <w:rPr/>
            </w:pPr>
            <w:r>
              <w:rPr/>
              <w:t> </w:t>
            </w:r>
          </w:p>
        </w:tc>
        <w:tc>
          <w:tcPr>
            <w:tcW w:w="1157" w:type="dxa"/>
            <w:tcBorders>
              <w:top w:val="single" w:sz="6" w:space="0" w:color="000000"/>
            </w:tcBorders>
            <w:tcMar>
              <w:top w:w="28" w:type="dxa"/>
            </w:tcMar>
            <w:vAlign w:val="center"/>
          </w:tcPr>
          <w:p>
            <w:pPr>
              <w:pStyle w:val="TableContents"/>
              <w:bidi w:val="0"/>
              <w:spacing w:before="0" w:after="0"/>
              <w:jc w:val="left"/>
              <w:rPr/>
            </w:pPr>
            <w:r>
              <w:rPr/>
              <w:t> </w:t>
            </w:r>
          </w:p>
        </w:tc>
        <w:tc>
          <w:tcPr>
            <w:tcW w:w="158" w:type="dxa"/>
            <w:tcBorders>
              <w:top w:val="single" w:sz="6" w:space="0" w:color="000000"/>
            </w:tcBorders>
            <w:tcMar>
              <w:top w:w="28" w:type="dxa"/>
            </w:tcMar>
            <w:vAlign w:val="center"/>
          </w:tcPr>
          <w:p>
            <w:pPr>
              <w:pStyle w:val="TableContents"/>
              <w:bidi w:val="0"/>
              <w:spacing w:before="0" w:after="0"/>
              <w:jc w:val="left"/>
              <w:rPr/>
            </w:pPr>
            <w:r>
              <w:rPr/>
              <w:t> </w:t>
            </w:r>
          </w:p>
        </w:tc>
        <w:tc>
          <w:tcPr>
            <w:tcW w:w="257" w:type="dxa"/>
            <w:tcBorders>
              <w:top w:val="single" w:sz="6" w:space="0" w:color="000000"/>
            </w:tcBorders>
            <w:tcMar>
              <w:top w:w="28" w:type="dxa"/>
            </w:tcMar>
            <w:vAlign w:val="center"/>
          </w:tcPr>
          <w:p>
            <w:pPr>
              <w:pStyle w:val="TableContents"/>
              <w:bidi w:val="0"/>
              <w:spacing w:before="0" w:after="0"/>
              <w:jc w:val="left"/>
              <w:rPr/>
            </w:pPr>
            <w:r>
              <w:rPr/>
              <w:t> </w:t>
            </w:r>
          </w:p>
        </w:tc>
        <w:tc>
          <w:tcPr>
            <w:tcW w:w="948" w:type="dxa"/>
            <w:tcBorders>
              <w:top w:val="single" w:sz="6" w:space="0" w:color="000000"/>
            </w:tcBorders>
            <w:tcMar>
              <w:top w:w="28" w:type="dxa"/>
            </w:tcMar>
            <w:vAlign w:val="center"/>
          </w:tcPr>
          <w:p>
            <w:pPr>
              <w:pStyle w:val="TableContents"/>
              <w:bidi w:val="0"/>
              <w:spacing w:before="0" w:after="0"/>
              <w:jc w:val="left"/>
              <w:rPr/>
            </w:pPr>
            <w:r>
              <w:rPr/>
              <w:t> </w:t>
            </w:r>
          </w:p>
        </w:tc>
        <w:tc>
          <w:tcPr>
            <w:tcW w:w="111" w:type="dxa"/>
            <w:tcBorders>
              <w:top w:val="single" w:sz="6" w:space="0" w:color="000000"/>
            </w:tcBorders>
            <w:tcMar>
              <w:top w:w="28" w:type="dxa"/>
            </w:tcMar>
            <w:vAlign w:val="center"/>
          </w:tcPr>
          <w:p>
            <w:pPr>
              <w:pStyle w:val="TableContents"/>
              <w:bidi w:val="0"/>
              <w:spacing w:before="0" w:after="0"/>
              <w:jc w:val="left"/>
              <w:rPr/>
            </w:pPr>
            <w:r>
              <w:rPr/>
              <w:t> </w:t>
            </w:r>
          </w:p>
        </w:tc>
        <w:tc>
          <w:tcPr>
            <w:tcW w:w="285" w:type="dxa"/>
            <w:tcBorders>
              <w:top w:val="single" w:sz="6" w:space="0" w:color="000000"/>
            </w:tcBorders>
            <w:tcMar>
              <w:top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81"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77.6</w:t>
            </w:r>
          </w:p>
        </w:tc>
      </w:tr>
      <w:tr>
        <w:trPr/>
        <w:tc>
          <w:tcPr>
            <w:tcW w:w="3300"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61"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285"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left"/>
              <w:rPr/>
            </w:pPr>
            <w:r>
              <w:rPr/>
              <w:t> </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Income tax expense</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61"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285"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46.7</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Total other expense, net</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61"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285" w:type="dxa"/>
            <w:tcBorders/>
            <w:vAlign w:val="center"/>
          </w:tcPr>
          <w:p>
            <w:pPr>
              <w:pStyle w:val="TableContents"/>
              <w:bidi w:val="0"/>
              <w:spacing w:before="0" w:after="0"/>
              <w:jc w:val="left"/>
              <w:rPr/>
            </w:pPr>
            <w:r>
              <w:rPr/>
              <w:t> </w:t>
            </w:r>
          </w:p>
        </w:tc>
        <w:tc>
          <w:tcPr>
            <w:tcW w:w="1181"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12.8</w:t>
            </w:r>
          </w:p>
        </w:tc>
      </w:tr>
      <w:tr>
        <w:trPr/>
        <w:tc>
          <w:tcPr>
            <w:tcW w:w="3300"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left"/>
              <w:rPr/>
            </w:pPr>
            <w:r>
              <w:rPr/>
              <w:t> </w:t>
            </w:r>
          </w:p>
        </w:tc>
        <w:tc>
          <w:tcPr>
            <w:tcW w:w="141"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61"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285" w:type="dxa"/>
            <w:tcBorders/>
            <w:vAlign w:val="center"/>
          </w:tcPr>
          <w:p>
            <w:pPr>
              <w:pStyle w:val="TableContents"/>
              <w:bidi w:val="0"/>
              <w:spacing w:before="0" w:after="0"/>
              <w:jc w:val="left"/>
              <w:rPr/>
            </w:pPr>
            <w:r>
              <w:rPr/>
              <w:t> </w:t>
            </w:r>
          </w:p>
        </w:tc>
        <w:tc>
          <w:tcPr>
            <w:tcW w:w="1181" w:type="dxa"/>
            <w:tcBorders>
              <w:top w:val="single" w:sz="6" w:space="0" w:color="000000"/>
            </w:tcBorders>
            <w:tcMar>
              <w:top w:w="28" w:type="dxa"/>
            </w:tcMar>
            <w:vAlign w:val="center"/>
          </w:tcPr>
          <w:p>
            <w:pPr>
              <w:pStyle w:val="TableContents"/>
              <w:bidi w:val="0"/>
              <w:spacing w:before="0" w:after="0"/>
              <w:jc w:val="left"/>
              <w:rPr/>
            </w:pPr>
            <w:r>
              <w:rPr/>
              <w:t> </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Operating income (expense)</w:t>
            </w:r>
          </w:p>
        </w:tc>
        <w:tc>
          <w:tcPr>
            <w:tcW w:w="329"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1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86.1</w:t>
            </w:r>
          </w:p>
        </w:tc>
        <w:tc>
          <w:tcPr>
            <w:tcW w:w="141"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44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32.8</w:t>
            </w:r>
          </w:p>
        </w:tc>
        <w:tc>
          <w:tcPr>
            <w:tcW w:w="61"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57"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43.3</w:t>
            </w:r>
          </w:p>
        </w:tc>
        <w:tc>
          <w:tcPr>
            <w:tcW w:w="158" w:type="dxa"/>
            <w:tcBorders/>
            <w:vAlign w:val="center"/>
          </w:tcPr>
          <w:p>
            <w:pPr>
              <w:pStyle w:val="TableContents"/>
              <w:bidi w:val="0"/>
              <w:spacing w:before="0" w:after="0"/>
              <w:jc w:val="left"/>
              <w:rPr/>
            </w:pPr>
            <w:r>
              <w:rPr/>
              <w:t> </w:t>
            </w:r>
          </w:p>
        </w:tc>
        <w:tc>
          <w:tcPr>
            <w:tcW w:w="257"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94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(25.1)</w:t>
            </w:r>
          </w:p>
        </w:tc>
        <w:tc>
          <w:tcPr>
            <w:tcW w:w="111" w:type="dxa"/>
            <w:tcBorders/>
            <w:vAlign w:val="center"/>
          </w:tcPr>
          <w:p>
            <w:pPr>
              <w:pStyle w:val="TableContents"/>
              <w:bidi w:val="0"/>
              <w:spacing w:before="0" w:after="0"/>
              <w:jc w:val="left"/>
              <w:rPr/>
            </w:pPr>
            <w:r>
              <w:rPr/>
              <w:t> </w:t>
            </w:r>
          </w:p>
        </w:tc>
        <w:tc>
          <w:tcPr>
            <w:tcW w:w="285"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81"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137.1</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Depreciation and amortization</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31.8</w:t>
            </w:r>
          </w:p>
        </w:tc>
        <w:tc>
          <w:tcPr>
            <w:tcW w:w="141"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1.6</w:t>
            </w:r>
          </w:p>
        </w:tc>
        <w:tc>
          <w:tcPr>
            <w:tcW w:w="61" w:type="dxa"/>
            <w:tcBorders/>
            <w:vAlign w:val="center"/>
          </w:tcPr>
          <w:p>
            <w:pPr>
              <w:pStyle w:val="TableContents"/>
              <w:bidi w:val="0"/>
              <w:spacing w:before="0" w:after="0"/>
              <w:jc w:val="lef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6.4</w:t>
            </w:r>
          </w:p>
        </w:tc>
        <w:tc>
          <w:tcPr>
            <w:tcW w:w="158" w:type="dxa"/>
            <w:tcBorders/>
            <w:vAlign w:val="center"/>
          </w:tcPr>
          <w:p>
            <w:pPr>
              <w:pStyle w:val="TableContents"/>
              <w:bidi w:val="0"/>
              <w:spacing w:before="0" w:after="0"/>
              <w:jc w:val="lef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0.2</w:t>
            </w:r>
          </w:p>
        </w:tc>
        <w:tc>
          <w:tcPr>
            <w:tcW w:w="111" w:type="dxa"/>
            <w:tcBorders/>
            <w:vAlign w:val="center"/>
          </w:tcPr>
          <w:p>
            <w:pPr>
              <w:pStyle w:val="TableContents"/>
              <w:bidi w:val="0"/>
              <w:spacing w:before="0" w:after="0"/>
              <w:jc w:val="left"/>
              <w:rPr/>
            </w:pPr>
            <w:r>
              <w:rPr/>
              <w:t> </w:t>
            </w:r>
          </w:p>
        </w:tc>
        <w:tc>
          <w:tcPr>
            <w:tcW w:w="285"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40.0</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Share-based compensation</w:t>
            </w:r>
          </w:p>
        </w:tc>
        <w:tc>
          <w:tcPr>
            <w:tcW w:w="329" w:type="dxa"/>
            <w:tcBorders>
              <w:bottom w:val="single" w:sz="6" w:space="0" w:color="000000"/>
            </w:tcBorders>
            <w:tcMar>
              <w:bottom w:w="28" w:type="dxa"/>
            </w:tcMar>
            <w:vAlign w:val="center"/>
          </w:tcPr>
          <w:p>
            <w:pPr>
              <w:pStyle w:val="TableContents"/>
              <w:bidi w:val="0"/>
              <w:spacing w:before="0" w:after="0"/>
              <w:jc w:val="left"/>
              <w:rPr/>
            </w:pPr>
            <w:r>
              <w:rPr/>
              <w:t> </w:t>
            </w:r>
          </w:p>
        </w:tc>
        <w:tc>
          <w:tcPr>
            <w:tcW w:w="1318" w:type="dxa"/>
            <w:tcBorders>
              <w:bottom w:val="single" w:sz="6" w:space="0" w:color="000000"/>
            </w:tcBorders>
            <w:tcMar>
              <w:bottom w:w="28" w:type="dxa"/>
            </w:tcMar>
            <w:vAlign w:val="center"/>
          </w:tcPr>
          <w:p>
            <w:pPr>
              <w:pStyle w:val="TableContents"/>
              <w:bidi w:val="0"/>
              <w:spacing w:before="0" w:after="0"/>
              <w:jc w:val="right"/>
              <w:rPr/>
            </w:pPr>
            <w:r>
              <w:rPr/>
              <w:t>—</w:t>
            </w:r>
          </w:p>
        </w:tc>
        <w:tc>
          <w:tcPr>
            <w:tcW w:w="141" w:type="dxa"/>
            <w:tcBorders>
              <w:bottom w:val="single" w:sz="6" w:space="0" w:color="000000"/>
            </w:tcBorders>
            <w:tcMar>
              <w:bottom w:w="28" w:type="dxa"/>
            </w:tcMar>
            <w:vAlign w:val="center"/>
          </w:tcPr>
          <w:p>
            <w:pPr>
              <w:pStyle w:val="TableContents"/>
              <w:bidi w:val="0"/>
              <w:spacing w:before="0" w:after="0"/>
              <w:jc w:val="left"/>
              <w:rPr/>
            </w:pPr>
            <w:r>
              <w:rPr/>
              <w:t> </w:t>
            </w:r>
          </w:p>
        </w:tc>
        <w:tc>
          <w:tcPr>
            <w:tcW w:w="142" w:type="dxa"/>
            <w:tcBorders>
              <w:bottom w:val="single" w:sz="6" w:space="0" w:color="000000"/>
            </w:tcBorders>
            <w:tcMar>
              <w:bottom w:w="28" w:type="dxa"/>
            </w:tcMar>
            <w:vAlign w:val="center"/>
          </w:tcPr>
          <w:p>
            <w:pPr>
              <w:pStyle w:val="TableContents"/>
              <w:bidi w:val="0"/>
              <w:spacing w:before="0" w:after="0"/>
              <w:jc w:val="left"/>
              <w:rPr/>
            </w:pPr>
            <w:r>
              <w:rPr/>
              <w:t> </w:t>
            </w:r>
          </w:p>
        </w:tc>
        <w:tc>
          <w:tcPr>
            <w:tcW w:w="449" w:type="dxa"/>
            <w:tcBorders>
              <w:bottom w:val="single" w:sz="6" w:space="0" w:color="000000"/>
            </w:tcBorders>
            <w:tcMar>
              <w:bottom w:w="28" w:type="dxa"/>
            </w:tcMar>
            <w:vAlign w:val="center"/>
          </w:tcPr>
          <w:p>
            <w:pPr>
              <w:pStyle w:val="TableContents"/>
              <w:bidi w:val="0"/>
              <w:spacing w:before="0" w:after="0"/>
              <w:jc w:val="right"/>
              <w:rPr/>
            </w:pPr>
            <w:r>
              <w:rPr/>
              <w:t>—</w:t>
            </w:r>
          </w:p>
        </w:tc>
        <w:tc>
          <w:tcPr>
            <w:tcW w:w="61" w:type="dxa"/>
            <w:tcBorders>
              <w:bottom w:val="single" w:sz="6" w:space="0" w:color="000000"/>
            </w:tcBorders>
            <w:tcMar>
              <w:bottom w:w="28" w:type="dxa"/>
            </w:tcMar>
            <w:vAlign w:val="center"/>
          </w:tcPr>
          <w:p>
            <w:pPr>
              <w:pStyle w:val="TableContents"/>
              <w:bidi w:val="0"/>
              <w:spacing w:before="0" w:after="0"/>
              <w:jc w:val="left"/>
              <w:rPr/>
            </w:pPr>
            <w:r>
              <w:rPr/>
              <w:t> </w:t>
            </w:r>
          </w:p>
        </w:tc>
        <w:tc>
          <w:tcPr>
            <w:tcW w:w="368" w:type="dxa"/>
            <w:tcBorders>
              <w:bottom w:val="single" w:sz="6" w:space="0" w:color="000000"/>
            </w:tcBorders>
            <w:tcMar>
              <w:bottom w:w="28" w:type="dxa"/>
            </w:tcMar>
            <w:vAlign w:val="center"/>
          </w:tcPr>
          <w:p>
            <w:pPr>
              <w:pStyle w:val="TableContents"/>
              <w:bidi w:val="0"/>
              <w:spacing w:before="0" w:after="0"/>
              <w:jc w:val="left"/>
              <w:rPr/>
            </w:pPr>
            <w:r>
              <w:rPr/>
              <w:t> </w:t>
            </w:r>
          </w:p>
        </w:tc>
        <w:tc>
          <w:tcPr>
            <w:tcW w:w="1157" w:type="dxa"/>
            <w:tcBorders>
              <w:bottom w:val="single" w:sz="6" w:space="0" w:color="000000"/>
            </w:tcBorders>
            <w:tcMar>
              <w:bottom w:w="28" w:type="dxa"/>
            </w:tcMar>
            <w:vAlign w:val="center"/>
          </w:tcPr>
          <w:p>
            <w:pPr>
              <w:pStyle w:val="TableContents"/>
              <w:bidi w:val="0"/>
              <w:spacing w:before="0" w:after="0"/>
              <w:jc w:val="right"/>
              <w:rPr/>
            </w:pPr>
            <w:r>
              <w:rPr/>
              <w:t>—</w:t>
            </w:r>
          </w:p>
        </w:tc>
        <w:tc>
          <w:tcPr>
            <w:tcW w:w="158" w:type="dxa"/>
            <w:tcBorders>
              <w:bottom w:val="single" w:sz="6" w:space="0" w:color="000000"/>
            </w:tcBorders>
            <w:tcMar>
              <w:bottom w:w="28" w:type="dxa"/>
            </w:tcMar>
            <w:vAlign w:val="center"/>
          </w:tcPr>
          <w:p>
            <w:pPr>
              <w:pStyle w:val="TableContents"/>
              <w:bidi w:val="0"/>
              <w:spacing w:before="0" w:after="0"/>
              <w:jc w:val="left"/>
              <w:rPr/>
            </w:pPr>
            <w:r>
              <w:rPr/>
              <w:t> </w:t>
            </w:r>
          </w:p>
        </w:tc>
        <w:tc>
          <w:tcPr>
            <w:tcW w:w="257" w:type="dxa"/>
            <w:tcBorders>
              <w:bottom w:val="single" w:sz="6" w:space="0" w:color="000000"/>
            </w:tcBorders>
            <w:tcMar>
              <w:bottom w:w="28" w:type="dxa"/>
            </w:tcMar>
            <w:vAlign w:val="center"/>
          </w:tcPr>
          <w:p>
            <w:pPr>
              <w:pStyle w:val="TableContents"/>
              <w:bidi w:val="0"/>
              <w:spacing w:before="0" w:after="0"/>
              <w:jc w:val="left"/>
              <w:rPr/>
            </w:pPr>
            <w:r>
              <w:rPr/>
              <w:t> </w:t>
            </w:r>
          </w:p>
        </w:tc>
        <w:tc>
          <w:tcPr>
            <w:tcW w:w="948"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15.7</w:t>
            </w:r>
          </w:p>
        </w:tc>
        <w:tc>
          <w:tcPr>
            <w:tcW w:w="111" w:type="dxa"/>
            <w:tcBorders>
              <w:bottom w:val="single" w:sz="6" w:space="0" w:color="000000"/>
            </w:tcBorders>
            <w:tcMar>
              <w:bottom w:w="28" w:type="dxa"/>
            </w:tcMar>
            <w:vAlign w:val="center"/>
          </w:tcPr>
          <w:p>
            <w:pPr>
              <w:pStyle w:val="TableContents"/>
              <w:bidi w:val="0"/>
              <w:spacing w:before="0" w:after="0"/>
              <w:jc w:val="left"/>
              <w:rPr/>
            </w:pPr>
            <w:r>
              <w:rPr/>
              <w:t> </w:t>
            </w:r>
          </w:p>
        </w:tc>
        <w:tc>
          <w:tcPr>
            <w:tcW w:w="285" w:type="dxa"/>
            <w:tcBorders>
              <w:bottom w:val="single" w:sz="6" w:space="0" w:color="000000"/>
            </w:tcBorders>
            <w:tcMar>
              <w:bottom w:w="28" w:type="dxa"/>
            </w:tcMar>
            <w:vAlign w:val="center"/>
          </w:tcPr>
          <w:p>
            <w:pPr>
              <w:pStyle w:val="TableContents"/>
              <w:bidi w:val="0"/>
              <w:spacing w:before="0" w:after="0"/>
              <w:jc w:val="left"/>
              <w:rPr/>
            </w:pPr>
            <w:r>
              <w:rPr/>
              <w:t> </w:t>
            </w:r>
          </w:p>
        </w:tc>
        <w:tc>
          <w:tcPr>
            <w:tcW w:w="1181"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15.7</w:t>
            </w:r>
          </w:p>
        </w:tc>
      </w:tr>
      <w:tr>
        <w:trPr/>
        <w:tc>
          <w:tcPr>
            <w:tcW w:w="3300" w:type="dxa"/>
            <w:tcBorders/>
            <w:vAlign w:val="center"/>
          </w:tcPr>
          <w:p>
            <w:pPr>
              <w:pStyle w:val="TableContents"/>
              <w:bidi w:val="0"/>
              <w:spacing w:before="0" w:after="0"/>
              <w:jc w:val="left"/>
              <w:rPr>
                <w:sz w:val="20"/>
              </w:rPr>
            </w:pPr>
            <w:r>
              <w:rPr>
                <w:rFonts w:ascii="Century Gothic" w:hAnsi="Century Gothic"/>
                <w:sz w:val="20"/>
              </w:rPr>
              <w:t xml:space="preserve">Earnings before interest, taxes, depreciation, amortization, share-based compensation (Adjusted EBITDA) </w:t>
            </w:r>
            <w:r>
              <w:rPr>
                <w:rFonts w:ascii="Century Gothic" w:hAnsi="Century Gothic"/>
                <w:sz w:val="13"/>
              </w:rPr>
              <w:t>(1)</w:t>
            </w:r>
          </w:p>
        </w:tc>
        <w:tc>
          <w:tcPr>
            <w:tcW w:w="329"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1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117.9</w:t>
            </w:r>
          </w:p>
        </w:tc>
        <w:tc>
          <w:tcPr>
            <w:tcW w:w="14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pPr>
            <w:r>
              <w:rPr/>
              <w:t> </w:t>
            </w:r>
          </w:p>
        </w:tc>
        <w:tc>
          <w:tcPr>
            <w:tcW w:w="142"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449"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34.4</w:t>
            </w:r>
          </w:p>
        </w:tc>
        <w:tc>
          <w:tcPr>
            <w:tcW w:w="6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pPr>
            <w:r>
              <w:rPr/>
              <w:t> </w:t>
            </w:r>
          </w:p>
        </w:tc>
        <w:tc>
          <w:tcPr>
            <w:tcW w:w="36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57"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49.7</w:t>
            </w:r>
          </w:p>
        </w:tc>
        <w:tc>
          <w:tcPr>
            <w:tcW w:w="15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pPr>
            <w:r>
              <w:rPr/>
              <w:t> </w:t>
            </w:r>
          </w:p>
        </w:tc>
        <w:tc>
          <w:tcPr>
            <w:tcW w:w="257"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94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(9.2)</w:t>
            </w:r>
          </w:p>
        </w:tc>
        <w:tc>
          <w:tcPr>
            <w:tcW w:w="11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pPr>
            <w:r>
              <w:rPr/>
              <w:t> </w:t>
            </w:r>
          </w:p>
        </w:tc>
        <w:tc>
          <w:tcPr>
            <w:tcW w:w="285"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8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192.8</w:t>
            </w:r>
          </w:p>
        </w:tc>
      </w:tr>
    </w:tbl>
    <w:p>
      <w:pPr>
        <w:pStyle w:val="TextBody"/>
        <w:bidi w:val="0"/>
        <w:spacing w:before="0" w:after="0"/>
        <w:jc w:val="left"/>
        <w:rPr>
          <w:color w:val="FFFFFF"/>
        </w:rPr>
      </w:pPr>
      <w:r>
        <w:rPr>
          <w:color w:val="FFFFFF"/>
        </w:rPr>
        <w:t> </w:t>
      </w:r>
    </w:p>
    <w:p>
      <w:pPr>
        <w:pStyle w:val="TextBody"/>
        <w:bidi w:val="0"/>
        <w:spacing w:lineRule="auto" w:line="276" w:before="0" w:after="0"/>
        <w:jc w:val="left"/>
        <w:rPr>
          <w:color w:val="FFFFFF"/>
        </w:rPr>
      </w:pPr>
      <w:r>
        <w:rPr>
          <w:color w:val="FFFFFF"/>
        </w:rPr>
        <w:t>.</w:t>
      </w:r>
    </w:p>
    <w:tbl>
      <w:tblPr>
        <w:tblW w:w="10205" w:type="dxa"/>
        <w:jc w:val="left"/>
        <w:tblInd w:w="0" w:type="dxa"/>
        <w:tblLayout w:type="fixed"/>
        <w:tblCellMar>
          <w:top w:w="0" w:type="dxa"/>
          <w:left w:w="0" w:type="dxa"/>
          <w:bottom w:w="0" w:type="dxa"/>
          <w:right w:w="0" w:type="dxa"/>
        </w:tblCellMar>
      </w:tblPr>
      <w:tblGrid>
        <w:gridCol w:w="3300"/>
        <w:gridCol w:w="329"/>
        <w:gridCol w:w="1318"/>
        <w:gridCol w:w="141"/>
        <w:gridCol w:w="142"/>
        <w:gridCol w:w="449"/>
        <w:gridCol w:w="61"/>
        <w:gridCol w:w="368"/>
        <w:gridCol w:w="1157"/>
        <w:gridCol w:w="158"/>
        <w:gridCol w:w="257"/>
        <w:gridCol w:w="948"/>
        <w:gridCol w:w="111"/>
        <w:gridCol w:w="285"/>
        <w:gridCol w:w="1181"/>
      </w:tblGrid>
      <w:tr>
        <w:trPr/>
        <w:tc>
          <w:tcPr>
            <w:tcW w:w="3300" w:type="dxa"/>
            <w:tcBorders/>
            <w:vAlign w:val="center"/>
          </w:tcPr>
          <w:p>
            <w:pPr>
              <w:pStyle w:val="TableContents"/>
              <w:bidi w:val="0"/>
              <w:spacing w:before="0" w:after="0"/>
              <w:jc w:val="left"/>
              <w:rPr/>
            </w:pPr>
            <w:r>
              <w:rPr/>
              <w:t> </w:t>
            </w:r>
          </w:p>
        </w:tc>
        <w:tc>
          <w:tcPr>
            <w:tcW w:w="6905" w:type="dxa"/>
            <w:gridSpan w:val="14"/>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Three months ended June 30, 2025</w:t>
            </w:r>
          </w:p>
        </w:tc>
      </w:tr>
      <w:tr>
        <w:trPr/>
        <w:tc>
          <w:tcPr>
            <w:tcW w:w="3300" w:type="dxa"/>
            <w:tcBorders/>
            <w:vAlign w:val="center"/>
          </w:tcPr>
          <w:p>
            <w:pPr>
              <w:pStyle w:val="TableContents"/>
              <w:bidi w:val="0"/>
              <w:spacing w:before="0" w:after="0"/>
              <w:jc w:val="left"/>
              <w:rPr/>
            </w:pPr>
            <w:r>
              <w:rPr/>
              <w:t> </w:t>
            </w:r>
          </w:p>
        </w:tc>
        <w:tc>
          <w:tcPr>
            <w:tcW w:w="1788"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Payments Infrastructure</w:t>
            </w:r>
          </w:p>
        </w:tc>
        <w:tc>
          <w:tcPr>
            <w:tcW w:w="652"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epay</w:t>
            </w:r>
          </w:p>
        </w:tc>
        <w:tc>
          <w:tcPr>
            <w:tcW w:w="1683"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Cross-Border Payments</w:t>
            </w:r>
          </w:p>
        </w:tc>
        <w:tc>
          <w:tcPr>
            <w:tcW w:w="1316" w:type="dxa"/>
            <w:gridSpan w:val="3"/>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Corporate Services</w:t>
            </w:r>
          </w:p>
        </w:tc>
        <w:tc>
          <w:tcPr>
            <w:tcW w:w="1466" w:type="dxa"/>
            <w:gridSpan w:val="2"/>
            <w:tcBorders>
              <w:top w:val="single" w:sz="6" w:space="0" w:color="000000"/>
            </w:tcBorders>
            <w:tcMar>
              <w:top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Consolidated</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Net income</w:t>
            </w:r>
          </w:p>
        </w:tc>
        <w:tc>
          <w:tcPr>
            <w:tcW w:w="329" w:type="dxa"/>
            <w:tcBorders>
              <w:top w:val="single" w:sz="6" w:space="0" w:color="000000"/>
            </w:tcBorders>
            <w:tcMar>
              <w:top w:w="28" w:type="dxa"/>
            </w:tcMar>
            <w:vAlign w:val="center"/>
          </w:tcPr>
          <w:p>
            <w:pPr>
              <w:pStyle w:val="TableContents"/>
              <w:bidi w:val="0"/>
              <w:spacing w:before="0" w:after="0"/>
              <w:jc w:val="left"/>
              <w:rPr/>
            </w:pPr>
            <w:r>
              <w:rPr/>
              <w:t> </w:t>
            </w:r>
          </w:p>
        </w:tc>
        <w:tc>
          <w:tcPr>
            <w:tcW w:w="1318" w:type="dxa"/>
            <w:tcBorders>
              <w:top w:val="single" w:sz="6" w:space="0" w:color="000000"/>
            </w:tcBorders>
            <w:tcMar>
              <w:top w:w="28" w:type="dxa"/>
            </w:tcMar>
            <w:vAlign w:val="center"/>
          </w:tcPr>
          <w:p>
            <w:pPr>
              <w:pStyle w:val="TableContents"/>
              <w:bidi w:val="0"/>
              <w:spacing w:before="0" w:after="0"/>
              <w:jc w:val="right"/>
              <w:rPr/>
            </w:pPr>
            <w:r>
              <w:rPr/>
              <w:t> </w:t>
            </w:r>
          </w:p>
        </w:tc>
        <w:tc>
          <w:tcPr>
            <w:tcW w:w="141" w:type="dxa"/>
            <w:tcBorders>
              <w:top w:val="single" w:sz="6" w:space="0" w:color="000000"/>
            </w:tcBorders>
            <w:tcMar>
              <w:top w:w="28" w:type="dxa"/>
            </w:tcMar>
            <w:vAlign w:val="center"/>
          </w:tcPr>
          <w:p>
            <w:pPr>
              <w:pStyle w:val="TableContents"/>
              <w:bidi w:val="0"/>
              <w:spacing w:before="0" w:after="0"/>
              <w:jc w:val="right"/>
              <w:rPr/>
            </w:pPr>
            <w:r>
              <w:rPr/>
              <w:t> </w:t>
            </w:r>
          </w:p>
        </w:tc>
        <w:tc>
          <w:tcPr>
            <w:tcW w:w="142" w:type="dxa"/>
            <w:tcBorders>
              <w:top w:val="single" w:sz="6" w:space="0" w:color="000000"/>
            </w:tcBorders>
            <w:tcMar>
              <w:top w:w="28" w:type="dxa"/>
            </w:tcMar>
            <w:vAlign w:val="center"/>
          </w:tcPr>
          <w:p>
            <w:pPr>
              <w:pStyle w:val="TableContents"/>
              <w:bidi w:val="0"/>
              <w:spacing w:before="0" w:after="0"/>
              <w:jc w:val="left"/>
              <w:rPr/>
            </w:pPr>
            <w:r>
              <w:rPr/>
              <w:t> </w:t>
            </w:r>
          </w:p>
        </w:tc>
        <w:tc>
          <w:tcPr>
            <w:tcW w:w="449" w:type="dxa"/>
            <w:tcBorders>
              <w:top w:val="single" w:sz="6" w:space="0" w:color="000000"/>
            </w:tcBorders>
            <w:tcMar>
              <w:top w:w="28" w:type="dxa"/>
            </w:tcMar>
            <w:vAlign w:val="center"/>
          </w:tcPr>
          <w:p>
            <w:pPr>
              <w:pStyle w:val="TableContents"/>
              <w:bidi w:val="0"/>
              <w:spacing w:before="0" w:after="0"/>
              <w:jc w:val="right"/>
              <w:rPr/>
            </w:pPr>
            <w:r>
              <w:rPr/>
              <w:t> </w:t>
            </w:r>
          </w:p>
        </w:tc>
        <w:tc>
          <w:tcPr>
            <w:tcW w:w="61" w:type="dxa"/>
            <w:tcBorders>
              <w:top w:val="single" w:sz="6" w:space="0" w:color="000000"/>
            </w:tcBorders>
            <w:tcMar>
              <w:top w:w="28" w:type="dxa"/>
            </w:tcMar>
            <w:vAlign w:val="center"/>
          </w:tcPr>
          <w:p>
            <w:pPr>
              <w:pStyle w:val="TableContents"/>
              <w:bidi w:val="0"/>
              <w:spacing w:before="0" w:after="0"/>
              <w:jc w:val="right"/>
              <w:rPr/>
            </w:pPr>
            <w:r>
              <w:rPr/>
              <w:t> </w:t>
            </w:r>
          </w:p>
        </w:tc>
        <w:tc>
          <w:tcPr>
            <w:tcW w:w="368" w:type="dxa"/>
            <w:tcBorders>
              <w:top w:val="single" w:sz="6" w:space="0" w:color="000000"/>
            </w:tcBorders>
            <w:tcMar>
              <w:top w:w="28" w:type="dxa"/>
            </w:tcMar>
            <w:vAlign w:val="center"/>
          </w:tcPr>
          <w:p>
            <w:pPr>
              <w:pStyle w:val="TableContents"/>
              <w:bidi w:val="0"/>
              <w:spacing w:before="0" w:after="0"/>
              <w:jc w:val="left"/>
              <w:rPr/>
            </w:pPr>
            <w:r>
              <w:rPr/>
              <w:t> </w:t>
            </w:r>
          </w:p>
        </w:tc>
        <w:tc>
          <w:tcPr>
            <w:tcW w:w="1157" w:type="dxa"/>
            <w:tcBorders>
              <w:top w:val="single" w:sz="6" w:space="0" w:color="000000"/>
            </w:tcBorders>
            <w:tcMar>
              <w:top w:w="28" w:type="dxa"/>
            </w:tcMar>
            <w:vAlign w:val="center"/>
          </w:tcPr>
          <w:p>
            <w:pPr>
              <w:pStyle w:val="TableContents"/>
              <w:bidi w:val="0"/>
              <w:spacing w:before="0" w:after="0"/>
              <w:jc w:val="right"/>
              <w:rPr/>
            </w:pPr>
            <w:r>
              <w:rPr/>
              <w:t> </w:t>
            </w:r>
          </w:p>
        </w:tc>
        <w:tc>
          <w:tcPr>
            <w:tcW w:w="158" w:type="dxa"/>
            <w:tcBorders>
              <w:top w:val="single" w:sz="6" w:space="0" w:color="000000"/>
            </w:tcBorders>
            <w:tcMar>
              <w:top w:w="28" w:type="dxa"/>
            </w:tcMar>
            <w:vAlign w:val="center"/>
          </w:tcPr>
          <w:p>
            <w:pPr>
              <w:pStyle w:val="TableContents"/>
              <w:bidi w:val="0"/>
              <w:spacing w:before="0" w:after="0"/>
              <w:jc w:val="right"/>
              <w:rPr/>
            </w:pPr>
            <w:r>
              <w:rPr/>
              <w:t> </w:t>
            </w:r>
          </w:p>
        </w:tc>
        <w:tc>
          <w:tcPr>
            <w:tcW w:w="257" w:type="dxa"/>
            <w:tcBorders>
              <w:top w:val="single" w:sz="6" w:space="0" w:color="000000"/>
            </w:tcBorders>
            <w:tcMar>
              <w:top w:w="28" w:type="dxa"/>
            </w:tcMar>
            <w:vAlign w:val="center"/>
          </w:tcPr>
          <w:p>
            <w:pPr>
              <w:pStyle w:val="TableContents"/>
              <w:bidi w:val="0"/>
              <w:spacing w:before="0" w:after="0"/>
              <w:jc w:val="left"/>
              <w:rPr/>
            </w:pPr>
            <w:r>
              <w:rPr/>
              <w:t> </w:t>
            </w:r>
          </w:p>
        </w:tc>
        <w:tc>
          <w:tcPr>
            <w:tcW w:w="948" w:type="dxa"/>
            <w:tcBorders>
              <w:top w:val="single" w:sz="6" w:space="0" w:color="000000"/>
            </w:tcBorders>
            <w:tcMar>
              <w:top w:w="28" w:type="dxa"/>
            </w:tcMar>
            <w:vAlign w:val="center"/>
          </w:tcPr>
          <w:p>
            <w:pPr>
              <w:pStyle w:val="TableContents"/>
              <w:bidi w:val="0"/>
              <w:spacing w:before="0" w:after="0"/>
              <w:jc w:val="right"/>
              <w:rPr/>
            </w:pPr>
            <w:r>
              <w:rPr/>
              <w:t> </w:t>
            </w:r>
          </w:p>
        </w:tc>
        <w:tc>
          <w:tcPr>
            <w:tcW w:w="111" w:type="dxa"/>
            <w:tcBorders>
              <w:top w:val="single" w:sz="6" w:space="0" w:color="000000"/>
            </w:tcBorders>
            <w:tcMar>
              <w:top w:w="28" w:type="dxa"/>
            </w:tcMar>
            <w:vAlign w:val="center"/>
          </w:tcPr>
          <w:p>
            <w:pPr>
              <w:pStyle w:val="TableContents"/>
              <w:bidi w:val="0"/>
              <w:spacing w:before="0" w:after="0"/>
              <w:jc w:val="right"/>
              <w:rPr/>
            </w:pPr>
            <w:r>
              <w:rPr/>
              <w:t> </w:t>
            </w:r>
          </w:p>
        </w:tc>
        <w:tc>
          <w:tcPr>
            <w:tcW w:w="285" w:type="dxa"/>
            <w:tcBorders>
              <w:top w:val="single" w:sz="6" w:space="0" w:color="000000"/>
            </w:tcBorders>
            <w:tcMar>
              <w:top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81" w:type="dxa"/>
            <w:tcBorders>
              <w:top w:val="single" w:sz="6" w:space="0" w:color="000000"/>
            </w:tcBorders>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97.7</w:t>
            </w:r>
          </w:p>
        </w:tc>
      </w:tr>
      <w:tr>
        <w:trPr/>
        <w:tc>
          <w:tcPr>
            <w:tcW w:w="3300"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right"/>
              <w:rPr/>
            </w:pPr>
            <w:r>
              <w:rPr/>
              <w:t> </w:t>
            </w:r>
          </w:p>
        </w:tc>
        <w:tc>
          <w:tcPr>
            <w:tcW w:w="141" w:type="dxa"/>
            <w:tcBorders/>
            <w:vAlign w:val="center"/>
          </w:tcPr>
          <w:p>
            <w:pPr>
              <w:pStyle w:val="TableContents"/>
              <w:bidi w:val="0"/>
              <w:spacing w:before="0" w:after="0"/>
              <w:jc w:val="righ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right"/>
              <w:rPr/>
            </w:pPr>
            <w:r>
              <w:rPr/>
              <w:t> </w:t>
            </w:r>
          </w:p>
        </w:tc>
        <w:tc>
          <w:tcPr>
            <w:tcW w:w="61" w:type="dxa"/>
            <w:tcBorders/>
            <w:vAlign w:val="center"/>
          </w:tcPr>
          <w:p>
            <w:pPr>
              <w:pStyle w:val="TableContents"/>
              <w:bidi w:val="0"/>
              <w:spacing w:before="0" w:after="0"/>
              <w:jc w:val="righ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right"/>
              <w:rPr/>
            </w:pPr>
            <w:r>
              <w:rPr/>
              <w:t> </w:t>
            </w:r>
          </w:p>
        </w:tc>
        <w:tc>
          <w:tcPr>
            <w:tcW w:w="285"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right"/>
              <w:rPr/>
            </w:pPr>
            <w:r>
              <w:rPr/>
              <w:t> </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Income tax expense</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right"/>
              <w:rPr/>
            </w:pPr>
            <w:r>
              <w:rPr/>
              <w:t> </w:t>
            </w:r>
          </w:p>
        </w:tc>
        <w:tc>
          <w:tcPr>
            <w:tcW w:w="141" w:type="dxa"/>
            <w:tcBorders/>
            <w:vAlign w:val="center"/>
          </w:tcPr>
          <w:p>
            <w:pPr>
              <w:pStyle w:val="TableContents"/>
              <w:bidi w:val="0"/>
              <w:spacing w:before="0" w:after="0"/>
              <w:jc w:val="righ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right"/>
              <w:rPr/>
            </w:pPr>
            <w:r>
              <w:rPr/>
              <w:t> </w:t>
            </w:r>
          </w:p>
        </w:tc>
        <w:tc>
          <w:tcPr>
            <w:tcW w:w="61" w:type="dxa"/>
            <w:tcBorders/>
            <w:vAlign w:val="center"/>
          </w:tcPr>
          <w:p>
            <w:pPr>
              <w:pStyle w:val="TableContents"/>
              <w:bidi w:val="0"/>
              <w:spacing w:before="0" w:after="0"/>
              <w:jc w:val="righ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right"/>
              <w:rPr/>
            </w:pPr>
            <w:r>
              <w:rPr/>
              <w:t> </w:t>
            </w:r>
          </w:p>
        </w:tc>
        <w:tc>
          <w:tcPr>
            <w:tcW w:w="285"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33.6</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Total other expense, net</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right"/>
              <w:rPr/>
            </w:pPr>
            <w:r>
              <w:rPr/>
              <w:t> </w:t>
            </w:r>
          </w:p>
        </w:tc>
        <w:tc>
          <w:tcPr>
            <w:tcW w:w="141" w:type="dxa"/>
            <w:tcBorders/>
            <w:vAlign w:val="center"/>
          </w:tcPr>
          <w:p>
            <w:pPr>
              <w:pStyle w:val="TableContents"/>
              <w:bidi w:val="0"/>
              <w:spacing w:before="0" w:after="0"/>
              <w:jc w:val="righ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right"/>
              <w:rPr/>
            </w:pPr>
            <w:r>
              <w:rPr/>
              <w:t> </w:t>
            </w:r>
          </w:p>
        </w:tc>
        <w:tc>
          <w:tcPr>
            <w:tcW w:w="61" w:type="dxa"/>
            <w:tcBorders/>
            <w:vAlign w:val="center"/>
          </w:tcPr>
          <w:p>
            <w:pPr>
              <w:pStyle w:val="TableContents"/>
              <w:bidi w:val="0"/>
              <w:spacing w:before="0" w:after="0"/>
              <w:jc w:val="righ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right"/>
              <w:rPr/>
            </w:pPr>
            <w:r>
              <w:rPr/>
              <w:t> </w:t>
            </w:r>
          </w:p>
        </w:tc>
        <w:tc>
          <w:tcPr>
            <w:tcW w:w="285" w:type="dxa"/>
            <w:tcBorders/>
            <w:vAlign w:val="center"/>
          </w:tcPr>
          <w:p>
            <w:pPr>
              <w:pStyle w:val="TableContents"/>
              <w:bidi w:val="0"/>
              <w:spacing w:before="0" w:after="0"/>
              <w:jc w:val="left"/>
              <w:rPr/>
            </w:pPr>
            <w:r>
              <w:rPr/>
              <w:t> </w:t>
            </w:r>
          </w:p>
        </w:tc>
        <w:tc>
          <w:tcPr>
            <w:tcW w:w="1181"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27.3</w:t>
            </w:r>
          </w:p>
        </w:tc>
      </w:tr>
      <w:tr>
        <w:trPr/>
        <w:tc>
          <w:tcPr>
            <w:tcW w:w="3300"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right"/>
              <w:rPr/>
            </w:pPr>
            <w:r>
              <w:rPr/>
              <w:t> </w:t>
            </w:r>
          </w:p>
        </w:tc>
        <w:tc>
          <w:tcPr>
            <w:tcW w:w="141" w:type="dxa"/>
            <w:tcBorders/>
            <w:vAlign w:val="center"/>
          </w:tcPr>
          <w:p>
            <w:pPr>
              <w:pStyle w:val="TableContents"/>
              <w:bidi w:val="0"/>
              <w:spacing w:before="0" w:after="0"/>
              <w:jc w:val="righ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right"/>
              <w:rPr/>
            </w:pPr>
            <w:r>
              <w:rPr/>
              <w:t> </w:t>
            </w:r>
          </w:p>
        </w:tc>
        <w:tc>
          <w:tcPr>
            <w:tcW w:w="61" w:type="dxa"/>
            <w:tcBorders/>
            <w:vAlign w:val="center"/>
          </w:tcPr>
          <w:p>
            <w:pPr>
              <w:pStyle w:val="TableContents"/>
              <w:bidi w:val="0"/>
              <w:spacing w:before="0" w:after="0"/>
              <w:jc w:val="righ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right"/>
              <w:rPr/>
            </w:pPr>
            <w:r>
              <w:rPr/>
              <w:t> </w:t>
            </w:r>
          </w:p>
        </w:tc>
        <w:tc>
          <w:tcPr>
            <w:tcW w:w="285" w:type="dxa"/>
            <w:tcBorders/>
            <w:vAlign w:val="center"/>
          </w:tcPr>
          <w:p>
            <w:pPr>
              <w:pStyle w:val="TableContents"/>
              <w:bidi w:val="0"/>
              <w:spacing w:before="0" w:after="0"/>
              <w:jc w:val="left"/>
              <w:rPr/>
            </w:pPr>
            <w:r>
              <w:rPr/>
              <w:t> </w:t>
            </w:r>
          </w:p>
        </w:tc>
        <w:tc>
          <w:tcPr>
            <w:tcW w:w="1181" w:type="dxa"/>
            <w:tcBorders>
              <w:top w:val="single" w:sz="6" w:space="0" w:color="000000"/>
            </w:tcBorders>
            <w:tcMar>
              <w:top w:w="28" w:type="dxa"/>
            </w:tcMar>
            <w:vAlign w:val="center"/>
          </w:tcPr>
          <w:p>
            <w:pPr>
              <w:pStyle w:val="TableContents"/>
              <w:bidi w:val="0"/>
              <w:spacing w:before="0" w:after="0"/>
              <w:jc w:val="right"/>
              <w:rPr/>
            </w:pPr>
            <w:r>
              <w:rPr/>
              <w:t> </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Operating income (expense)</w:t>
            </w:r>
          </w:p>
        </w:tc>
        <w:tc>
          <w:tcPr>
            <w:tcW w:w="329"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1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84.6</w:t>
            </w:r>
          </w:p>
        </w:tc>
        <w:tc>
          <w:tcPr>
            <w:tcW w:w="141" w:type="dxa"/>
            <w:tcBorders/>
            <w:vAlign w:val="center"/>
          </w:tcPr>
          <w:p>
            <w:pPr>
              <w:pStyle w:val="TableContents"/>
              <w:bidi w:val="0"/>
              <w:spacing w:before="0" w:after="0"/>
              <w:jc w:val="right"/>
              <w:rPr/>
            </w:pPr>
            <w:r>
              <w:rPr/>
              <w:t> </w:t>
            </w:r>
          </w:p>
        </w:tc>
        <w:tc>
          <w:tcPr>
            <w:tcW w:w="142"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44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31.1</w:t>
            </w:r>
          </w:p>
        </w:tc>
        <w:tc>
          <w:tcPr>
            <w:tcW w:w="61" w:type="dxa"/>
            <w:tcBorders/>
            <w:vAlign w:val="center"/>
          </w:tcPr>
          <w:p>
            <w:pPr>
              <w:pStyle w:val="TableContents"/>
              <w:bidi w:val="0"/>
              <w:spacing w:before="0" w:after="0"/>
              <w:jc w:val="right"/>
              <w:rPr/>
            </w:pPr>
            <w:r>
              <w:rPr/>
              <w:t> </w:t>
            </w:r>
          </w:p>
        </w:tc>
        <w:tc>
          <w:tcPr>
            <w:tcW w:w="368"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57"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65.6</w:t>
            </w:r>
          </w:p>
        </w:tc>
        <w:tc>
          <w:tcPr>
            <w:tcW w:w="158" w:type="dxa"/>
            <w:tcBorders/>
            <w:vAlign w:val="center"/>
          </w:tcPr>
          <w:p>
            <w:pPr>
              <w:pStyle w:val="TableContents"/>
              <w:bidi w:val="0"/>
              <w:spacing w:before="0" w:after="0"/>
              <w:jc w:val="right"/>
              <w:rPr/>
            </w:pPr>
            <w:r>
              <w:rPr/>
              <w:t> </w:t>
            </w:r>
          </w:p>
        </w:tc>
        <w:tc>
          <w:tcPr>
            <w:tcW w:w="257"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94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(22.7)</w:t>
            </w:r>
          </w:p>
        </w:tc>
        <w:tc>
          <w:tcPr>
            <w:tcW w:w="111" w:type="dxa"/>
            <w:tcBorders/>
            <w:vAlign w:val="center"/>
          </w:tcPr>
          <w:p>
            <w:pPr>
              <w:pStyle w:val="TableContents"/>
              <w:bidi w:val="0"/>
              <w:spacing w:before="0" w:after="0"/>
              <w:jc w:val="right"/>
              <w:rPr/>
            </w:pPr>
            <w:r>
              <w:rPr/>
              <w:t> </w:t>
            </w:r>
          </w:p>
        </w:tc>
        <w:tc>
          <w:tcPr>
            <w:tcW w:w="285"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81"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158.6</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Depreciation and amortization</w:t>
            </w:r>
          </w:p>
        </w:tc>
        <w:tc>
          <w:tcPr>
            <w:tcW w:w="329" w:type="dxa"/>
            <w:tcBorders/>
            <w:vAlign w:val="center"/>
          </w:tcPr>
          <w:p>
            <w:pPr>
              <w:pStyle w:val="TableContents"/>
              <w:bidi w:val="0"/>
              <w:spacing w:before="0" w:after="0"/>
              <w:jc w:val="left"/>
              <w:rPr/>
            </w:pPr>
            <w:r>
              <w:rPr/>
              <w:t> </w:t>
            </w:r>
          </w:p>
        </w:tc>
        <w:tc>
          <w:tcPr>
            <w:tcW w:w="131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26.0</w:t>
            </w:r>
          </w:p>
        </w:tc>
        <w:tc>
          <w:tcPr>
            <w:tcW w:w="141" w:type="dxa"/>
            <w:tcBorders/>
            <w:vAlign w:val="center"/>
          </w:tcPr>
          <w:p>
            <w:pPr>
              <w:pStyle w:val="TableContents"/>
              <w:bidi w:val="0"/>
              <w:spacing w:before="0" w:after="0"/>
              <w:jc w:val="right"/>
              <w:rPr/>
            </w:pPr>
            <w:r>
              <w:rPr/>
              <w:t> </w:t>
            </w:r>
          </w:p>
        </w:tc>
        <w:tc>
          <w:tcPr>
            <w:tcW w:w="142"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1.7</w:t>
            </w:r>
          </w:p>
        </w:tc>
        <w:tc>
          <w:tcPr>
            <w:tcW w:w="61" w:type="dxa"/>
            <w:tcBorders/>
            <w:vAlign w:val="center"/>
          </w:tcPr>
          <w:p>
            <w:pPr>
              <w:pStyle w:val="TableContents"/>
              <w:bidi w:val="0"/>
              <w:spacing w:before="0" w:after="0"/>
              <w:jc w:val="right"/>
              <w:rPr/>
            </w:pPr>
            <w:r>
              <w:rPr/>
              <w:t> </w:t>
            </w:r>
          </w:p>
        </w:tc>
        <w:tc>
          <w:tcPr>
            <w:tcW w:w="368"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6.0</w:t>
            </w:r>
          </w:p>
        </w:tc>
        <w:tc>
          <w:tcPr>
            <w:tcW w:w="158" w:type="dxa"/>
            <w:tcBorders/>
            <w:vAlign w:val="center"/>
          </w:tcPr>
          <w:p>
            <w:pPr>
              <w:pStyle w:val="TableContents"/>
              <w:bidi w:val="0"/>
              <w:spacing w:before="0" w:after="0"/>
              <w:jc w:val="right"/>
              <w:rPr/>
            </w:pPr>
            <w:r>
              <w:rPr/>
              <w:t> </w:t>
            </w:r>
          </w:p>
        </w:tc>
        <w:tc>
          <w:tcPr>
            <w:tcW w:w="257"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0.1</w:t>
            </w:r>
          </w:p>
        </w:tc>
        <w:tc>
          <w:tcPr>
            <w:tcW w:w="111" w:type="dxa"/>
            <w:tcBorders/>
            <w:vAlign w:val="center"/>
          </w:tcPr>
          <w:p>
            <w:pPr>
              <w:pStyle w:val="TableContents"/>
              <w:bidi w:val="0"/>
              <w:spacing w:before="0" w:after="0"/>
              <w:jc w:val="right"/>
              <w:rPr/>
            </w:pPr>
            <w:r>
              <w:rPr/>
              <w:t> </w:t>
            </w:r>
          </w:p>
        </w:tc>
        <w:tc>
          <w:tcPr>
            <w:tcW w:w="285" w:type="dxa"/>
            <w:tcBorders/>
            <w:vAlign w:val="center"/>
          </w:tcPr>
          <w:p>
            <w:pPr>
              <w:pStyle w:val="TableContents"/>
              <w:bidi w:val="0"/>
              <w:spacing w:before="0" w:after="0"/>
              <w:jc w:val="left"/>
              <w:rPr/>
            </w:pPr>
            <w:r>
              <w:rPr/>
              <w:t> </w:t>
            </w:r>
          </w:p>
        </w:tc>
        <w:tc>
          <w:tcPr>
            <w:tcW w:w="1181" w:type="dxa"/>
            <w:tcBorders/>
            <w:vAlign w:val="center"/>
          </w:tcPr>
          <w:p>
            <w:pPr>
              <w:pStyle w:val="TableContents"/>
              <w:bidi w:val="0"/>
              <w:spacing w:before="0" w:after="0"/>
              <w:jc w:val="right"/>
              <w:rPr>
                <w:rFonts w:ascii="Century Gothic" w:hAnsi="Century Gothic"/>
                <w:sz w:val="20"/>
              </w:rPr>
            </w:pPr>
            <w:r>
              <w:rPr>
                <w:rFonts w:ascii="Century Gothic" w:hAnsi="Century Gothic"/>
                <w:sz w:val="20"/>
              </w:rPr>
              <w:t>33.8</w:t>
            </w:r>
          </w:p>
        </w:tc>
      </w:tr>
      <w:tr>
        <w:trPr/>
        <w:tc>
          <w:tcPr>
            <w:tcW w:w="3300" w:type="dxa"/>
            <w:tcBorders/>
            <w:vAlign w:val="center"/>
          </w:tcPr>
          <w:p>
            <w:pPr>
              <w:pStyle w:val="TableContents"/>
              <w:bidi w:val="0"/>
              <w:spacing w:before="0" w:after="0"/>
              <w:jc w:val="left"/>
              <w:rPr>
                <w:rFonts w:ascii="Century Gothic" w:hAnsi="Century Gothic"/>
                <w:sz w:val="20"/>
              </w:rPr>
            </w:pPr>
            <w:r>
              <w:rPr>
                <w:rFonts w:ascii="Century Gothic" w:hAnsi="Century Gothic"/>
                <w:sz w:val="20"/>
              </w:rPr>
              <w:t>Add: Share-based compensation</w:t>
            </w:r>
          </w:p>
        </w:tc>
        <w:tc>
          <w:tcPr>
            <w:tcW w:w="329" w:type="dxa"/>
            <w:tcBorders>
              <w:bottom w:val="single" w:sz="6" w:space="0" w:color="000000"/>
            </w:tcBorders>
            <w:tcMar>
              <w:bottom w:w="28" w:type="dxa"/>
            </w:tcMar>
            <w:vAlign w:val="center"/>
          </w:tcPr>
          <w:p>
            <w:pPr>
              <w:pStyle w:val="TableContents"/>
              <w:bidi w:val="0"/>
              <w:spacing w:before="0" w:after="0"/>
              <w:jc w:val="left"/>
              <w:rPr/>
            </w:pPr>
            <w:r>
              <w:rPr/>
              <w:t> </w:t>
            </w:r>
          </w:p>
        </w:tc>
        <w:tc>
          <w:tcPr>
            <w:tcW w:w="1318" w:type="dxa"/>
            <w:tcBorders>
              <w:bottom w:val="single" w:sz="6" w:space="0" w:color="000000"/>
            </w:tcBorders>
            <w:tcMar>
              <w:bottom w:w="28" w:type="dxa"/>
            </w:tcMar>
            <w:vAlign w:val="center"/>
          </w:tcPr>
          <w:p>
            <w:pPr>
              <w:pStyle w:val="TableContents"/>
              <w:bidi w:val="0"/>
              <w:spacing w:before="0" w:after="0"/>
              <w:jc w:val="right"/>
              <w:rPr/>
            </w:pPr>
            <w:r>
              <w:rPr/>
              <w:t>—</w:t>
            </w:r>
          </w:p>
        </w:tc>
        <w:tc>
          <w:tcPr>
            <w:tcW w:w="141" w:type="dxa"/>
            <w:tcBorders>
              <w:bottom w:val="single" w:sz="6" w:space="0" w:color="000000"/>
            </w:tcBorders>
            <w:tcMar>
              <w:bottom w:w="28" w:type="dxa"/>
            </w:tcMar>
            <w:vAlign w:val="center"/>
          </w:tcPr>
          <w:p>
            <w:pPr>
              <w:pStyle w:val="TableContents"/>
              <w:bidi w:val="0"/>
              <w:spacing w:before="0" w:after="0"/>
              <w:jc w:val="right"/>
              <w:rPr/>
            </w:pPr>
            <w:r>
              <w:rPr/>
              <w:t> </w:t>
            </w:r>
          </w:p>
        </w:tc>
        <w:tc>
          <w:tcPr>
            <w:tcW w:w="142" w:type="dxa"/>
            <w:tcBorders>
              <w:bottom w:val="single" w:sz="6" w:space="0" w:color="000000"/>
            </w:tcBorders>
            <w:tcMar>
              <w:bottom w:w="28" w:type="dxa"/>
            </w:tcMar>
            <w:vAlign w:val="center"/>
          </w:tcPr>
          <w:p>
            <w:pPr>
              <w:pStyle w:val="TableContents"/>
              <w:bidi w:val="0"/>
              <w:spacing w:before="0" w:after="0"/>
              <w:jc w:val="left"/>
              <w:rPr/>
            </w:pPr>
            <w:r>
              <w:rPr/>
              <w:t> </w:t>
            </w:r>
          </w:p>
        </w:tc>
        <w:tc>
          <w:tcPr>
            <w:tcW w:w="449" w:type="dxa"/>
            <w:tcBorders>
              <w:bottom w:val="single" w:sz="6" w:space="0" w:color="000000"/>
            </w:tcBorders>
            <w:tcMar>
              <w:bottom w:w="28" w:type="dxa"/>
            </w:tcMar>
            <w:vAlign w:val="center"/>
          </w:tcPr>
          <w:p>
            <w:pPr>
              <w:pStyle w:val="TableContents"/>
              <w:bidi w:val="0"/>
              <w:spacing w:before="0" w:after="0"/>
              <w:jc w:val="right"/>
              <w:rPr/>
            </w:pPr>
            <w:r>
              <w:rPr/>
              <w:t>—</w:t>
            </w:r>
          </w:p>
        </w:tc>
        <w:tc>
          <w:tcPr>
            <w:tcW w:w="61" w:type="dxa"/>
            <w:tcBorders>
              <w:bottom w:val="single" w:sz="6" w:space="0" w:color="000000"/>
            </w:tcBorders>
            <w:tcMar>
              <w:bottom w:w="28" w:type="dxa"/>
            </w:tcMar>
            <w:vAlign w:val="center"/>
          </w:tcPr>
          <w:p>
            <w:pPr>
              <w:pStyle w:val="TableContents"/>
              <w:bidi w:val="0"/>
              <w:spacing w:before="0" w:after="0"/>
              <w:jc w:val="right"/>
              <w:rPr/>
            </w:pPr>
            <w:r>
              <w:rPr/>
              <w:t> </w:t>
            </w:r>
          </w:p>
        </w:tc>
        <w:tc>
          <w:tcPr>
            <w:tcW w:w="368" w:type="dxa"/>
            <w:tcBorders>
              <w:bottom w:val="single" w:sz="6" w:space="0" w:color="000000"/>
            </w:tcBorders>
            <w:tcMar>
              <w:bottom w:w="28" w:type="dxa"/>
            </w:tcMar>
            <w:vAlign w:val="center"/>
          </w:tcPr>
          <w:p>
            <w:pPr>
              <w:pStyle w:val="TableContents"/>
              <w:bidi w:val="0"/>
              <w:spacing w:before="0" w:after="0"/>
              <w:jc w:val="left"/>
              <w:rPr/>
            </w:pPr>
            <w:r>
              <w:rPr/>
              <w:t> </w:t>
            </w:r>
          </w:p>
        </w:tc>
        <w:tc>
          <w:tcPr>
            <w:tcW w:w="1157" w:type="dxa"/>
            <w:tcBorders>
              <w:bottom w:val="single" w:sz="6" w:space="0" w:color="000000"/>
            </w:tcBorders>
            <w:tcMar>
              <w:bottom w:w="28" w:type="dxa"/>
            </w:tcMar>
            <w:vAlign w:val="center"/>
          </w:tcPr>
          <w:p>
            <w:pPr>
              <w:pStyle w:val="TableContents"/>
              <w:bidi w:val="0"/>
              <w:spacing w:before="0" w:after="0"/>
              <w:jc w:val="right"/>
              <w:rPr/>
            </w:pPr>
            <w:r>
              <w:rPr/>
              <w:t>—</w:t>
            </w:r>
          </w:p>
        </w:tc>
        <w:tc>
          <w:tcPr>
            <w:tcW w:w="158" w:type="dxa"/>
            <w:tcBorders>
              <w:bottom w:val="single" w:sz="6" w:space="0" w:color="000000"/>
            </w:tcBorders>
            <w:tcMar>
              <w:bottom w:w="28" w:type="dxa"/>
            </w:tcMar>
            <w:vAlign w:val="center"/>
          </w:tcPr>
          <w:p>
            <w:pPr>
              <w:pStyle w:val="TableContents"/>
              <w:bidi w:val="0"/>
              <w:spacing w:before="0" w:after="0"/>
              <w:jc w:val="right"/>
              <w:rPr/>
            </w:pPr>
            <w:r>
              <w:rPr/>
              <w:t> </w:t>
            </w:r>
          </w:p>
        </w:tc>
        <w:tc>
          <w:tcPr>
            <w:tcW w:w="257" w:type="dxa"/>
            <w:tcBorders>
              <w:bottom w:val="single" w:sz="6" w:space="0" w:color="000000"/>
            </w:tcBorders>
            <w:tcMar>
              <w:bottom w:w="28" w:type="dxa"/>
            </w:tcMar>
            <w:vAlign w:val="center"/>
          </w:tcPr>
          <w:p>
            <w:pPr>
              <w:pStyle w:val="TableContents"/>
              <w:bidi w:val="0"/>
              <w:spacing w:before="0" w:after="0"/>
              <w:jc w:val="left"/>
              <w:rPr/>
            </w:pPr>
            <w:r>
              <w:rPr/>
              <w:t> </w:t>
            </w:r>
          </w:p>
        </w:tc>
        <w:tc>
          <w:tcPr>
            <w:tcW w:w="948"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13.8</w:t>
            </w:r>
          </w:p>
        </w:tc>
        <w:tc>
          <w:tcPr>
            <w:tcW w:w="111" w:type="dxa"/>
            <w:tcBorders>
              <w:bottom w:val="single" w:sz="6" w:space="0" w:color="000000"/>
            </w:tcBorders>
            <w:tcMar>
              <w:bottom w:w="28" w:type="dxa"/>
            </w:tcMar>
            <w:vAlign w:val="center"/>
          </w:tcPr>
          <w:p>
            <w:pPr>
              <w:pStyle w:val="TableContents"/>
              <w:bidi w:val="0"/>
              <w:spacing w:before="0" w:after="0"/>
              <w:jc w:val="right"/>
              <w:rPr/>
            </w:pPr>
            <w:r>
              <w:rPr/>
              <w:t> </w:t>
            </w:r>
          </w:p>
        </w:tc>
        <w:tc>
          <w:tcPr>
            <w:tcW w:w="285" w:type="dxa"/>
            <w:tcBorders>
              <w:bottom w:val="single" w:sz="6" w:space="0" w:color="000000"/>
            </w:tcBorders>
            <w:tcMar>
              <w:bottom w:w="28" w:type="dxa"/>
            </w:tcMar>
            <w:vAlign w:val="center"/>
          </w:tcPr>
          <w:p>
            <w:pPr>
              <w:pStyle w:val="TableContents"/>
              <w:bidi w:val="0"/>
              <w:spacing w:before="0" w:after="0"/>
              <w:jc w:val="left"/>
              <w:rPr/>
            </w:pPr>
            <w:r>
              <w:rPr/>
              <w:t> </w:t>
            </w:r>
          </w:p>
        </w:tc>
        <w:tc>
          <w:tcPr>
            <w:tcW w:w="1181" w:type="dxa"/>
            <w:tcBorders>
              <w:bottom w:val="single" w:sz="6" w:space="0" w:color="000000"/>
            </w:tcBorders>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13.8</w:t>
            </w:r>
          </w:p>
        </w:tc>
      </w:tr>
      <w:tr>
        <w:trPr/>
        <w:tc>
          <w:tcPr>
            <w:tcW w:w="3300" w:type="dxa"/>
            <w:tcBorders/>
            <w:vAlign w:val="center"/>
          </w:tcPr>
          <w:p>
            <w:pPr>
              <w:pStyle w:val="TableContents"/>
              <w:bidi w:val="0"/>
              <w:spacing w:before="0" w:after="0"/>
              <w:jc w:val="left"/>
              <w:rPr>
                <w:sz w:val="20"/>
              </w:rPr>
            </w:pPr>
            <w:r>
              <w:rPr>
                <w:rFonts w:ascii="Century Gothic" w:hAnsi="Century Gothic"/>
                <w:sz w:val="20"/>
              </w:rPr>
              <w:t xml:space="preserve">Earnings before interest, taxes, depreciation, amortization, share-based compensation (Adjusted EBITDA) </w:t>
            </w:r>
            <w:r>
              <w:rPr>
                <w:rFonts w:ascii="Century Gothic" w:hAnsi="Century Gothic"/>
                <w:sz w:val="13"/>
              </w:rPr>
              <w:t>(1)</w:t>
            </w:r>
          </w:p>
        </w:tc>
        <w:tc>
          <w:tcPr>
            <w:tcW w:w="329"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31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110.6</w:t>
            </w:r>
          </w:p>
        </w:tc>
        <w:tc>
          <w:tcPr>
            <w:tcW w:w="14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pPr>
            <w:r>
              <w:rPr/>
              <w:t> </w:t>
            </w:r>
          </w:p>
        </w:tc>
        <w:tc>
          <w:tcPr>
            <w:tcW w:w="142"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449"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32.8</w:t>
            </w:r>
          </w:p>
        </w:tc>
        <w:tc>
          <w:tcPr>
            <w:tcW w:w="6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pPr>
            <w:r>
              <w:rPr/>
              <w:t> </w:t>
            </w:r>
          </w:p>
        </w:tc>
        <w:tc>
          <w:tcPr>
            <w:tcW w:w="36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57"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71.6</w:t>
            </w:r>
          </w:p>
        </w:tc>
        <w:tc>
          <w:tcPr>
            <w:tcW w:w="15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pPr>
            <w:r>
              <w:rPr/>
              <w:t> </w:t>
            </w:r>
          </w:p>
        </w:tc>
        <w:tc>
          <w:tcPr>
            <w:tcW w:w="257"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948"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(8.8)</w:t>
            </w:r>
          </w:p>
        </w:tc>
        <w:tc>
          <w:tcPr>
            <w:tcW w:w="11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pPr>
            <w:r>
              <w:rPr/>
              <w:t> </w:t>
            </w:r>
          </w:p>
        </w:tc>
        <w:tc>
          <w:tcPr>
            <w:tcW w:w="285" w:type="dxa"/>
            <w:tcBorders>
              <w:top w:val="single" w:sz="6" w:space="0" w:color="000000"/>
              <w:bottom w:val="double" w:sz="6" w:space="0" w:color="000000"/>
            </w:tcBorders>
            <w:tcMar>
              <w:top w:w="28" w:type="dxa"/>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81" w:type="dxa"/>
            <w:tcBorders>
              <w:top w:val="single" w:sz="6" w:space="0" w:color="000000"/>
              <w:bottom w:val="double" w:sz="6" w:space="0" w:color="000000"/>
            </w:tcBorders>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206.2</w:t>
            </w:r>
          </w:p>
        </w:tc>
      </w:tr>
    </w:tbl>
    <w:p>
      <w:pPr>
        <w:pStyle w:val="TextBody"/>
        <w:bidi w:val="0"/>
        <w:spacing w:before="0" w:after="0"/>
        <w:jc w:val="left"/>
        <w:rPr>
          <w:color w:val="FFFFFF"/>
        </w:rPr>
      </w:pPr>
      <w:r>
        <w:rPr>
          <w:color w:val="FFFFFF"/>
        </w:rPr>
        <w:t> </w:t>
      </w:r>
    </w:p>
    <w:p>
      <w:pPr>
        <w:pStyle w:val="TextBody"/>
        <w:bidi w:val="0"/>
        <w:spacing w:before="0" w:after="0"/>
        <w:ind w:left="288" w:right="0" w:hanging="288"/>
        <w:jc w:val="both"/>
        <w:rPr>
          <w:sz w:val="20"/>
        </w:rPr>
      </w:pPr>
      <w:r>
        <w:rPr>
          <w:rFonts w:ascii="Century Gothic" w:hAnsi="Century Gothic"/>
          <w:sz w:val="13"/>
        </w:rPr>
        <w:t>(1)</w:t>
      </w:r>
      <w:r>
        <w:rPr>
          <w:caps w:val="false"/>
          <w:smallCaps w:val="false"/>
          <w:sz w:val="20"/>
        </w:rPr>
        <w:t xml:space="preserve"> </w:t>
      </w:r>
      <w:r>
        <w:rPr>
          <w:rFonts w:ascii="Century Gothic" w:hAnsi="Century Gothic"/>
          <w:sz w:val="20"/>
        </w:rPr>
        <w:t>Adjusted EBITDA is a non-GAAP measure that should be considered in addition to, and not a substitute for, net income computed in accordance with U.S. GAAP.</w:t>
      </w:r>
    </w:p>
    <w:p>
      <w:pPr>
        <w:pStyle w:val="TextBody"/>
        <w:bidi w:val="0"/>
        <w:spacing w:before="0" w:after="0"/>
        <w:ind w:left="720" w:right="0" w:hanging="0"/>
        <w:jc w:val="both"/>
        <w:rPr/>
      </w:pPr>
      <w:r>
        <w:rPr/>
        <w:t> </w:t>
      </w:r>
    </w:p>
    <w:p>
      <w:pPr>
        <w:pStyle w:val="HorizontalLine"/>
        <w:pBdr>
          <w:bottom w:val="double" w:sz="2" w:space="0" w:color="808080"/>
        </w:pBdr>
        <w:bidi w:val="0"/>
        <w:jc w:val="center"/>
        <w:rPr/>
      </w:pPr>
      <w:r>
        <w:rPr/>
      </w:r>
    </w:p>
    <w:p>
      <w:pPr>
        <w:pStyle w:val="TextBody"/>
        <w:bidi w:val="0"/>
        <w:spacing w:before="0" w:after="0"/>
        <w:jc w:val="left"/>
        <w:rPr/>
      </w:pPr>
      <w:r>
        <w:rPr/>
        <w:t> </w:t>
      </w:r>
    </w:p>
    <w:tbl>
      <w:tblPr>
        <w:tblW w:w="6440" w:type="dxa"/>
        <w:jc w:val="left"/>
        <w:tblInd w:w="0" w:type="dxa"/>
        <w:tblLayout w:type="fixed"/>
        <w:tblCellMar>
          <w:top w:w="0" w:type="dxa"/>
          <w:left w:w="0" w:type="dxa"/>
          <w:bottom w:w="0" w:type="dxa"/>
          <w:right w:w="0" w:type="dxa"/>
        </w:tblCellMar>
      </w:tblPr>
      <w:tblGrid>
        <w:gridCol w:w="6440"/>
      </w:tblGrid>
      <w:tr>
        <w:trPr/>
        <w:tc>
          <w:tcPr>
            <w:tcW w:w="6440" w:type="dxa"/>
            <w:tcBorders/>
            <w:vAlign w:val="center"/>
          </w:tcPr>
          <w:p>
            <w:pPr>
              <w:pStyle w:val="TableContents"/>
              <w:bidi w:val="0"/>
              <w:spacing w:before="0" w:after="0"/>
              <w:jc w:val="center"/>
              <w:rPr/>
            </w:pPr>
            <w:r>
              <w:rPr/>
              <w:t> </w:t>
            </w:r>
            <w:r>
              <w:rPr>
                <w:rFonts w:ascii="Century Gothic" w:hAnsi="Century Gothic"/>
                <w:b/>
                <w:sz w:val="20"/>
              </w:rPr>
              <w:t>EURONET WORLDWIDE, INC.</w:t>
            </w:r>
          </w:p>
        </w:tc>
      </w:tr>
      <w:tr>
        <w:trPr/>
        <w:tc>
          <w:tcPr>
            <w:tcW w:w="6440" w:type="dxa"/>
            <w:tcBorders/>
            <w:vAlign w:val="center"/>
          </w:tcPr>
          <w:p>
            <w:pPr>
              <w:pStyle w:val="TableContents"/>
              <w:bidi w:val="0"/>
              <w:spacing w:before="0" w:after="0"/>
              <w:jc w:val="center"/>
              <w:rPr/>
            </w:pPr>
            <w:r>
              <w:rPr/>
              <w:t> </w:t>
            </w:r>
            <w:r>
              <w:rPr>
                <w:rFonts w:ascii="Century Gothic" w:hAnsi="Century Gothic"/>
                <w:b/>
                <w:sz w:val="20"/>
              </w:rPr>
              <w:t>Reconciliation of Adjusted Earnings per Share</w:t>
            </w:r>
          </w:p>
        </w:tc>
      </w:tr>
      <w:tr>
        <w:trPr/>
        <w:tc>
          <w:tcPr>
            <w:tcW w:w="6440" w:type="dxa"/>
            <w:tcBorders/>
            <w:vAlign w:val="center"/>
          </w:tcPr>
          <w:p>
            <w:pPr>
              <w:pStyle w:val="TableContents"/>
              <w:bidi w:val="0"/>
              <w:spacing w:before="0" w:after="0"/>
              <w:jc w:val="center"/>
              <w:rPr/>
            </w:pPr>
            <w:r>
              <w:rPr/>
              <w:t> </w:t>
            </w:r>
            <w:r>
              <w:rPr>
                <w:rFonts w:ascii="Century Gothic" w:hAnsi="Century Gothic"/>
                <w:b/>
                <w:sz w:val="20"/>
              </w:rPr>
              <w:t>(unaudited -</w:t>
            </w:r>
            <w:r>
              <w:rPr>
                <w:sz w:val="20"/>
              </w:rPr>
              <w:t xml:space="preserve"> </w:t>
            </w:r>
            <w:r>
              <w:rPr>
                <w:rFonts w:ascii="Century Gothic" w:hAnsi="Century Gothic"/>
                <w:b/>
                <w:sz w:val="20"/>
              </w:rPr>
              <w:t>in millions, except share and per share data)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21"/>
        <w:gridCol w:w="140"/>
        <w:gridCol w:w="1128"/>
        <w:gridCol w:w="60"/>
        <w:gridCol w:w="140"/>
        <w:gridCol w:w="1116"/>
      </w:tblGrid>
      <w:tr>
        <w:trPr/>
        <w:tc>
          <w:tcPr>
            <w:tcW w:w="7621" w:type="dxa"/>
            <w:tcBorders/>
            <w:vAlign w:val="center"/>
          </w:tcPr>
          <w:p>
            <w:pPr>
              <w:pStyle w:val="TableContents"/>
              <w:bidi w:val="0"/>
              <w:spacing w:before="0" w:after="0"/>
              <w:jc w:val="left"/>
              <w:rPr/>
            </w:pPr>
            <w:r>
              <w:rPr/>
              <w:t> </w:t>
            </w:r>
          </w:p>
        </w:tc>
        <w:tc>
          <w:tcPr>
            <w:tcW w:w="2584" w:type="dxa"/>
            <w:gridSpan w:val="5"/>
            <w:tcBorders/>
            <w:vAlign w:val="center"/>
          </w:tcPr>
          <w:p>
            <w:pPr>
              <w:pStyle w:val="TableContents"/>
              <w:bidi w:val="0"/>
              <w:spacing w:before="0" w:after="0"/>
              <w:jc w:val="center"/>
              <w:rPr>
                <w:rFonts w:ascii="Century Gothic" w:hAnsi="Century Gothic"/>
                <w:b/>
                <w:sz w:val="20"/>
              </w:rPr>
            </w:pPr>
            <w:r>
              <w:rPr>
                <w:rFonts w:ascii="Century Gothic" w:hAnsi="Century Gothic"/>
                <w:b/>
                <w:sz w:val="20"/>
              </w:rPr>
              <w:t>Three Months Ended</w:t>
            </w:r>
          </w:p>
        </w:tc>
      </w:tr>
      <w:tr>
        <w:trPr/>
        <w:tc>
          <w:tcPr>
            <w:tcW w:w="7621" w:type="dxa"/>
            <w:tcBorders/>
            <w:vAlign w:val="center"/>
          </w:tcPr>
          <w:p>
            <w:pPr>
              <w:pStyle w:val="TableContents"/>
              <w:bidi w:val="0"/>
              <w:spacing w:before="0" w:after="0"/>
              <w:jc w:val="left"/>
              <w:rPr/>
            </w:pPr>
            <w:r>
              <w:rPr/>
              <w:t> </w:t>
            </w:r>
          </w:p>
        </w:tc>
        <w:tc>
          <w:tcPr>
            <w:tcW w:w="2584" w:type="dxa"/>
            <w:gridSpan w:val="5"/>
            <w:tcBorders>
              <w:bottom w:val="single" w:sz="6" w:space="0" w:color="000000"/>
            </w:tcBorders>
            <w:tcMar>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June 30,</w:t>
            </w:r>
          </w:p>
        </w:tc>
      </w:tr>
      <w:tr>
        <w:trPr/>
        <w:tc>
          <w:tcPr>
            <w:tcW w:w="7621" w:type="dxa"/>
            <w:tcBorders/>
            <w:vAlign w:val="center"/>
          </w:tcPr>
          <w:p>
            <w:pPr>
              <w:pStyle w:val="TableContents"/>
              <w:bidi w:val="0"/>
              <w:spacing w:before="0" w:after="0"/>
              <w:jc w:val="left"/>
              <w:rPr/>
            </w:pPr>
            <w:r>
              <w:rPr/>
              <w:t> </w:t>
            </w:r>
          </w:p>
        </w:tc>
        <w:tc>
          <w:tcPr>
            <w:tcW w:w="1268"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2026</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256"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Century Gothic" w:hAnsi="Century Gothic"/>
                <w:b/>
                <w:sz w:val="20"/>
              </w:rPr>
            </w:pPr>
            <w:r>
              <w:rPr>
                <w:rFonts w:ascii="Century Gothic" w:hAnsi="Century Gothic"/>
                <w:b/>
                <w:sz w:val="20"/>
              </w:rPr>
              <w:t>2025</w:t>
            </w:r>
          </w:p>
        </w:tc>
      </w:tr>
      <w:tr>
        <w:trPr/>
        <w:tc>
          <w:tcPr>
            <w:tcW w:w="7621" w:type="dxa"/>
            <w:tcBorders/>
            <w:shd w:fill="FFFFFF" w:val="clear"/>
            <w:vAlign w:val="center"/>
          </w:tcPr>
          <w:p>
            <w:pPr>
              <w:pStyle w:val="TableContents"/>
              <w:bidi w:val="0"/>
              <w:spacing w:before="0" w:after="0"/>
              <w:jc w:val="left"/>
              <w:rPr>
                <w:rFonts w:ascii="Century Gothic" w:hAnsi="Century Gothic"/>
                <w:sz w:val="20"/>
              </w:rPr>
            </w:pPr>
            <w:r>
              <w:rPr>
                <w:rFonts w:ascii="Century Gothic" w:hAnsi="Century Gothic"/>
                <w:sz w:val="20"/>
              </w:rPr>
              <w:t>Net income attributable to Euronet Worldwide, Inc.</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28" w:type="dxa"/>
            <w:tcBorders>
              <w:top w:val="single" w:sz="6" w:space="0" w:color="000000"/>
            </w:tcBorders>
            <w:shd w:fill="FFFFFF" w:val="clear"/>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77.4</w:t>
            </w:r>
          </w:p>
        </w:tc>
        <w:tc>
          <w:tcPr>
            <w:tcW w:w="6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6" w:type="dxa"/>
            <w:tcBorders>
              <w:top w:val="single" w:sz="6" w:space="0" w:color="000000"/>
            </w:tcBorders>
            <w:shd w:fill="FFFFFF" w:val="clear"/>
            <w:tcMar>
              <w:top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97.6</w:t>
            </w:r>
          </w:p>
        </w:tc>
      </w:tr>
      <w:tr>
        <w:trPr/>
        <w:tc>
          <w:tcPr>
            <w:tcW w:w="7621"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left"/>
              <w:rPr/>
            </w:pPr>
            <w:r>
              <w:rPr/>
              <w:t> </w:t>
            </w:r>
          </w:p>
        </w:tc>
      </w:tr>
      <w:tr>
        <w:trPr/>
        <w:tc>
          <w:tcPr>
            <w:tcW w:w="7621" w:type="dxa"/>
            <w:tcBorders/>
            <w:shd w:fill="FFFFFF" w:val="clear"/>
            <w:vAlign w:val="center"/>
          </w:tcPr>
          <w:p>
            <w:pPr>
              <w:pStyle w:val="TableContents"/>
              <w:bidi w:val="0"/>
              <w:spacing w:before="0" w:after="0"/>
              <w:jc w:val="left"/>
              <w:rPr>
                <w:rFonts w:ascii="Century Gothic" w:hAnsi="Century Gothic"/>
                <w:sz w:val="20"/>
              </w:rPr>
            </w:pPr>
            <w:r>
              <w:rPr>
                <w:rFonts w:ascii="Century Gothic" w:hAnsi="Century Gothic"/>
                <w:sz w:val="20"/>
              </w:rPr>
              <w:t>Foreign currency exchange loss</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0.2</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5.7</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 xml:space="preserve">Intangible asset amortization </w:t>
            </w:r>
            <w:r>
              <w:rPr>
                <w:rFonts w:ascii="Century Gothic" w:hAnsi="Century Gothic"/>
                <w:sz w:val="13"/>
              </w:rPr>
              <w:t>(1)</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9.6</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4.7</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 xml:space="preserve">Share-based compensation </w:t>
            </w:r>
            <w:r>
              <w:rPr>
                <w:rFonts w:ascii="Century Gothic" w:hAnsi="Century Gothic"/>
                <w:sz w:val="13"/>
              </w:rPr>
              <w:t>(2)</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15.7</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13.8</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 xml:space="preserve">Income tax effect of above adjustments </w:t>
            </w:r>
            <w:r>
              <w:rPr>
                <w:rFonts w:ascii="Century Gothic" w:hAnsi="Century Gothic"/>
                <w:sz w:val="13"/>
              </w:rPr>
              <w:t>(3)</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7.2</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(13.7)</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Non-cash investment gain</w:t>
            </w:r>
            <w:r>
              <w:rPr>
                <w:sz w:val="20"/>
              </w:rPr>
              <w:t xml:space="preserve"> </w:t>
            </w:r>
            <w:r>
              <w:rPr>
                <w:rFonts w:ascii="Century Gothic" w:hAnsi="Century Gothic"/>
                <w:sz w:val="13"/>
              </w:rPr>
              <w:t>(4)</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(3.6)</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(0.4)</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 xml:space="preserve">Non-cash GAAP tax expense </w:t>
            </w:r>
            <w:r>
              <w:rPr>
                <w:rFonts w:ascii="Century Gothic" w:hAnsi="Century Gothic"/>
                <w:sz w:val="13"/>
              </w:rPr>
              <w:t>(5)</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28"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3.5</w:t>
            </w:r>
          </w:p>
        </w:tc>
        <w:tc>
          <w:tcPr>
            <w:tcW w:w="60" w:type="dxa"/>
            <w:tcBorders/>
            <w:shd w:fill="FFFFFF" w:val="clear"/>
            <w:vAlign w:val="center"/>
          </w:tcPr>
          <w:p>
            <w:pPr>
              <w:pStyle w:val="TableContents"/>
              <w:bidi w:val="0"/>
              <w:spacing w:before="0" w:after="0"/>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16"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3.0</w:t>
            </w:r>
          </w:p>
        </w:tc>
      </w:tr>
      <w:tr>
        <w:trPr/>
        <w:tc>
          <w:tcPr>
            <w:tcW w:w="7621" w:type="dxa"/>
            <w:tcBorders/>
            <w:shd w:fill="FFFFFF" w:val="cle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128"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116"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 xml:space="preserve">Adjusted earnings </w:t>
            </w:r>
            <w:r>
              <w:rPr>
                <w:rFonts w:ascii="Century Gothic" w:hAnsi="Century Gothic"/>
                <w:sz w:val="13"/>
              </w:rPr>
              <w:t>(6)</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28"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110.0</w:t>
            </w:r>
          </w:p>
        </w:tc>
        <w:tc>
          <w:tcPr>
            <w:tcW w:w="60" w:type="dxa"/>
            <w:tcBorders/>
            <w:shd w:fill="FFFFFF" w:val="clear"/>
            <w:vAlign w:val="center"/>
          </w:tcPr>
          <w:p>
            <w:pPr>
              <w:pStyle w:val="TableContents"/>
              <w:bidi w:val="0"/>
              <w:spacing w:before="0" w:after="0"/>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6"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110.7</w:t>
            </w:r>
          </w:p>
        </w:tc>
      </w:tr>
      <w:tr>
        <w:trPr/>
        <w:tc>
          <w:tcPr>
            <w:tcW w:w="7621" w:type="dxa"/>
            <w:tcBorders/>
            <w:shd w:fill="FFFFFF" w:val="cle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128"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116"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r>
      <w:tr>
        <w:trPr/>
        <w:tc>
          <w:tcPr>
            <w:tcW w:w="7621" w:type="dxa"/>
            <w:tcBorders/>
            <w:shd w:fill="FFFFFF" w:val="clear"/>
            <w:vAlign w:val="center"/>
          </w:tcPr>
          <w:p>
            <w:pPr>
              <w:pStyle w:val="TableContents"/>
              <w:bidi w:val="0"/>
              <w:spacing w:before="0" w:after="0"/>
              <w:jc w:val="left"/>
              <w:rPr>
                <w:sz w:val="20"/>
              </w:rPr>
            </w:pPr>
            <w:r>
              <w:rPr>
                <w:rFonts w:ascii="Century Gothic" w:hAnsi="Century Gothic"/>
                <w:sz w:val="20"/>
              </w:rPr>
              <w:t xml:space="preserve">Adjusted earnings per share - diluted </w:t>
            </w:r>
            <w:r>
              <w:rPr>
                <w:rFonts w:ascii="Century Gothic" w:hAnsi="Century Gothic"/>
                <w:sz w:val="13"/>
              </w:rPr>
              <w:t>(6)</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28"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2.82</w:t>
            </w:r>
          </w:p>
        </w:tc>
        <w:tc>
          <w:tcPr>
            <w:tcW w:w="60" w:type="dxa"/>
            <w:tcBorders/>
            <w:shd w:fill="FFFFFF" w:val="clear"/>
            <w:vAlign w:val="center"/>
          </w:tcPr>
          <w:p>
            <w:pPr>
              <w:pStyle w:val="TableContents"/>
              <w:bidi w:val="0"/>
              <w:spacing w:before="0" w:after="0"/>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rFonts w:ascii="Century Gothic" w:hAnsi="Century Gothic"/>
                <w:sz w:val="20"/>
              </w:rPr>
            </w:pPr>
            <w:r>
              <w:rPr>
                <w:rFonts w:ascii="Century Gothic" w:hAnsi="Century Gothic"/>
                <w:sz w:val="20"/>
              </w:rPr>
              <w:t>$</w:t>
            </w:r>
          </w:p>
        </w:tc>
        <w:tc>
          <w:tcPr>
            <w:tcW w:w="1116"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2.56</w:t>
            </w:r>
          </w:p>
        </w:tc>
      </w:tr>
      <w:tr>
        <w:trPr/>
        <w:tc>
          <w:tcPr>
            <w:tcW w:w="7621" w:type="dxa"/>
            <w:tcBorders/>
            <w:shd w:fill="FFFFFF" w:val="cle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128"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0"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116"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r>
      <w:tr>
        <w:trPr/>
        <w:tc>
          <w:tcPr>
            <w:tcW w:w="7621" w:type="dxa"/>
            <w:tcBorders/>
            <w:shd w:fill="FFFFFF" w:val="clear"/>
            <w:vAlign w:val="center"/>
          </w:tcPr>
          <w:p>
            <w:pPr>
              <w:pStyle w:val="TableContents"/>
              <w:bidi w:val="0"/>
              <w:spacing w:before="0" w:after="0"/>
              <w:jc w:val="left"/>
              <w:rPr>
                <w:rFonts w:ascii="Century Gothic" w:hAnsi="Century Gothic"/>
                <w:sz w:val="20"/>
              </w:rPr>
            </w:pPr>
            <w:r>
              <w:rPr>
                <w:rFonts w:ascii="Century Gothic" w:hAnsi="Century Gothic"/>
                <w:sz w:val="20"/>
              </w:rPr>
              <w:t>Diluted weighted average shares outstanding (GAAP)</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46,177,113</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42,954,631</w:t>
            </w:r>
          </w:p>
        </w:tc>
      </w:tr>
      <w:tr>
        <w:trPr/>
        <w:tc>
          <w:tcPr>
            <w:tcW w:w="7621" w:type="dxa"/>
            <w:tcBorders/>
            <w:shd w:fill="FFFFFF" w:val="clear"/>
            <w:vAlign w:val="center"/>
          </w:tcPr>
          <w:p>
            <w:pPr>
              <w:pStyle w:val="TableContents"/>
              <w:bidi w:val="0"/>
              <w:spacing w:before="0" w:after="0"/>
              <w:jc w:val="left"/>
              <w:rPr>
                <w:rFonts w:ascii="Century Gothic" w:hAnsi="Century Gothic"/>
                <w:sz w:val="20"/>
              </w:rPr>
            </w:pPr>
            <w:r>
              <w:rPr>
                <w:rFonts w:ascii="Century Gothic" w:hAnsi="Century Gothic"/>
                <w:sz w:val="20"/>
              </w:rPr>
              <w:t>Effect of adjusted EPS dilution of convertible notes</w:t>
            </w:r>
          </w:p>
        </w:tc>
        <w:tc>
          <w:tcPr>
            <w:tcW w:w="140" w:type="dxa"/>
            <w:tcBorders/>
            <w:shd w:fill="FFFFFF" w:val="clear"/>
            <w:vAlign w:val="center"/>
          </w:tcPr>
          <w:p>
            <w:pPr>
              <w:pStyle w:val="TableContents"/>
              <w:bidi w:val="0"/>
              <w:spacing w:before="0" w:after="0"/>
              <w:jc w:val="left"/>
              <w:rPr/>
            </w:pPr>
            <w:r>
              <w:rPr/>
              <w:t> </w:t>
            </w:r>
          </w:p>
        </w:tc>
        <w:tc>
          <w:tcPr>
            <w:tcW w:w="1128"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(8,047,923)</w:t>
            </w:r>
          </w:p>
        </w:tc>
        <w:tc>
          <w:tcPr>
            <w:tcW w:w="60"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116" w:type="dxa"/>
            <w:tcBorders/>
            <w:shd w:fill="FFFFFF" w:val="clear"/>
            <w:vAlign w:val="center"/>
          </w:tcPr>
          <w:p>
            <w:pPr>
              <w:pStyle w:val="TableContents"/>
              <w:bidi w:val="0"/>
              <w:spacing w:before="0" w:after="0"/>
              <w:jc w:val="right"/>
              <w:rPr>
                <w:rFonts w:ascii="Century Gothic" w:hAnsi="Century Gothic"/>
                <w:sz w:val="20"/>
              </w:rPr>
            </w:pPr>
            <w:r>
              <w:rPr>
                <w:rFonts w:ascii="Century Gothic" w:hAnsi="Century Gothic"/>
                <w:sz w:val="20"/>
              </w:rPr>
              <w:t>(176,123)</w:t>
            </w:r>
          </w:p>
        </w:tc>
      </w:tr>
      <w:tr>
        <w:trPr/>
        <w:tc>
          <w:tcPr>
            <w:tcW w:w="7621" w:type="dxa"/>
            <w:tcBorders/>
            <w:shd w:fill="FFFFFF" w:val="clear"/>
            <w:vAlign w:val="center"/>
          </w:tcPr>
          <w:p>
            <w:pPr>
              <w:pStyle w:val="TableContents"/>
              <w:bidi w:val="0"/>
              <w:spacing w:before="0" w:after="0"/>
              <w:jc w:val="left"/>
              <w:rPr>
                <w:rFonts w:ascii="Century Gothic" w:hAnsi="Century Gothic"/>
                <w:sz w:val="20"/>
              </w:rPr>
            </w:pPr>
            <w:r>
              <w:rPr>
                <w:rFonts w:ascii="Century Gothic" w:hAnsi="Century Gothic"/>
                <w:sz w:val="20"/>
              </w:rPr>
              <w:t>Effect of unrecognized share-based compensation on diluted shares outstanding</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28"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931,235</w:t>
            </w:r>
          </w:p>
        </w:tc>
        <w:tc>
          <w:tcPr>
            <w:tcW w:w="60" w:type="dxa"/>
            <w:tcBorders/>
            <w:shd w:fill="FFFFFF" w:val="clear"/>
            <w:vAlign w:val="center"/>
          </w:tcPr>
          <w:p>
            <w:pPr>
              <w:pStyle w:val="TableContents"/>
              <w:bidi w:val="0"/>
              <w:spacing w:before="0" w:after="0"/>
              <w:jc w:val="left"/>
              <w:rPr/>
            </w:pPr>
            <w:r>
              <w:rPr/>
              <w:t> </w:t>
            </w:r>
          </w:p>
        </w:tc>
        <w:tc>
          <w:tcPr>
            <w:tcW w:w="140"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16" w:type="dxa"/>
            <w:tcBorders>
              <w:bottom w:val="single" w:sz="6" w:space="0" w:color="000000"/>
            </w:tcBorders>
            <w:shd w:fill="FFFFFF" w:val="clear"/>
            <w:tcMar>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406,912</w:t>
            </w:r>
          </w:p>
        </w:tc>
      </w:tr>
      <w:tr>
        <w:trPr/>
        <w:tc>
          <w:tcPr>
            <w:tcW w:w="7621" w:type="dxa"/>
            <w:tcBorders/>
            <w:shd w:fill="FFFFFF" w:val="clear"/>
            <w:vAlign w:val="center"/>
          </w:tcPr>
          <w:p>
            <w:pPr>
              <w:pStyle w:val="TableContents"/>
              <w:bidi w:val="0"/>
              <w:spacing w:before="0" w:after="0"/>
              <w:jc w:val="left"/>
              <w:rPr>
                <w:rFonts w:ascii="Century Gothic" w:hAnsi="Century Gothic"/>
                <w:sz w:val="20"/>
              </w:rPr>
            </w:pPr>
            <w:r>
              <w:rPr>
                <w:rFonts w:ascii="Century Gothic" w:hAnsi="Century Gothic"/>
                <w:sz w:val="20"/>
              </w:rPr>
              <w:t>Adjusted diluted weighted average shares outstanding</w:t>
            </w:r>
          </w:p>
        </w:tc>
        <w:tc>
          <w:tcPr>
            <w:tcW w:w="14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28"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39,060,425</w:t>
            </w:r>
          </w:p>
        </w:tc>
        <w:tc>
          <w:tcPr>
            <w:tcW w:w="60" w:type="dxa"/>
            <w:tcBorders/>
            <w:shd w:fill="FFFFFF" w:val="clear"/>
            <w:vAlign w:val="center"/>
          </w:tcPr>
          <w:p>
            <w:pPr>
              <w:pStyle w:val="TableContents"/>
              <w:bidi w:val="0"/>
              <w:spacing w:before="0" w:after="0"/>
              <w:jc w:val="left"/>
              <w:rPr/>
            </w:pPr>
            <w:r>
              <w:rPr/>
              <w:t> </w:t>
            </w:r>
          </w:p>
        </w:tc>
        <w:tc>
          <w:tcPr>
            <w:tcW w:w="14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16"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right"/>
              <w:rPr>
                <w:rFonts w:ascii="Century Gothic" w:hAnsi="Century Gothic"/>
                <w:sz w:val="20"/>
              </w:rPr>
            </w:pPr>
            <w:r>
              <w:rPr>
                <w:rFonts w:ascii="Century Gothic" w:hAnsi="Century Gothic"/>
                <w:sz w:val="20"/>
              </w:rPr>
              <w:t>43,185,420</w:t>
            </w:r>
          </w:p>
        </w:tc>
      </w:tr>
    </w:tbl>
    <w:p>
      <w:pPr>
        <w:pStyle w:val="TextBody"/>
        <w:bidi w:val="0"/>
        <w:spacing w:lineRule="atLeast" w:line="240" w:before="0" w:after="0"/>
        <w:jc w:val="both"/>
        <w:rPr/>
      </w:pPr>
      <w:r>
        <w:rPr/>
        <w:t> </w:t>
      </w:r>
    </w:p>
    <w:p>
      <w:pPr>
        <w:pStyle w:val="TextBody"/>
        <w:bidi w:val="0"/>
        <w:spacing w:lineRule="atLeast" w:line="240" w:before="0" w:after="160"/>
        <w:jc w:val="both"/>
        <w:rPr/>
      </w:pPr>
      <w:r>
        <w:rPr>
          <w:rFonts w:ascii="Century Gothic" w:hAnsi="Century Gothic"/>
          <w:sz w:val="20"/>
        </w:rPr>
        <w:t>(1) Intangible asset amortization of $9.6</w:t>
      </w:r>
      <w:r>
        <w:rPr/>
        <w:t xml:space="preserve"> </w:t>
      </w:r>
      <w:r>
        <w:rPr>
          <w:rFonts w:ascii="Century Gothic" w:hAnsi="Century Gothic"/>
          <w:sz w:val="20"/>
        </w:rPr>
        <w:t>million</w:t>
      </w:r>
      <w:r>
        <w:rPr/>
        <w:t> </w:t>
      </w:r>
      <w:r>
        <w:rPr>
          <w:rFonts w:ascii="Century Gothic" w:hAnsi="Century Gothic"/>
          <w:sz w:val="20"/>
        </w:rPr>
        <w:t>and $4.7</w:t>
      </w:r>
      <w:r>
        <w:rPr/>
        <w:t xml:space="preserve"> </w:t>
      </w:r>
      <w:r>
        <w:rPr>
          <w:rFonts w:ascii="Century Gothic" w:hAnsi="Century Gothic"/>
          <w:sz w:val="20"/>
        </w:rPr>
        <w:t>million</w:t>
      </w:r>
      <w:r>
        <w:rPr/>
        <w:t> </w:t>
      </w:r>
      <w:r>
        <w:rPr>
          <w:rFonts w:ascii="Century Gothic" w:hAnsi="Century Gothic"/>
          <w:sz w:val="20"/>
        </w:rPr>
        <w:t>are included in depreciation and amortization expense of $40.0</w:t>
      </w:r>
      <w:r>
        <w:rPr/>
        <w:t xml:space="preserve"> </w:t>
      </w:r>
      <w:r>
        <w:rPr>
          <w:rFonts w:ascii="Century Gothic" w:hAnsi="Century Gothic"/>
          <w:sz w:val="20"/>
        </w:rPr>
        <w:t>million</w:t>
      </w:r>
      <w:r>
        <w:rPr/>
        <w:t> </w:t>
      </w:r>
      <w:r>
        <w:rPr>
          <w:rFonts w:ascii="Century Gothic" w:hAnsi="Century Gothic"/>
          <w:sz w:val="20"/>
        </w:rPr>
        <w:t>and $33.8</w:t>
      </w:r>
      <w:r>
        <w:rPr/>
        <w:t xml:space="preserve"> </w:t>
      </w:r>
      <w:r>
        <w:rPr>
          <w:rFonts w:ascii="Century Gothic" w:hAnsi="Century Gothic"/>
          <w:sz w:val="20"/>
        </w:rPr>
        <w:t>million</w:t>
      </w:r>
      <w:r>
        <w:rPr/>
        <w:t> </w:t>
      </w:r>
      <w:r>
        <w:rPr>
          <w:rFonts w:ascii="Century Gothic" w:hAnsi="Century Gothic"/>
          <w:sz w:val="20"/>
        </w:rPr>
        <w:t>for the three months ended June 30, 2026 and June 30, 2025, respectively, in the consolidated statements of operations.</w:t>
      </w:r>
    </w:p>
    <w:p>
      <w:pPr>
        <w:pStyle w:val="TextBody"/>
        <w:bidi w:val="0"/>
        <w:spacing w:lineRule="atLeast" w:line="240" w:before="0" w:after="160"/>
        <w:jc w:val="both"/>
        <w:rPr/>
      </w:pPr>
      <w:r>
        <w:rPr>
          <w:rFonts w:ascii="Century Gothic" w:hAnsi="Century Gothic"/>
          <w:sz w:val="20"/>
        </w:rPr>
        <w:t>(2) Share-based compensation of $15.7</w:t>
      </w:r>
      <w:r>
        <w:rPr/>
        <w:t xml:space="preserve"> </w:t>
      </w:r>
      <w:r>
        <w:rPr>
          <w:rFonts w:ascii="Century Gothic" w:hAnsi="Century Gothic"/>
          <w:sz w:val="20"/>
        </w:rPr>
        <w:t>million and $13.8</w:t>
      </w:r>
      <w:r>
        <w:rPr/>
        <w:t xml:space="preserve"> </w:t>
      </w:r>
      <w:r>
        <w:rPr>
          <w:rFonts w:ascii="Century Gothic" w:hAnsi="Century Gothic"/>
          <w:sz w:val="20"/>
        </w:rPr>
        <w:t>million are included in salaries and benefits expense of $193.3</w:t>
      </w:r>
      <w:r>
        <w:rPr/>
        <w:t xml:space="preserve"> </w:t>
      </w:r>
      <w:r>
        <w:rPr>
          <w:rFonts w:ascii="Century Gothic" w:hAnsi="Century Gothic"/>
          <w:sz w:val="20"/>
        </w:rPr>
        <w:t>million and $173.5</w:t>
      </w:r>
      <w:r>
        <w:rPr/>
        <w:t xml:space="preserve"> </w:t>
      </w:r>
      <w:r>
        <w:rPr>
          <w:rFonts w:ascii="Century Gothic" w:hAnsi="Century Gothic"/>
          <w:sz w:val="20"/>
        </w:rPr>
        <w:t>million for the three months ended June 30, 2026 and June 30, 2025, respectively, in the consolidated statements of operations.</w:t>
      </w:r>
    </w:p>
    <w:p>
      <w:pPr>
        <w:pStyle w:val="TextBody"/>
        <w:bidi w:val="0"/>
        <w:spacing w:lineRule="atLeast" w:line="240" w:before="0" w:after="160"/>
        <w:jc w:val="both"/>
        <w:rPr/>
      </w:pPr>
      <w:r>
        <w:rPr>
          <w:rFonts w:ascii="Century Gothic" w:hAnsi="Century Gothic"/>
          <w:sz w:val="20"/>
        </w:rPr>
        <w:t>(3)</w:t>
      </w:r>
      <w:r>
        <w:rPr/>
        <w:t> </w:t>
      </w:r>
      <w:r>
        <w:rPr>
          <w:rFonts w:ascii="Century Gothic" w:hAnsi="Century Gothic"/>
          <w:sz w:val="20"/>
        </w:rPr>
        <w:t>Adjustment is the aggregate U.S. GAAP income tax effect on the preceding adjustments determined by applying the applicable statutory U.S. federal, state and/or foreign income tax rates.</w:t>
      </w:r>
      <w:r>
        <w:rPr/>
        <w:t> </w:t>
      </w:r>
    </w:p>
    <w:p>
      <w:pPr>
        <w:pStyle w:val="TextBody"/>
        <w:bidi w:val="0"/>
        <w:spacing w:lineRule="atLeast" w:line="240" w:before="0" w:after="160"/>
        <w:jc w:val="both"/>
        <w:rPr/>
      </w:pPr>
      <w:r>
        <w:rPr>
          <w:rFonts w:ascii="Century Gothic" w:hAnsi="Century Gothic"/>
          <w:sz w:val="20"/>
        </w:rPr>
        <w:t>(4) Non-cash investment gain of</w:t>
      </w:r>
      <w:r>
        <w:rPr/>
        <w:t> </w:t>
      </w:r>
      <w:r>
        <w:rPr>
          <w:rFonts w:ascii="Century Gothic" w:hAnsi="Century Gothic"/>
          <w:sz w:val="20"/>
        </w:rPr>
        <w:t>$3.6 million</w:t>
      </w:r>
      <w:r>
        <w:rPr/>
        <w:t> </w:t>
      </w:r>
      <w:r>
        <w:rPr>
          <w:rFonts w:ascii="Century Gothic" w:hAnsi="Century Gothic"/>
          <w:sz w:val="20"/>
        </w:rPr>
        <w:t>is</w:t>
      </w:r>
      <w:r>
        <w:rPr/>
        <w:t> </w:t>
      </w:r>
      <w:r>
        <w:rPr>
          <w:rFonts w:ascii="Century Gothic" w:hAnsi="Century Gothic"/>
          <w:sz w:val="20"/>
        </w:rPr>
        <w:t>included in other income in the consolidated statement of operations for the three months ended June 30, 2026. Non-cash investment gain of</w:t>
      </w:r>
      <w:r>
        <w:rPr/>
        <w:t> </w:t>
      </w:r>
      <w:r>
        <w:rPr>
          <w:rFonts w:ascii="Century Gothic" w:hAnsi="Century Gothic"/>
          <w:sz w:val="20"/>
        </w:rPr>
        <w:t>$0.4 million</w:t>
      </w:r>
      <w:r>
        <w:rPr/>
        <w:t> </w:t>
      </w:r>
      <w:r>
        <w:rPr>
          <w:rFonts w:ascii="Century Gothic" w:hAnsi="Century Gothic"/>
          <w:sz w:val="20"/>
        </w:rPr>
        <w:t>is</w:t>
      </w:r>
      <w:r>
        <w:rPr/>
        <w:t> </w:t>
      </w:r>
      <w:r>
        <w:rPr>
          <w:rFonts w:ascii="Century Gothic" w:hAnsi="Century Gothic"/>
          <w:sz w:val="20"/>
        </w:rPr>
        <w:t>included in other income in the consolidated statement of operations for the three months ended June 30, 2025.</w:t>
      </w:r>
    </w:p>
    <w:p>
      <w:pPr>
        <w:pStyle w:val="TextBody"/>
        <w:bidi w:val="0"/>
        <w:spacing w:lineRule="atLeast" w:line="240" w:before="0" w:after="160"/>
        <w:jc w:val="both"/>
        <w:rPr>
          <w:rFonts w:ascii="Century Gothic" w:hAnsi="Century Gothic"/>
          <w:sz w:val="20"/>
        </w:rPr>
      </w:pPr>
      <w:r>
        <w:rPr>
          <w:rFonts w:ascii="Century Gothic" w:hAnsi="Century Gothic"/>
          <w:sz w:val="20"/>
        </w:rPr>
        <w:t>(5) Adjustment is the non-cash GAAP tax impact recognized on certain items such as the utilization of certain material net deferred tax assets and amortization of indefinite-lived intangible assets.</w:t>
      </w:r>
    </w:p>
    <w:p>
      <w:pPr>
        <w:pStyle w:val="TextBody"/>
        <w:bidi w:val="0"/>
        <w:spacing w:lineRule="atLeast" w:line="240" w:before="0" w:after="160"/>
        <w:jc w:val="both"/>
        <w:rPr/>
      </w:pPr>
      <w:r>
        <w:rPr>
          <w:rFonts w:ascii="Century Gothic" w:hAnsi="Century Gothic"/>
          <w:sz w:val="20"/>
        </w:rPr>
        <w:t>(6) Adjusted earnings and adjusted earnings per share are non-GAAP measures that should be considered in addition to, and not as a substitute for, net income and earnings per share computed in accordance with U.S. GAAP.</w:t>
      </w: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entury Gothic">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3980</Words>
  <Characters>23034</Characters>
  <CharactersWithSpaces>27359</CharactersWithSpaces>
  <Paragraphs>1093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