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160020</wp:posOffset>
            </wp:positionV>
            <wp:extent cx="985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62865</wp:posOffset>
            </wp:positionV>
            <wp:extent cx="985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344"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3200" w:hanging="857"/>
        <w:spacing w:after="0"/>
        <w:tabs>
          <w:tab w:leader="none" w:pos="3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w:t>
      </w:r>
    </w:p>
    <w:p>
      <w:pPr>
        <w:spacing w:after="0" w:line="33" w:lineRule="exact"/>
        <w:rPr>
          <w:rFonts w:ascii="MS PGothic" w:cs="MS PGothic" w:eastAsia="MS PGothic" w:hAnsi="MS PGothic"/>
          <w:sz w:val="18"/>
          <w:szCs w:val="18"/>
          <w:color w:val="auto"/>
        </w:rPr>
      </w:pPr>
    </w:p>
    <w:p>
      <w:pPr>
        <w:ind w:left="38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THE SECURITIES EXCHANGE ACT OF 1934</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33" w:lineRule="exact"/>
        <w:rPr>
          <w:sz w:val="24"/>
          <w:szCs w:val="24"/>
          <w:color w:val="auto"/>
        </w:rPr>
      </w:pPr>
    </w:p>
    <w:p>
      <w:pPr>
        <w:ind w:left="3160" w:hanging="839"/>
        <w:spacing w:after="0"/>
        <w:tabs>
          <w:tab w:leader="none" w:pos="31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w:t>
      </w:r>
    </w:p>
    <w:p>
      <w:pPr>
        <w:spacing w:after="0" w:line="44" w:lineRule="exact"/>
        <w:rPr>
          <w:rFonts w:ascii="MS PGothic" w:cs="MS PGothic" w:eastAsia="MS PGothic" w:hAnsi="MS PGothic"/>
          <w:sz w:val="17"/>
          <w:szCs w:val="17"/>
          <w:color w:val="auto"/>
        </w:rPr>
      </w:pPr>
    </w:p>
    <w:p>
      <w:pPr>
        <w:ind w:left="370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OF THE SECURITIES EXCHANGE ACT OF 1934</w:t>
      </w:r>
    </w:p>
    <w:p>
      <w:pPr>
        <w:sectPr>
          <w:pgSz w:w="11900" w:h="16838" w:orient="portrait"/>
          <w:cols w:equalWidth="0" w:num="1">
            <w:col w:w="11260"/>
          </w:cols>
          <w:pgMar w:left="320" w:top="792" w:right="319" w:bottom="1440" w:gutter="0" w:footer="0" w:header="0"/>
        </w:sectPr>
      </w:pPr>
    </w:p>
    <w:p>
      <w:pPr>
        <w:spacing w:after="0" w:line="3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22" w:lineRule="exact"/>
        <w:rPr>
          <w:sz w:val="24"/>
          <w:szCs w:val="24"/>
          <w:color w:val="auto"/>
        </w:rPr>
      </w:pPr>
    </w:p>
    <w:p>
      <w:pPr>
        <w:sectPr>
          <w:pgSz w:w="11900" w:h="16838" w:orient="portrait"/>
          <w:cols w:equalWidth="0" w:num="2">
            <w:col w:w="6460" w:space="720"/>
            <w:col w:w="4080"/>
          </w:cols>
          <w:pgMar w:left="320" w:top="792" w:right="319" w:bottom="1440"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001-31648</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________________________</w:t>
      </w:r>
    </w:p>
    <w:p>
      <w:pPr>
        <w:sectPr>
          <w:pgSz w:w="11900" w:h="16838" w:orient="portrait"/>
          <w:cols w:equalWidth="0" w:num="1">
            <w:col w:w="11260"/>
          </w:cols>
          <w:pgMar w:left="320" w:top="792" w:right="319" w:bottom="1440" w:gutter="0" w:footer="0" w:header="0"/>
          <w:type w:val="continuous"/>
        </w:sectPr>
      </w:pPr>
    </w:p>
    <w:p>
      <w:pPr>
        <w:spacing w:after="0" w:line="230"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74-2806888</w:t>
      </w:r>
    </w:p>
    <w:p>
      <w:pPr>
        <w:spacing w:after="0" w:line="75" w:lineRule="exact"/>
        <w:rPr>
          <w:sz w:val="24"/>
          <w:szCs w:val="24"/>
          <w:color w:val="auto"/>
        </w:rPr>
      </w:pPr>
    </w:p>
    <w:p>
      <w:pPr>
        <w:sectPr>
          <w:pgSz w:w="11900" w:h="16838" w:orient="portrait"/>
          <w:cols w:equalWidth="0" w:num="2">
            <w:col w:w="7280" w:space="720"/>
            <w:col w:w="3260"/>
          </w:cols>
          <w:pgMar w:left="320" w:top="792" w:right="31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75" w:lineRule="exact"/>
        <w:rPr>
          <w:sz w:val="24"/>
          <w:szCs w:val="24"/>
          <w:color w:val="auto"/>
        </w:rPr>
      </w:pPr>
    </w:p>
    <w:p>
      <w:pPr>
        <w:sectPr>
          <w:pgSz w:w="11900" w:h="16838" w:orient="portrait"/>
          <w:cols w:equalWidth="0" w:num="2">
            <w:col w:w="6340" w:space="720"/>
            <w:col w:w="4200"/>
          </w:cols>
          <w:pgMar w:left="320" w:top="792" w:right="31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7"/>
          <w:szCs w:val="17"/>
          <w:b w:val="1"/>
          <w:bCs w:val="1"/>
          <w:color w:val="auto"/>
        </w:rPr>
        <w:t>11400 Tomahawk Creek Parkway, Suite 300</w:t>
      </w:r>
    </w:p>
    <w:p>
      <w:pPr>
        <w:sectPr>
          <w:pgSz w:w="11900" w:h="16838" w:orient="portrait"/>
          <w:cols w:equalWidth="0" w:num="1">
            <w:col w:w="11260"/>
          </w:cols>
          <w:pgMar w:left="320" w:top="792" w:right="319" w:bottom="1440" w:gutter="0" w:footer="0" w:header="0"/>
          <w:type w:val="continuous"/>
        </w:sectPr>
      </w:pPr>
    </w:p>
    <w:p>
      <w:pPr>
        <w:spacing w:after="0" w:line="75"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Leawood, Kansas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66211</w:t>
      </w:r>
    </w:p>
    <w:p>
      <w:pPr>
        <w:spacing w:after="0" w:line="75" w:lineRule="exact"/>
        <w:rPr>
          <w:sz w:val="24"/>
          <w:szCs w:val="24"/>
          <w:color w:val="auto"/>
        </w:rPr>
      </w:pPr>
    </w:p>
    <w:p>
      <w:pPr>
        <w:sectPr>
          <w:pgSz w:w="11900" w:h="16838" w:orient="portrait"/>
          <w:cols w:equalWidth="0" w:num="2">
            <w:col w:w="7500" w:space="720"/>
            <w:col w:w="3040"/>
          </w:cols>
          <w:pgMar w:left="320" w:top="792" w:right="31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40"/>
          </w:cols>
          <w:pgMar w:left="320" w:top="792" w:right="319" w:bottom="1440" w:gutter="0" w:footer="0" w:header="0"/>
          <w:type w:val="continuous"/>
        </w:sectPr>
      </w:pP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(913) 327-4200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9"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430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4"/>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Symbol(s)</w:t>
            </w:r>
          </w:p>
        </w:tc>
        <w:tc>
          <w:tcPr>
            <w:tcW w:w="74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940" w:type="dxa"/>
            <w:vAlign w:val="bottom"/>
            <w:tcBorders>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52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00" w:type="dxa"/>
            <w:vAlign w:val="bottom"/>
            <w:tcBorders>
              <w:left w:val="single" w:sz="8" w:color="auto"/>
              <w:right w:val="single" w:sz="8" w:color="auto"/>
            </w:tcBorders>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EEFT</w:t>
            </w:r>
          </w:p>
        </w:tc>
        <w:tc>
          <w:tcPr>
            <w:tcW w:w="74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27"/>
        </w:trPr>
        <w:tc>
          <w:tcPr>
            <w:tcW w:w="19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00" w:type="dxa"/>
            <w:vAlign w:val="bottom"/>
            <w:tcBorders>
              <w:left w:val="single" w:sz="8" w:color="auto"/>
              <w:right w:val="single" w:sz="8" w:color="auto"/>
            </w:tcBorders>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1.375% Senior Notes due 2026</w:t>
            </w:r>
          </w:p>
        </w:tc>
        <w:tc>
          <w:tcPr>
            <w:tcW w:w="140" w:type="dxa"/>
            <w:vAlign w:val="bottom"/>
          </w:tcPr>
          <w:p>
            <w:pPr>
              <w:spacing w:after="0"/>
              <w:rPr>
                <w:sz w:val="20"/>
                <w:szCs w:val="20"/>
                <w:color w:val="auto"/>
              </w:rPr>
            </w:pPr>
          </w:p>
        </w:tc>
        <w:tc>
          <w:tcPr>
            <w:tcW w:w="98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EEFT26</w:t>
            </w:r>
          </w:p>
        </w:tc>
        <w:tc>
          <w:tcPr>
            <w:tcW w:w="740" w:type="dxa"/>
            <w:vAlign w:val="bottom"/>
          </w:tcPr>
          <w:p>
            <w:pPr>
              <w:spacing w:after="0"/>
              <w:rPr>
                <w:sz w:val="20"/>
                <w:szCs w:val="20"/>
                <w:color w:val="auto"/>
              </w:rPr>
            </w:pPr>
          </w:p>
        </w:tc>
        <w:tc>
          <w:tcPr>
            <w:tcW w:w="4300" w:type="dxa"/>
            <w:vAlign w:val="bottom"/>
            <w:tcBorders>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r>
        <w:trPr>
          <w:trHeight w:val="27"/>
        </w:trPr>
        <w:tc>
          <w:tcPr>
            <w:tcW w:w="19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3" w:lineRule="exact"/>
        <w:rPr>
          <w:sz w:val="24"/>
          <w:szCs w:val="24"/>
          <w:color w:val="auto"/>
        </w:rPr>
      </w:pPr>
    </w:p>
    <w:p>
      <w:pPr>
        <w:ind w:right="1660"/>
        <w:spacing w:after="0" w:line="354"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3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6" w:lineRule="exact"/>
        <w:rPr>
          <w:sz w:val="20"/>
          <w:szCs w:val="20"/>
          <w:color w:val="auto"/>
        </w:rPr>
      </w:pPr>
    </w:p>
    <w:p>
      <w:pPr>
        <w:ind w:left="40"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1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24"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aggregate market value of the voting and non-voting common equity held by non-affiliates of the registrant was approximately $4.4 billion. The aggregate market value was determined based on the closing price of the Common Stock on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24, 2025, the registrant had 43,742,542 shares of Common Stock outstanding.</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for its 2024 Annual Meeting of Stockholders, which will be filed with the Securities and Exchange Commission no later than 120 days after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401320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80" w:type="dxa"/>
            <w:vAlign w:val="bottom"/>
            <w:gridSpan w:val="1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0" w:type="dxa"/>
            <w:vAlign w:val="bottom"/>
            <w:gridSpan w:val="9"/>
            <w:shd w:val="clear" w:color="auto" w:fill="CCEEFF"/>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Table of Content</w:t>
            </w:r>
          </w:p>
        </w:tc>
        <w:tc>
          <w:tcPr>
            <w:tcW w:w="1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20" w:type="dxa"/>
            <w:vAlign w:val="bottom"/>
          </w:tcPr>
          <w:p>
            <w:pPr>
              <w:spacing w:after="0"/>
              <w:rPr>
                <w:sz w:val="18"/>
                <w:szCs w:val="18"/>
                <w:color w:val="auto"/>
              </w:rPr>
            </w:pPr>
          </w:p>
        </w:tc>
      </w:tr>
      <w:tr>
        <w:trPr>
          <w:trHeight w:val="189"/>
        </w:trPr>
        <w:tc>
          <w:tcPr>
            <w:tcW w:w="11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Item Number</w:t>
            </w:r>
          </w:p>
        </w:tc>
        <w:tc>
          <w:tcPr>
            <w:tcW w:w="854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auto"/>
              </w:rPr>
              <w:t>Item Description</w:t>
            </w: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r>
      <w:tr>
        <w:trPr>
          <w:trHeight w:val="34"/>
        </w:trPr>
        <w:tc>
          <w:tcPr>
            <w:tcW w:w="4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r>
      <w:tr>
        <w:trPr>
          <w:trHeight w:val="34"/>
        </w:trPr>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6480" w:type="dxa"/>
            <w:vAlign w:val="bottom"/>
            <w:tcBorders>
              <w:bottom w:val="single" w:sz="8" w:color="CCEEFF"/>
            </w:tcBorders>
            <w:gridSpan w:val="13"/>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Cybersecurity Risk Management and Strategy</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7800" w:type="dxa"/>
            <w:vAlign w:val="bottom"/>
            <w:tcBorders>
              <w:bottom w:val="single" w:sz="8" w:color="CCEEFF"/>
            </w:tcBorders>
            <w:gridSpan w:val="21"/>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18"/>
                <w:szCs w:val="18"/>
                <w:color w:val="auto"/>
              </w:rPr>
            </w:pPr>
          </w:p>
        </w:tc>
      </w:tr>
      <w:tr>
        <w:trPr>
          <w:trHeight w:val="230"/>
        </w:trPr>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15"/>
                <w:szCs w:val="15"/>
                <w:color w:val="auto"/>
              </w:rPr>
            </w:pPr>
          </w:p>
        </w:tc>
      </w:tr>
      <w:tr>
        <w:trPr>
          <w:trHeight w:val="34"/>
        </w:trPr>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Reserved</w:t>
            </w:r>
          </w:p>
        </w:tc>
        <w:tc>
          <w:tcPr>
            <w:tcW w:w="7860" w:type="dxa"/>
            <w:vAlign w:val="bottom"/>
            <w:tcBorders>
              <w:bottom w:val="single" w:sz="8" w:color="CCEEFF"/>
            </w:tcBorders>
            <w:gridSpan w:val="22"/>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20" w:type="dxa"/>
            <w:vAlign w:val="bottom"/>
            <w:tcBorders>
              <w:bottom w:val="single" w:sz="8" w:color="CCEEFF"/>
            </w:tcBorders>
            <w:gridSpan w:val="7"/>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54</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56</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98</w:t>
            </w:r>
          </w:p>
        </w:tc>
        <w:tc>
          <w:tcPr>
            <w:tcW w:w="20" w:type="dxa"/>
            <w:vAlign w:val="bottom"/>
          </w:tcPr>
          <w:p>
            <w:pPr>
              <w:spacing w:after="0"/>
              <w:rPr>
                <w:sz w:val="18"/>
                <w:szCs w:val="18"/>
                <w:color w:val="auto"/>
              </w:rPr>
            </w:pPr>
          </w:p>
        </w:tc>
      </w:tr>
      <w:tr>
        <w:trPr>
          <w:trHeight w:val="176"/>
        </w:trPr>
        <w:tc>
          <w:tcPr>
            <w:tcW w:w="112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648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2060" w:type="dxa"/>
            <w:vAlign w:val="bottom"/>
            <w:tcBorders>
              <w:top w:val="single" w:sz="8" w:color="CCEEFF"/>
            </w:tcBorders>
            <w:gridSpan w:val="3"/>
          </w:tcPr>
          <w:p>
            <w:pPr>
              <w:spacing w:after="0"/>
              <w:rPr>
                <w:sz w:val="15"/>
                <w:szCs w:val="15"/>
                <w:color w:val="auto"/>
              </w:rPr>
            </w:pPr>
          </w:p>
        </w:tc>
        <w:tc>
          <w:tcPr>
            <w:tcW w:w="1560" w:type="dxa"/>
            <w:vAlign w:val="bottom"/>
            <w:tcBorders>
              <w:top w:val="single" w:sz="8" w:color="CCEEFF"/>
            </w:tcBorders>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98</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15"/>
                <w:szCs w:val="15"/>
                <w:color w:val="auto"/>
              </w:rPr>
            </w:pPr>
          </w:p>
        </w:tc>
      </w:tr>
      <w:tr>
        <w:trPr>
          <w:trHeight w:val="34"/>
        </w:trPr>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76"/>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15"/>
                <w:szCs w:val="15"/>
                <w:color w:val="auto"/>
              </w:rPr>
            </w:pPr>
          </w:p>
        </w:tc>
      </w:tr>
      <w:tr>
        <w:trPr>
          <w:trHeight w:val="34"/>
        </w:trPr>
        <w:tc>
          <w:tcPr>
            <w:tcW w:w="4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18"/>
                <w:szCs w:val="18"/>
                <w:color w:val="auto"/>
              </w:rPr>
            </w:pPr>
          </w:p>
        </w:tc>
      </w:tr>
      <w:tr>
        <w:trPr>
          <w:trHeight w:val="175"/>
        </w:trPr>
        <w:tc>
          <w:tcPr>
            <w:tcW w:w="112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4440" w:type="dxa"/>
            <w:vAlign w:val="bottom"/>
            <w:tcBorders>
              <w:top w:val="single" w:sz="8" w:color="CCEEFF"/>
            </w:tcBorders>
            <w:gridSpan w:val="8"/>
          </w:tcPr>
          <w:p>
            <w:pPr>
              <w:spacing w:after="0"/>
              <w:rPr>
                <w:sz w:val="15"/>
                <w:szCs w:val="15"/>
                <w:color w:val="auto"/>
              </w:rPr>
            </w:pPr>
          </w:p>
        </w:tc>
        <w:tc>
          <w:tcPr>
            <w:tcW w:w="1560" w:type="dxa"/>
            <w:vAlign w:val="bottom"/>
            <w:tcBorders>
              <w:top w:val="single" w:sz="8" w:color="CCEEFF"/>
            </w:tcBorders>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240" w:type="dxa"/>
            <w:vAlign w:val="bottom"/>
            <w:tcBorders>
              <w:bottom w:val="single" w:sz="8" w:color="CCEEFF"/>
            </w:tcBorders>
            <w:gridSpan w:val="2"/>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5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560" w:type="dxa"/>
            <w:vAlign w:val="bottom"/>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18"/>
                <w:szCs w:val="18"/>
                <w:color w:val="auto"/>
              </w:rPr>
            </w:pPr>
          </w:p>
        </w:tc>
      </w:tr>
      <w:tr>
        <w:trPr>
          <w:trHeight w:val="229"/>
        </w:trPr>
        <w:tc>
          <w:tcPr>
            <w:tcW w:w="4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5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Part IV</w:t>
            </w:r>
          </w:p>
        </w:tc>
        <w:tc>
          <w:tcPr>
            <w:tcW w:w="580" w:type="dxa"/>
            <w:vAlign w:val="bottom"/>
            <w:tcBorders>
              <w:bottom w:val="single" w:sz="8" w:color="CCEEFF"/>
            </w:tcBorders>
            <w:gridSpan w:val="2"/>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100</w:t>
            </w:r>
          </w:p>
        </w:tc>
        <w:tc>
          <w:tcPr>
            <w:tcW w:w="20" w:type="dxa"/>
            <w:vAlign w:val="bottom"/>
          </w:tcPr>
          <w:p>
            <w:pPr>
              <w:spacing w:after="0"/>
              <w:rPr>
                <w:sz w:val="18"/>
                <w:szCs w:val="18"/>
                <w:color w:val="auto"/>
              </w:rPr>
            </w:pPr>
          </w:p>
        </w:tc>
      </w:tr>
      <w:tr>
        <w:trPr>
          <w:trHeight w:val="175"/>
        </w:trPr>
        <w:tc>
          <w:tcPr>
            <w:tcW w:w="11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100</w:t>
            </w:r>
          </w:p>
        </w:tc>
        <w:tc>
          <w:tcPr>
            <w:tcW w:w="20" w:type="dxa"/>
            <w:vAlign w:val="bottom"/>
          </w:tcPr>
          <w:p>
            <w:pPr>
              <w:spacing w:after="0"/>
              <w:rPr>
                <w:sz w:val="15"/>
                <w:szCs w:val="15"/>
                <w:color w:val="auto"/>
              </w:rPr>
            </w:pPr>
          </w:p>
        </w:tc>
      </w:tr>
      <w:tr>
        <w:trPr>
          <w:trHeight w:val="34"/>
        </w:trPr>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5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56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6"/>
              </w:rPr>
              <w:t>104</w:t>
            </w:r>
          </w:p>
        </w:tc>
        <w:tc>
          <w:tcPr>
            <w:tcW w:w="20" w:type="dxa"/>
            <w:vAlign w:val="bottom"/>
          </w:tcPr>
          <w:p>
            <w:pPr>
              <w:spacing w:after="0"/>
              <w:rPr>
                <w:sz w:val="15"/>
                <w:szCs w:val="15"/>
                <w:color w:val="auto"/>
              </w:rPr>
            </w:pPr>
          </w:p>
        </w:tc>
      </w:tr>
      <w:tr>
        <w:trPr>
          <w:trHeight w:val="351"/>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report to "we," "our," "us," the "Company" and "Euronet" refer to Euronet Worldwide, Inc. and its subsidiaries unless the context indicates otherwise.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Euronet is a leader in electronic payment and transaction processing solutions for Financial Institutions, Retailers, Service Providers, and Individual Consumers utilizing our global payments network, platforms, and technologies. Through a collection of diverse technologies and services, our business segments and solutions meet a wide variety of payments requirements and process transactions throughout the world. We move money in all the ways the world depends on. With a global footprint we provide compliant solutions that make financial transactions easier, faster, and secure.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Business Segments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the following three segments as of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Electronic Funds Transfer ("EFT") Segment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Electronic Funds Transfer ("EFT") segment meets the needs of financial institutions and consumers through Euronet-owned and outsourced Automated Teller Machines ("ATMs") and Point-of-Sale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55,248 ATMs, as of December 31, 2024, and approximately 1,160,000 POS terminals. In 2024, the EFT Processing Segment accounted for approximately 29% of Euronet's consolidated revenues.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epay Segment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epay 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60+ countries. We operate a network that includes approximately 777,000 POS terminals that enable electronic processing of prepaid mobile airtime "top-up" services and other digital media content. In 2024, the epay Segment accounted for approximately 29% of Euronet's consolidated revenues.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Money Transfer Segment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198 countries and territories, enabling banks, fintechs and big tech platforms to integrate an international payments solution into their own platforms. In 2024, the Money Transfer Segment accounted for approximately 42% of Euronet's consolidated revenues.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Ria Money Transfer, one of the largest consumer remittance companies in the world offers real-time international money transfers with a special focus on emerging markets. In addition, Ria offers safe and affordable money transfers through a global network of cash locations and online, serving over 20 million customers annually.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Xe offers web and app based currency information and industry-leading consumer and business cross border money transfer services. Customers can send money, buy property overseas, and execute other international payments via the Xe website or app.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Dandelion is a leading real-time cross-border payment platform; it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388620</wp:posOffset>
            </wp:positionV>
            <wp:extent cx="6103620" cy="1405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362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Euronet started in Central Europe in 1994 and has grown to become a global real-time digital and cash payments network with millions of touchpoints today, with products and services in more than 200 countries and territories provided through its own brand and branded business segments, Euronet and its financial technologies and networks offer payment transaction services. Euronet serves clients from 67 offices worldwide.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Segment Overview</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operating results by segment, please see Item 7 - Management's Discussion and Analysis of Financial Condition and Results of Operations, and Note 18, Business Segment Information, to the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EFT Processing Segment provides comprehensive electronic payment solutions consisting of ATM cash withdrawal and deposit services, ATM network participation, outsourced ATM and POS management solutions, credit, debit and prepaid card outsourcing, card issuing and merchant acquiring services. In addition to our core business, we offer a variety of value-added services, including ATM and POS DCC, domestic and international surcharge, foreign currency dispensing, advertising, digital content sales at ATMs, Customer Relationship Management ("CRM"), prepaid mobile top-up, bill payment, money transfer, fraud management, foreign remittance payout, cardless payout, banknote recycling solutions and tax-refund services. We provide these services either through our Euronet-owned ATMs and POS terminals, through contracts under which we operate ATMs and POS terminals on behalf of our customers or, for certain services, as stand-alone products. Through this segment, we also offer a suite of integrated electronic financial transaction software solutions for electronic payment and transaction delivery systems.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Revenues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sources of revenues generated by our ATM network are recurring monthly management fees, transaction-based fees, surcharges, and margins earned on DCC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and other electronic content on ATMs and ATM advertising. We primarily operate across Europe, Africa, the Middle East, Asia Pacific, Latin America and the United States. As of December 31, 2024, we operated 55,248 ATMs compared to 47,303 at December 31, 2023.</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We monitor the number of transactions made by cardholders on our network. These include cash withdrawals, balance inquiries, deposits, prepaid mobile airtime recharge purchases, DCC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36.7% as indicated in the following table:</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3"/>
        </w:trPr>
        <w:tc>
          <w:tcPr>
            <w:tcW w:w="4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EFT Processing Segment transactions per year</w:t>
            </w:r>
          </w:p>
        </w:tc>
        <w:tc>
          <w:tcPr>
            <w:tcW w:w="18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3,275</w:t>
            </w:r>
          </w:p>
        </w:tc>
        <w:tc>
          <w:tcPr>
            <w:tcW w:w="1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4,366</w:t>
            </w:r>
          </w:p>
        </w:tc>
        <w:tc>
          <w:tcPr>
            <w:tcW w:w="1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6,459</w:t>
            </w: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8,473</w:t>
            </w:r>
          </w:p>
        </w:tc>
        <w:tc>
          <w:tcPr>
            <w:tcW w:w="12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11,424</w:t>
            </w:r>
          </w:p>
        </w:tc>
      </w:tr>
      <w:tr>
        <w:trPr>
          <w:trHeight w:val="27"/>
        </w:trPr>
        <w:tc>
          <w:tcPr>
            <w:tcW w:w="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transactions for the past few years is the result of a significant increase in the volume of lower value, real time payment processing transactions on any wallet or e-commerce site in Asia Pacific. The associated revenue of these lower value, digitally initiated payment processing transactions is lower. As a result, our revenue growth will not correlate proportionately with the increase in our transaction volume growth.</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processing centers for the EFT Processing Segment are located in Germany, Hungary, India, China, Indonesia and Pakistan. Our processing centers run two types of proprietary transaction switching software: our legacy ITM software, which we have used and sold to financial institutions since 1998 through our Software Solutions unit, and an innovative switching software package named "Ren", which is hosted in Germany, India and Indonesia, that was released in 2019. The processing centers operate 24 hours a day, seven days a week. We have been progressively transitioning all of our networks to Ren.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Products and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Outsourced Management Solutions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Euronet offers outsourced management solutions to financial institutions, merchants, mobile phone operators and other organizations using our processing centers' electronic financial transaction processing software. Our outsourced management solutions include management of existing ATM networks, development of new ATM networks, management of POS networks, management of automated deposit terminals, management of credit, debit and prepaid card databases and other financial processing services. These solutions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new outsourced management solutions agreements should provide additional revenue with lower incremental cost.</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outsourced management solutions agreements generally provide for fixed monthly management fees and, in most cases, fees payable for each transaction. The transaction fees under these agreements are generally lower than those under card acceptance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Euronet-Branded ATM Transaction Processing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Euronet-branded ATM networks, also known as IAD networks, are primarily managed by a processing center that uses our market-leading internally developed software solutions. The ATMs in our IAD networks are able to process transactions for holders of credit, debit and prepaid products issued by or bearing the logos of financial institutions and international card organizations such as American Express</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Visa</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Mastercard</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JCB, Diners Club International</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Discover</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and UnionPay International</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as well as international ATM networks such as PLUS, CIRRUS and PULSE</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or domestic networks such as NYCE, Shazam, AFFN, STAR and others across North America. This is accomplished through our agreements and relationships with these institutions, international credit, debit and prepaid card issuers, international card associations and domestic card associations.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When a bank cardholder conducts a transaction on a Euronet-owned ATM or automated deposit terminal, we receive a fee from the cardholder's bank for that transaction. The bank pays us this fee either directly or indirectly through a central switching and settlement network. When paid indirectly, this fee is referred to as the "interchange fee." We receive transaction 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In some cases, we may also charge a direct access fee or surcharge to cardholders at the ATM. The direct access fee is added to the amount of the cash withdrawal and debited from the cardholder's account.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receive fees or earn margins from our customers for all types of ATM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 Acceptance or Sponsorship Agreements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agreements with financial institutions and international card organizations generally provide that all credit and debit cards issued by the financial institution or organization may be used at all ATMs that we operate in for a given market. In most markets, we operate under sponsorship by our own e-money or payment service licensed entities. In some markets, we have agreements with a financial institution under which we are designated as a service provider (which we refer to as "sponsorship agreements") for the acceptance of domestic cards and/or cards bearing international logos, such as Visa</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These card acceptance or sponsorship agreements allow us to receive transaction authorization directly from the card issuing institution or international card organizations on a stand-in basis.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The financial institution provides the cash needed to complete transactions on the ATM, but we provide a significant portion of the cash to our IAD network to fund ATM transactions ourselves. Euronet is generally liable for the cash in the ATM networks.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card acceptance agreements, the ATM transaction fees we charge vary depending on the type of transaction and the number of transactions attributable to a particular card issuer. Our agreements generally provide for payment in local currency, though transaction fees are sometimes denominated in euros or U.S. dollars. Transaction fees are billed to financial institutions and card organizations with payment terms typically no longer than one month.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Dynamic Currency Conversion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dynamic currency conversion, or DCC, over our IAD networks, ATM networks that we operate on an outsourced basis for financial institutions, and over financial institutions' ATM networks or POS devices as a stand-alone service. DCC is a feature of the underlying ATM or POS transaction that is offered to customers completing transactions using a foreign debit or credit card issued in a country with a currency other than the currency where the ATM or POS is located. The customer is offered a choice between completing the transaction in the local currency or in the customer's home currency via a DCC transaction. If a cardholder chooses to perform a DCC transaction, the acquirer or processor performs the foreign exchange conversion at the time that the funds are delivered at an ATM or the transactions are completed through the POS terminal, which results in a pre-defined amount of the customer's home currency being charged to their card. Alternatively, the customer may have the transaction converted by the card issuing bank, in which the amount of local currency is communicated to the card issuing bank and the card issuing bank makes the conversion to the customer's home currency.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auto"/>
        </w:rPr>
        <w:t>When a customer chooses DCC at an ATM or POS device and Euronet acts as the acquirer or processor, we receive all or a portion of the foreign exchange margin on the conversion of the transaction. On our IAD ATMs, Euronet receives the entire foreign exchange margin. If Euronet is not the acquirer or processor of the transaction, we share the DCC revenue with the sponsor bank. On ATMs or POS devices that are operated for financial institutions, or where we offer DCC as a stand-alone service to financial institutions or merchants, we share the foreign exchange margin. The foreign exchange margin on a DCC transaction increases the amount Euronet earns from the underlying ATM or POS transaction and supports deployment of additional ATMs in new locations.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 and Services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network of owned or operated ATMs allows for the sale of additional financial and other products or services at a low incremental cost. We have developed value-added services in addition to basic cash withdrawal and balance inquiry transactions. These value-added services include mobile top-up, fraud management, bill payment, domestic and international surcharge, CRM, foreign remittance payout, cardless payout, banknote recycling, electronic content, ticket and voucher, foreign currency withdrawal, advertising and tax-refund services. We are committed to the ongoing development of innovative new products and services to offer our EFT processing customers.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 location. This single, centralized acquiring platform enables merchants to benefit from cost savings and faster, more efficient payments transfer. Although many European countries are not members of the eurozone, our platform can serve merchants in these countries as well, through our multi-currency functionality.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Solutions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 Payments Platform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Ren was built from the ground up to operate in the evolving digital payments landscape of real-time settlements and emerging forms of payment, including QR codes, PINs and biometrics. Ren primarily serves financial institutions, central banks and fintech companies. It is offered as an on-premise technology where these businesses install the platform in their own data centers or as a software as a service (SaaS) offering where development teams access it in Euronet’s global data centers using APIs. Versatile, Ren can be used as a payment hub or to deliver core banking functionality such as issuing, merchant acquiring, transaction switching, and ATM management. For real-time payments, Ren is used by central banks to process transactions and member banks that use Ren to connect their legacy systems to real-time payment networks in their countries.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 Strategy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EFT Processing Segment maintains a strategy to expand the network of ATMs and POS terminals into new and existing markets that have the greatest potential for growth. We continue to focus on diversifying our business by expanding our market presence and product portfolio, as well as outsourcing opportunities. In addition, we follow a supporting strategy to increase the penetration of value added (or complementary) services across our existing customer base, including DCC, transaction-based fees, surcharge, cardless payment, banknote recycling solutions, tax refund services, advertising, fraud management, bill payment, mobile top-up, CRM and foreign remittance payout.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strive to make our own ATM networks more efficient by removing unprofitable ATMs and redeploying them to new profitable locations. We make selective additions to our own ATM network if we see market demand and profit opportunities. In tourist locations, we also seasonally deactivate ATMs when tourist activity is low.</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potential partners.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debit and prepaid card outsourcing business could provide continued growth while minimizing our capital investment.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complementary services offered by our epay Segment, where we provide prepaid mobile top-up services through POS terminals, strengthens the EFT Processing Segment's line of services. We plan to continue to expand our technology and business methods into other markets where we operate and further leverage our relationships with mobile operators, other content providers and financial institutions to facilitate that expansion.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EFT Processing business experiences its heaviest demand for cash withdrawals and DCC during the third quarter of the fiscal year, coinciding with the tourism season. It is also impacted by seasonality during the fourth quarter and first quarter of each year due to higher transaction levels during the holiday season and lower levels after the holiday season. This seasonality is increased due to our practice of seasonally deactivating ATMs in tourist locations that experience significantly higher traffic during their peak tourist seasons. Seasonally deactivating involves shutting down the ATMs during the slower months and results in lower overall transaction volumes in the EFT Processing Segment during those months. As we have expanded our IAD network in tourist locations, the financial impact of seasonally deactivating has increased, because we continue to bear the expense of seasonally deactivated ATMs even though they do not generate transactions during the slower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Government Contracts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individual customer of the EFT Processing Segment makes up greater than 10% of total consolidated revenues. EFT maintains contract relationships with a number of banks, financial institutions, telecommunications companies, and clients whose ownership includes the government.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EFT Processing Segment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advantages in our EFT Processing Segment include breadth of service offering, network availability and response time, price to both the financial institution and to its customers, ATM location and access to other networks.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process and distribute prepaid mobile airtime and other electronic content and payment processing services for various prepaid products, cards, and services on a network of approximately 777,000 POS terminals across approximately 362,000 retailer locations in Europe, the Middle East and Africa, Asia Pacific, North America and South America. Our processing centers for the epay segment are located in the United Kingdom, Germany, Italy, and the United States.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continued to expand our prepaid business in new and existing markets by drawing upon our depth of experience to build and expand relationships with content providers, mobile operators, and retailers. We offer a wide range of products across our retail networks, including prepaid mobile airtime, prepaid debit cards, prepaid gift cards, other prepaid electronic content such as music, games and software, prepaid vouchers, transport payments and lottery, and bill payment processing assistance through partnerships with various licensed money transmitters.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epay Segment generates commissions and processing fees from the distribution of electronic content from mobile operators and other content providers. In 2024, approximately 68% of total revenues and approximately 76% of gross profit for the epay Segment was from electronic content other than prepaid mobile airtime (digital media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purchase digital media prepaid content as a gift or for self-use. Content is generally purchased in two ways: (1) directly online from the content provider using an online payment method, or (2) through physical retail stores, online retailers, or other electronic channels, including payment wallets, online banking, mobile applications, and other sources.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Customers using mobile phones generally pay for usage in one of two ways: (1) through "postpaid" accounts, where usage is billed at the end of each billing period, or (2) through "prepaid" accounts, where customers pay in advance by crediting their accounts prior to usage.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mobile operators in the U.S. and certain European countries have provided service principally through postpaid accounts, the norm in many other countries in Europe and the rest of the world is to offer wireless service on a prepaid basis.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Prepaid mobile phone credits are generally distributed using personal identification numbers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The customer pays the retailer, and the retailer becomes obligated to make settlement to us of the purchased amount of the mobile airtime. We maintain systems that know the amount of mobile top-up sold by the retailer which allows us in turn to bill that retailer for the mobile top-up sold.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expand our distribution networks by signing new contracts with retailers, and in some markets, by acquiring existing networks. We continue to focus on growing our distribution network through independent sales organizations that contract directly with retailers in their network to distribute prepaid mobile airtime or other digital media content from the retailers' POS terminals. We continue to increase our focus on direct relationships with chains of supermarkets, convenience stores, gas stations, and other larger scale retailers, where we can negotiate multi-year agreements with the retailers. In addition to the sale of traditional mobile top-up volume described above, we have expanded distribution into digital media products and other value-added services. We have leveraged our existing technology infrastructure to sell digital media products, which have been sold through our traditional retail network and new retailer networks such as digital channels. In the U.S., most prepaid digital media content is purchased for gifting; in markets outside the U.S., consumers generally purchase prepaid digital media content for self-use.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epay Products and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Mobile Airtime Transaction Processing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process prepaid mobile airtime top-up transactions on our international POS network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consumer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or discount on each transaction that is withheld from the payments made to the mobile phone operator, and we share that commission/discount with the retailers.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Closed Loop Gift Cards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Closed loop (private-branded) gift cards are generally described as merchant-specific prepaid cards, used for purchases exclusively at a particular merchant's locations. We distribute closed loop gift cards in various categories, including dining, retail, and digital media, such as music, games, and software. Generally, the gift card is activated when a consumer loads funds (with cash, debit or credit card payment) or purchases a preloaded value gift card at a retail store location or online.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Loop Gift Cards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Open loop gift cards are prepaid gift cards associated with an electronic payment network (such as Visa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or Mastercard</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and are honored at multiple, unaffiliated locations (wherever cards from these networks are generally accepted). They are not merchant-specific. We distribute and issue single-use, non-reloadable open loop gift cards carrying the Visa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brand in our retail channels. After the consumer purchases the preloaded value gift card at a retail store location or online, the consumer must call the toll-free number on the back of the card to activate 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Loop Reloadable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distribute Visa</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issued debit cards provided by card issuers. We also manage and distribute a proprietary debit card that allows a retailer to issue its own reloadable store-branded card. Open loop reloadable cards have features similar to a bank checking account, including direct deposit, purchasing capability wherever a credit card is accepted, bill payment and ATM access. Fees are charged to consumers for the initial load and reload transactions, monthly account maintenance and other transactions.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Products and Services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POS network is used for the distribution of other products and services, including games and software, bill payment, lottery tickets and transportation products. Through our Cadooz subsidiary, we also distribute vouchers and physical gifts into the business-to-business ("B2B") channel principally for the purposes of employee and customer incentives and rewards, as well as POS promotions where physical goods are sold in large retailers. In certain locations, the terminals used for prepaid services can also be used for electronic funds transfer to process credit, debit, and prepaid card payments for retail merchandise. We provide promotion and advertising for content providers of their prepaid content throughout our retail distribution network. We also provide card production and processing services to some of our prepaid gift card partners and telecom content providers.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Retailer and Distributor Contracts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we generally own and maintain the POS terminals. In certain countries in Europe, the terminals are sold to the retailers or to distributors who service the retailer. Our agreements with major retailers for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transactions processed on our POS networks have increased over the last five years at a CAGR of approximately 16.2% as indicated in the following table:</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epay processing transactions per year</w:t>
            </w:r>
          </w:p>
        </w:tc>
        <w:tc>
          <w:tcPr>
            <w:tcW w:w="2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2,395</w:t>
            </w:r>
          </w:p>
        </w:tc>
        <w:tc>
          <w:tcPr>
            <w:tcW w:w="1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3,120</w:t>
            </w:r>
          </w:p>
        </w:tc>
        <w:tc>
          <w:tcPr>
            <w:tcW w:w="1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3,836</w:t>
            </w:r>
          </w:p>
        </w:tc>
        <w:tc>
          <w:tcPr>
            <w:tcW w:w="1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3,789</w:t>
            </w:r>
          </w:p>
        </w:tc>
        <w:tc>
          <w:tcPr>
            <w:tcW w:w="1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4,374</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epay Segment Strategy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epay's strategy is to grow revenue and defend margins in developing markets by providing value-added services to mobile operators and to decrease our reliance on mobile top-up by increasing distribution of other electronic content, expanding epay branded content, introducing new solutions to new and existing customers, and focusing on geographic expansion. Strategic execution behind expansion of digital media electronic content includes the development of relationships with global consumer product brands. This strategy leverages the global scale of the epay business allowing global brands to be sold in many or all the countries in which we have a presence. Examples of global brands we distribute include iTunes, Google Play, Sony, and Microsoft.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with the existing relationships that we maintain with prepaid content providers and retailers.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product mix continues to change, the epay business is impacted by seasonality during the fourth quarter and first quarter of each year due to the higher transaction levels during the holiday season and lower levels following the holiday season.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Significant Customers and Government Contracts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individual customer of our epay Segment makes up greater than 10% of total consolidated revenues. epay maintains contract relationships with a number of companies, banks, post offices and telecommunications providers whose ownership includes the government.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size and market share are competitive advantages in many markets. In addition, we believe our processing platforms are a competitive advantage. We have extremely flexible technical platforms that enable us to tailor POS solutions to individual retailers and mobile operator and digital media content provider requirements where appropriate. Our platforms are also able to provide value added services other than processing, which makes us a more valuable partner to the content providers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competitive factors in the epay Segment include price (that is, the level of commission paid to retailers for each transaction), breadth of products and up-time offered on the system. Major retailers with high volumes can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global money transfer services primarily under the brand names Ria, Xe and Dandelion. Ria provides consumer-to-consumer money transfer services through a global network of more than 608,000 locations and via our website riamoneytransfer.com. We send money transfers from approximately 142 countries, with money transfer delivery completed in 196 countries. The initiation of a consumer money transfer occurs through retail agents, Company-owned stores or online, while the delivery of money transfers can occur with bank correspondents, retailer agents or from certain ATMs. Our websites, and mobile wallet apps, allow consumers to send funds online, using a bank account or credit or debit card, for pay-out directly to a bank account or for cash pickup.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provide global account-to-account money transfer services under the brand name Xe. We offer money transfer services via our website (www.xe.com) and Xe app and through customer service representatives. Xe also provides foreign currency exchange information on its currency data websites (www.xe.com and www.x-rates.com). Through Xe, we offer cash management solutions and foreign currency risk management services to small-and-medium-sized businesses.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under the brand "Dandelion", Ria offers payment processing services to third-party partners. Dandelion is a leading real-time, global cross-border payment platform; it offers consumer and business transaction processing and fulfillment with alternative payout channels like bank accounts, cash pick-up and mobile wallets. Dandelion powers cross-border payments for Xe, Ria, as well as third party banks, fintechs, and big tech platforms.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monitor the number of transactions made through our money transfer networks. The number of transactions processed on our network has increased over the last five years at a CAGR of approximately 11.0% as indicated in the following table: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1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3"/>
                <w:szCs w:val="13"/>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3"/>
        </w:trPr>
        <w:tc>
          <w:tcPr>
            <w:tcW w:w="40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 transactions per year</w:t>
            </w:r>
          </w:p>
        </w:tc>
        <w:tc>
          <w:tcPr>
            <w:tcW w:w="2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116.5</w:t>
            </w:r>
          </w:p>
        </w:tc>
        <w:tc>
          <w:tcPr>
            <w:tcW w:w="1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135.1</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147.9</w:t>
            </w:r>
          </w:p>
        </w:tc>
        <w:tc>
          <w:tcPr>
            <w:tcW w:w="12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161.7</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176.9</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sending agent network includes a variety of agents, including Walmart, large/medium size regional retailers, convenience stores, bodegas, multi-service shops and phone centers, which are predominantly found in areas with a large immigrant population. Each Ria money transfer transaction is processed using Euronet's proprietary software system and checked for 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one of the largest global money transfer companies measured by revenues and transaction volumes. Our Money Transfer Segment processed approximately $71.3 billion in money transfers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in the Money Transfer Segment are primarily derived through the charging of a transaction fee, as well as a margin earned from purchasing foreign currency at wholesale exchange rates and selling the foreign currency to customers at retail exchange rates. Sending agents and receiving agents for consumer-to-consumer products each earn fees for cash collection and distribution services. Euronet recognizes these fees as direct operating costs at the time of sale.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Products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Money transfer products and services are sold primarily through the following channels: at agent locations, Company-owned stores, mobile apps, TeleRia phone, and on internet enabled devices at riamoneytransfer.com and xe.com. In an online transaction, customers send funds, using a bank account or credit or debit card, for pay-out at most of our agent locations around the world or directly to a bank account.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Our bill payment services offer timely posting of customer bills for over 7,900 companies, including electric and gas utilities and telephone/wireless companies. These services are all offered through our Company-owned stores while select services are offered through our agents in certain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This enables these companies to build financial solutions with real-time payment capabilities to the more than 608,000 cash locations, and 4.1 billion bank accounts and 3.1 billion digital wallet accounts the Euronet money transfer network reaches.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Xe offers an account-to-account international payment service to high-income individuals and small-and-medium sized businesses, complementing our existing consumer-to-consumer money transfer business. Xe has a multi-channel platform which allows customers to make transfers, track payments and manage their international payment activity online or through a customer service representative. Xe offers cash management solutions and foreign currency risk management services to small-and-medium sized businesses. Xe also offers foreign currency exchange subscriptions and advertising on its websites.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Segment Strategy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Money Transfer Segment's strategy is to increase the volume of money transfers processed by leveraging our existing banking and merchant/retailer relationships to expand direct to consumer digital products, and Dandelion’s wholesale products through its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are expanding our Xe business into new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 frame, coinciding with the increase in worker migration patterns and various holidays, and our lowest volumes during the first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Government Contracts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competitors in the money transfer and bill payment business include other large money transfer companies and electronic money transmitters, together with hundreds of smaller registered and unregistered money transmitters, as well as certain major national and regional banks, financial institutions, and independent sales organizations. Our competition includes The Western Union Company, the leading competitor with revenue approximately two times greater than our revenue.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compete with traditional money payment services, such as stored-value cards, debit networks, web-based services, mobile apps, and digital currencies. Our continued growth also depends upon our ability to compete effectively with these alternative technologies.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approximately 10,600, 10,000 and 9,500 employees as of December 31, 2024, 2023, and 2022, respectively. We believe our future success will depend in part on our ability to continue to recruit, retain and motivate qualified management, technical and administrative employees. Currently, no union represents any of our employees, except in one of our Spanish subsidiaries. We experienced no work stoppages or strikes by our workforce in 2024 and we consider relations with our employees to be good.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and sanctions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mobile apps or online. For more discussion, see Item 1A - Risk Factors.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our European product offerings, including in particular, our money transfer services, merchant acquiring and bill payment products, are regulated payment services requiring a license under the Second Payment Services Directive, or PSD2.</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PSD2 requires a license to perform certain defined "payment services" in a European Economic Area (“EEA”) Member State and such license may be extended throughout other Member States of the EEA through passporting of the license (either on a freedom of service or freedom of establishment basis).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Greece and Spain and are complying with these requirements. We passported our U.K., German, and Spanish payment services authorizations to several EEA Member States. As a result of Brexit, our U.K, payment institution is no longer capable of passporting its license into the EEA and the relevant EEA business was transferred to our other licenses prior to the end of the Brexit transition period. Additionally, in the U.K., we have obtained an e-money license. The e-money license allows Euronet to issue e-money and provide the same payment services as a PSD2 licensee. The e-money license imposes certain requirements similar to those of the payment services license, including minimum capital requirements, consumer disclosure and internal controls.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and Payment Instrument Licensing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 Control ("OFAC"), the Bank Secrecy Act as amended by the USA PATRIOT Act ("BSA"), the Financial Crimes Enforcement Network ("FINCEN"), as well as any existing or future regulations that impact any aspect of our money transfer business.</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Regulatory bodies in the U.S. and abroad may impose additional rules on the conduct of our Money Transfer Segment that could have a significant impact on our operations and our agent network. In this regard, the U.S. federal government has implemented U.S. federal regulations for electronic money transfers, including the Electronic Fund Transfer Act, which provides consumer protections for international remittance transfers. The Consumer Financial Protection Bureau ("CFPB"), adopted a rule that provides additional protections for consumers who transmit money internationally, including disclosure requirements, cancellation rights and error resolution procedures for consumer complaints. Under U.S. federal law, it is unlawful for any provider of consumer financial products or services to engage in unfair, deceptive, or abusive acts or practices (collectively, "UDAAPs"). The CFPB has rule making and enforcement authority to prevent UDAAPs in connection with transactions for consumer financial products or services. The CFPB audits our compliance with these rules, and we may be subject to fines or penalties for violations of any of such rules.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Escheat Regulations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Information Security Regulations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involve the collection and storage of certain types of personal customer data that are subject to privacy and security laws in the U.S. and abroad. In the United States, we are subject to the Gramm-Leach-Bliley Act ("GLBA") and various state laws including California Consumer Privacy Act ("CCPA"), which require that financial institutions have in place policies regarding the collection, processing, storage, and disclosure of information considered nonpublic personal information. Laws in other countries include the E.U.'s General Data Protection Regulation (2016/679) ("GDPR"), as well as the laws of other countries. The GDPR establishes stringent requirements for the collection and processing of personal information of individuals within the E.U. The GDPR establishes certain rights of individuals regarding personal information processed by companies as well as requirements for information security and imposes significant fines that may be revenue-based for violation of its requirements. Any failure on our part to meet the requirements of the GDPR could result in the imposition of fines and penalties that could affect our financial results.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comply with the GLBA and applicable state privacy provisions. In July 2020, the European Court of Justice invalidated the EU-US Privacy Shield as a lawful mechanism for transferring personal data to the US as a result of concerns related to surveillance by law enforcement agencies and a lack of judicial redress by individuals in the EU (known as the "Schrems II" decision). Despite the July 2020 ruling of the European Court of Justice, we believe we remain in compliance with E.U. regulations regarding the transfer of personal data to the United States and other jurisdictions.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Anti-corruption and Bribery</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("SEC") requires strict compliance with certain accounting and internal control standards set forth under the FCPA. Because our services are offered in many countries throughout the world and we do business with a number of banks and other financial institutions owned or controlled by foreign governments,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or the FCPA and other laws can expose Euronet and/or individual employees to potentially severe criminal and civil penalties. Such penalties could have a material adverse effect on our business,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Sanctions Compliance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anti-money laundering laws and regulations, our products and services are subject to economic and trade sanctions laws and regulations promulgated by OFAC and other jurisdictions in which our products and services are offered. The sanctions laws and regulations prohibit or restrict transactions to or from (or dealings with or involving) certain countries, regions, governments, and in certain circumstances, specified foreign nationals, as well as with certain individuals and entities such as narcotics traffickers, terrorists, and terrorist organizations. These sanctions laws and regulations require screening of transactions against government watch-lists, including but not limited to, the watch-lists maintained by OFAC, and include transactional and other reporting to government agencies.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Policies and Programs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 as well as our consumer protection policies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brand names of "Ria," "Ria Financial Services," "Ria Envia," "Xe," "Dandelion," derivations of those brand names and certain other brand names, and related logo's, are material to our Money Transfer Segment and are registered trademarks and/or service marks in most of the markets in which our Money Transfer Segment operates. Consumer perception of these brand names and logos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our EFT Processing Segment, we have registered or applied for registration of our trademarks, including the names "Euronet" and/or our related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 and DCC services.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our epay Segment, we maintain registered trademarks for the "epay" brand and logo in the U.S., U.K., E.U. (through a Community Trademark application, which provides enforceability of the epay trademark in all member states of the EU), Brazil, Singapore, India, Australia, and New Zealand. We have filed trademark applications for additional iterations of the "epay” brand in India, which are pending.</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filed a trademark application for the “epay” brand with the Madrid Protocol, which, if granted, will simplify the process to extending the international protection of the epay trademark. We cannot be certain that we are entitled to use the epay trademark in any markets other than those in which we have registered the trademark; however, before entering new markets, we conduct searches to understand our usage rights. We have filed patent applications for certain POS top-up and other epay technology. Certain patents have been granted while others have been refused or are still pending. We also hold a patent license covering certain of epay's operations in the U.S.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difficult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age, period of service and position held by each of our Executive Officers as of December 31, 2024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rPr>
              <w:t>Age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 Since</w:t>
            </w:r>
          </w:p>
        </w:tc>
        <w:tc>
          <w:tcPr>
            <w:tcW w:w="642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4"/>
                <w:szCs w:val="14"/>
                <w:b w:val="1"/>
                <w:bCs w:val="1"/>
                <w:color w:val="auto"/>
              </w:rPr>
              <w:t>Position Held</w:t>
            </w:r>
          </w:p>
        </w:tc>
      </w:tr>
      <w:tr>
        <w:trPr>
          <w:trHeight w:val="248"/>
        </w:trPr>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Michael J. Brown</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68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1994</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43"/>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Rick L. Weller</w:t>
            </w:r>
          </w:p>
        </w:tc>
        <w:tc>
          <w:tcPr>
            <w:tcW w:w="1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67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2002</w:t>
            </w: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Adam J. Godderz</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50</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25"/>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Kevin J. Caponecchi</w:t>
            </w:r>
          </w:p>
        </w:tc>
        <w:tc>
          <w:tcPr>
            <w:tcW w:w="1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58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2007</w:t>
            </w: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 Chief Executive Officer, epay, Software and EFT Asia</w:t>
            </w:r>
          </w:p>
        </w:tc>
      </w:tr>
      <w:tr>
        <w:trPr>
          <w:trHeight w:val="234"/>
        </w:trPr>
        <w:tc>
          <w:tcPr>
            <w:tcW w:w="2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Pacific Division</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Juan C. Bianchi</w:t>
            </w:r>
          </w:p>
        </w:tc>
        <w:tc>
          <w:tcPr>
            <w:tcW w:w="110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54</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2007</w:t>
            </w:r>
          </w:p>
        </w:tc>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Vice President - Chief Executive Officer, Money Transfer Segment</w:t>
            </w:r>
          </w:p>
        </w:tc>
      </w:tr>
      <w:tr>
        <w:trPr>
          <w:trHeight w:val="225"/>
        </w:trPr>
        <w:tc>
          <w:tcPr>
            <w:tcW w:w="2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Nikos Fountas</w:t>
            </w:r>
          </w:p>
        </w:tc>
        <w:tc>
          <w:tcPr>
            <w:tcW w:w="110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9"/>
              </w:rPr>
              <w:t>61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2009</w:t>
            </w: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 Chief Executive Officer, EFT Europe, Middle East and</w:t>
            </w:r>
          </w:p>
        </w:tc>
      </w:tr>
      <w:tr>
        <w:trPr>
          <w:trHeight w:val="234"/>
        </w:trPr>
        <w:tc>
          <w:tcPr>
            <w:tcW w:w="2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Africa Division</w:t>
            </w:r>
          </w:p>
        </w:tc>
      </w:tr>
      <w:tr>
        <w:trPr>
          <w:trHeight w:val="27"/>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420" w:type="dxa"/>
            <w:vAlign w:val="bottom"/>
          </w:tcPr>
          <w:p>
            <w:pPr>
              <w:spacing w:after="0"/>
              <w:rPr>
                <w:sz w:val="2"/>
                <w:szCs w:val="2"/>
                <w:color w:val="auto"/>
              </w:rPr>
            </w:pPr>
          </w:p>
        </w:tc>
      </w:tr>
      <w:tr>
        <w:trPr>
          <w:trHeight w:val="243"/>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Martin L. Bruckner</w:t>
            </w:r>
          </w:p>
        </w:tc>
        <w:tc>
          <w:tcPr>
            <w:tcW w:w="110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9"/>
              </w:rPr>
              <w:t>49</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2014</w:t>
            </w:r>
          </w:p>
        </w:tc>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 Chief Technology Officer</w:t>
            </w:r>
          </w:p>
        </w:tc>
      </w:tr>
      <w:tr>
        <w:trPr>
          <w:trHeight w:val="27"/>
        </w:trPr>
        <w:tc>
          <w:tcPr>
            <w:tcW w:w="2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MICHAEL J. BROWN, Chairman, Chief Executive Officer and President. Mr. Brown co-founded Euronet in 1994 and has served as its chief executive officer ever since. He is chairman of Euronet’s board of directors and the Company’s President. An accomplished entrepreneur with 30+ years of combined experience in the computer software and digital payments business, he is actively involved in Euronet's day-to-day operations while overseeing the company’s business strategy, financial performance, and growth across all markets. Mr. Brown’s guidance has been instrumental in developing Euronet’s global cash/digital payments network and diverse products and services that provide Euronet with resiliency to changing market conditions and continual year-over-year growth in the global payments marketplace. Following early successes in his career with Kansas City-area companies Informix and Visual Tools, Mr. Brown founded Euronet in 1994 in Budapest, Hungary, by installing the first independent, non-bank-owned ATM network in Central Europe. Guiding the company through several strategic acquisitions and technology endeavors since then, Mr. Brown has grown Euronet to approximately 10,600 employees and 67 offices worldwide. He has also brought financial inclusion and convenience to businesses and consumers through a payments network spanning more than 200 countries and territories. A lifelong Kansas Citian, Mr. Brown is an active supporter and past and present board member of many Kansas City-area charities.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ADAM J. GODDERZ, General Counsel and Secretary. Mr. Godderz has been General Counsel and Secretary of Euronet since joining the Company in May 2024. Prior to joining Euronet, Mr. Godderz was with Kansas City Southern for 16 years, most recently serving as their Senior Vice-President Legal Officer and Corporate Secretary from 2019-2023.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MARTIN L. BRUCKNER, Senior Vice President - Chief Technology Officer. Dr. Bruckner has been Senior Vice President and Chief Technology Officer of Euronet since January 2014. Dr. Bruckner joined Euronet in 2007 as head of software development and IT operations for Transact GmbH. In 2009, he was promoted to Chief Technology Officer of Euronet's epay segment. Prior to joining Euronet, Dr. Bruckner established his own IT company called MLB Development GmbH, where he developed software systems for various European companies. Dr.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Reports, Certain Committee Charters, and Other Information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addresses are www.euronetworldwide.com and www.eeft.com. We make available all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"For Investors" section under "Corporate Governance / Documents and Charters".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66FF"/>
        </w:rPr>
        <w:t>GOVERNMENT AND REGULATION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multinational company, we face legal and operational risks from diverse local regulations that may impact our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Conducting business internationally complicates compliance with varied regional laws. Our financial transaction processing networks introduce new products that are subject to rapidly changing regulations. Despite having skilled local personnel, we cannot guarantee full compliance with customs, currency controls, data protection, anti-money laundering, sanctions, employment, and transfer pricing laws. We also cannot predict potential changes to these regulations that may negatively affect our business.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epay Segment, as we expand our electronic payment offerings, these may become subject to state, federal, or international laws requiring licensure for us and our partners. Increased regulation could adversely impact our epay business, particularly if gift voucher regulations change, affecting revenue from unredeemed vouchers.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money transfer services are regulated by U.S. states, the federal government, and foreign governments where we operate. Changes in these regulations or our ability to maintain necessary licenses may materially affect our financial results and cash flow. Furthermore, evolving regulations may alter the competitive landscape, potentially impacting our financial outcomes. New laws or changes from organizations like Visa® and Mastercard® that limit our pricing or services could substantially affect our business. Additionally, shifts in regulatory interpretations could heighten the risk of enforcement actions, fines, and penalties across jurisdictions.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1" w:name="page22"/>
    <w:bookmarkEnd w:id="2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in emerging markets, including Central and Eastern Europe, the Middle East, Asia Pacific, Africa, and South America, expose us to significant geopolitical and economic risks.</w:t>
      </w:r>
    </w:p>
    <w:p>
      <w:pPr>
        <w:spacing w:after="0" w:line="141" w:lineRule="exact"/>
        <w:rPr>
          <w:sz w:val="20"/>
          <w:szCs w:val="20"/>
          <w:color w:val="auto"/>
        </w:rPr>
      </w:pPr>
    </w:p>
    <w:p>
      <w:pPr>
        <w:ind w:left="5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Political Instability: </w:t>
      </w:r>
      <w:r>
        <w:rPr>
          <w:rFonts w:ascii="Times New Roman" w:cs="Times New Roman" w:eastAsia="Times New Roman" w:hAnsi="Times New Roman"/>
          <w:sz w:val="18"/>
          <w:szCs w:val="18"/>
          <w:color w:val="auto"/>
        </w:rPr>
        <w:t>Political unrest, regime change, and military conflicts can disrupt our operations, damage our assets, and impact 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-245745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Economic Downturns: </w:t>
      </w:r>
      <w:r>
        <w:rPr>
          <w:rFonts w:ascii="Times New Roman" w:cs="Times New Roman" w:eastAsia="Times New Roman" w:hAnsi="Times New Roman"/>
          <w:sz w:val="18"/>
          <w:szCs w:val="18"/>
          <w:color w:val="auto"/>
        </w:rPr>
        <w:t>Economic downturns, including those driven by inflation, currency fluctuations, and global recessions, can reduce 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services and negatively impact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-245745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Regulatory Uncertainty: </w:t>
      </w:r>
      <w:r>
        <w:rPr>
          <w:rFonts w:ascii="Times New Roman" w:cs="Times New Roman" w:eastAsia="Times New Roman" w:hAnsi="Times New Roman"/>
          <w:sz w:val="18"/>
          <w:szCs w:val="18"/>
          <w:color w:val="auto"/>
        </w:rPr>
        <w:t>Changes in government policies, including those related to foreign investment, currency controls, and taxation, can create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uncertainty and operational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-252095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Repatriation of Profits: </w:t>
      </w:r>
      <w:r>
        <w:rPr>
          <w:rFonts w:ascii="Times New Roman" w:cs="Times New Roman" w:eastAsia="Times New Roman" w:hAnsi="Times New Roman"/>
          <w:sz w:val="18"/>
          <w:szCs w:val="18"/>
          <w:color w:val="auto"/>
        </w:rPr>
        <w:t>Restrictions on the repatriation of profits from foreign subsidiaries can limit our ability to access capital and negatively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our financial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-288290</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ongoing geopolitical tensions, including the conflict in Ukraine, highlight the potential for unforeseen events to significantly impact our business and financial results.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conduct business in many international markets with complex and evolving tax rules, including value added tax rules, which subject us to international tax compliance risks which could adversely affect our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products and services.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Governments may prohibit or restrict the use of certain legal structures designed to minimize taxes. Any such tax increases, whether borne by us or our customers, could negatively impact our operating results or the demand for our products and services.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European Union ("EU") member states formally adopted the EU's Pillar Two Directive, which was established by the Organization for Economic Co-operation and Development, and which generally provides for a 15 percent minimum effective tax rate for multinational enterprises, in every jurisdiction in which they operate. While we do not anticipate that the Pillar Two Directive will have a material impact on our tax provision or effective tax rate, we continue to monitor evolving tax legislation in the jurisdictions in which we operate, including eligibility for any transitional safe harbor rules.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adversely affected by violations of the U.S. Foreign Corrupt Practices Act or other similar anti-corruption laws.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operations expose us to the risk of violating anti-corruption laws, including the U.S. Foreign Corrupt Practices Act (FCPA) and similar laws in other jurisdictions. These laws prohibit improper payments to government officials or employees of commercial enterprises. We operate in various countries with varying levels of corruption, and complying with these laws can sometimes conflict with local customs. Our interactions with government officials and our contracts with foreign entities increase the risk of violations.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our compliance policies and procedures, there is no guarantee that all our employees, consultants, and agents will adhere to them. Violations of anti-corruption laws could result in significant penalties, including criminal and civil fines, which could materially harm our financial performance.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Impact of Immigration Patterns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money transfer business heavily relies on remittances sent by workers who migrate to foreign countries for employment. Changes in U.S. and foreign government immigration policies, including those related to worker visas and border controls, could significantly impact migration patterns. A decline in immigration due to policy changes could adversely affect the volume of money transfers processed through our platform, negatively impacting our revenues and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Expansion and Regulatory Risks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growth depends on our ability to expand our market share in the existing electronic money transfer market and successfully enter new markets. Achieving this requires significant investments in technology and distribution channels, which may not be feasible given our available resources. Additionally, the evolving regulatory landscape, including anti-money laundering (AML), sanctions, and consumer protection regulations, presents significant compliance challenges. Non-compliance with these regulations could result in substantial fines and penalties, potentially impacting our financial performance and hindering our growth prospects.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Expectations relating to environmental, social and governance considerations and related reporting obligations expose us to potential liabilities, increased costs, reputational harm, and other adverse effects on our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environmental, social and governance considerations relating to businesses, including climate change and greenhouse gas emissions, human and civil rights, and diversity, equity and inclusion. In addition, we make statements about our goals and initiatives through our various non-financial reports, information provided on our website, press statements and other communications. Responding to these environmental, social and governance considerations and implementation of these goals and initiatives involves risks and uncertainties, requires investments, and depends in part on third-party performance or data that is outside our control. We cannot guarantee that we will achieve our environmental, social and governance goals and initiatives. In addition, some stakeholders may disagree with our goals and initiatives. Any failure, or perceived failure, by us to achieve our goals, further our initiatives, adhere to our public statements, comply with federal, state, or international environmental, social and governance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results of operations and financial condition could be adversely impacted by unfavorable results of legal proceedings or government investigations.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various claims, legal proceedings and government investigations that have arisen in the ordinary course of business and have not yet been fully resolved, and new matters may arise in the future. In addition, agreements entered into by us sometimes include indemnification provisions which can subject us to costs and damages in the event of a claim against an indemnified third party. The number of claims, legal proceedings and government investigations involving us, and the alleged magnitude of such claims, proceedings, and government investigations, has generally increased over time and may continue to increase. In recognition of these considerations, we may enter into agreements or other arrangements to settle litigation and resolve such challenges. There can be no assurance such agreements can be obtained on acceptable terms or that litigation will not occur. These agreements can also significantly increase our cost of sales and operating expenses and require us to change its business practices and limit our ability to offer certain products and services. The outcome of litigation or government investigations is inherently uncertain. If one or more legal matters were resolved against us or an indemnified third party in a reporting period for amounts above management’s expectations, our results of operations and financial condition for that reporting period could be materially adversely affected. Further, such an outcome can result in significant compensatory, punitive or trebled monetary damages, disgorgement of revenue or profits, remedial corporate measures or injunctive relief against us, and has from time to time required, and can in the future require, us to change our business practices and limit our ability to offer certain products and services, all of which could materially adversely affect the Company’s business, reputation, results of operations and financial condition. While we maintain insurance coverage for certain types of claims, such insurance coverage may be insufficient to cover all losses or all types of claims that may arise.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3366FF"/>
        </w:rPr>
        <w:t>SUPPLY CHAIN AND THIRD PARTIES</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contracts with content providers to distribute and process content, including prepaid mobile airtime top-up services, typically have terms of less than three years. Our contracts with content providers are not exclusive, so these providers may enter into contracts with other service providers. In addition, our service contracts with major retailers typically have terms of one to three years.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margins or other terms could have a material adverse impact on our working capital requirements and/or results from operations. In addition, our contracts generally permit content providers to reduce our margin or commission at any time. Commission and margin revenue or fee reductions by any of the content providers could also have a material adverse effect on our business, financial condition, or results of operations.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epay business is focused on expanding and differentiating its suite of prepaid digital product offerings on a global basis, there can be no assurance that we will be able to enter into relationships on favorable terms with additional content providers or renew or expand current relationships and contracts on favorable terms. The inability to continue to grow our suite of electronic content and electronic payment product offerings could have a material adverse effect on our business, financial condition, and results of operations.</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agreements have expiration dates, and banks and international card organizations are generally not obligated to renew them. Our existing contracts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Processing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ATM business faces several key risks related to: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Fees:</w:t>
      </w:r>
    </w:p>
    <w:p>
      <w:pPr>
        <w:spacing w:after="0" w:line="162"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We are subject to competitive pressures on ATM transaction fees, including potential reductions in interchange fees set by card networks and declining fees charged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-234950</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60" w:lineRule="auto"/>
        <w:rPr>
          <w:sz w:val="20"/>
          <w:szCs w:val="20"/>
          <w:color w:val="auto"/>
        </w:rPr>
      </w:pPr>
      <w:r>
        <w:rPr>
          <w:rFonts w:ascii="Times New Roman" w:cs="Times New Roman" w:eastAsia="Times New Roman" w:hAnsi="Times New Roman"/>
          <w:sz w:val="18"/>
          <w:szCs w:val="18"/>
          <w:color w:val="auto"/>
        </w:rPr>
        <w:t>Our ability to maintain or increase transaction fees is limited, as they are often determined by market forces and agreements with other industry players.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Risks:</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rely on third parties, such as card networks and processing switches, for the settlement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line="260" w:lineRule="auto"/>
        <w:rPr>
          <w:sz w:val="20"/>
          <w:szCs w:val="20"/>
          <w:color w:val="auto"/>
        </w:rPr>
      </w:pPr>
      <w:r>
        <w:rPr>
          <w:rFonts w:ascii="Times New Roman" w:cs="Times New Roman" w:eastAsia="Times New Roman" w:hAnsi="Times New Roman"/>
          <w:sz w:val="18"/>
          <w:szCs w:val="18"/>
          <w:color w:val="auto"/>
        </w:rPr>
        <w:t>Changes in rules or procedures by these third parties, or their failure to fulfill their obligations, could disrupt settlement processes and negatively impact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on Third Parties: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business is dependent on the continued cooperation and support of card networks, processing switches, and other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Changes in their policies, rules, or fees could significantly impact our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We could incur substantial losses if one of the third-party depository institutions or financial institutions we use in our operations were to fail.</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on Third Parties for ATM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ATM operations rely heavily on third parties, including:</w:t>
      </w:r>
    </w:p>
    <w:p>
      <w:pPr>
        <w:spacing w:after="0" w:line="140" w:lineRule="exact"/>
        <w:rPr>
          <w:sz w:val="20"/>
          <w:szCs w:val="20"/>
          <w:color w:val="auto"/>
        </w:rPr>
      </w:pPr>
    </w:p>
    <w:p>
      <w:pPr>
        <w:ind w:left="5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Sponsor Banks: </w:t>
      </w:r>
      <w:r>
        <w:rPr>
          <w:rFonts w:ascii="Times New Roman" w:cs="Times New Roman" w:eastAsia="Times New Roman" w:hAnsi="Times New Roman"/>
          <w:sz w:val="18"/>
          <w:szCs w:val="18"/>
          <w:color w:val="auto"/>
        </w:rPr>
        <w:t>In many markets, we require sponsor bank arrangements to comply with local regulations and operate on financial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switching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Cash Providers: </w:t>
      </w:r>
      <w:r>
        <w:rPr>
          <w:rFonts w:ascii="Times New Roman" w:cs="Times New Roman" w:eastAsia="Times New Roman" w:hAnsi="Times New Roman"/>
          <w:sz w:val="18"/>
          <w:szCs w:val="18"/>
          <w:color w:val="auto"/>
        </w:rPr>
        <w:t>We rely on third-party financial institutions to provide a significant portion of the cash required to operate our ATM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Dependence on these third parties presents several risks: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Loss of Operating Licenses: </w:t>
      </w:r>
      <w:r>
        <w:rPr>
          <w:rFonts w:ascii="Times New Roman" w:cs="Times New Roman" w:eastAsia="Times New Roman" w:hAnsi="Times New Roman"/>
          <w:sz w:val="18"/>
          <w:szCs w:val="18"/>
          <w:color w:val="auto"/>
        </w:rPr>
        <w:t>Failure to secure or maintain sponsor bank arrangements could prevent us from operating in certain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Disruption of Cash Supply: </w:t>
      </w:r>
      <w:r>
        <w:rPr>
          <w:rFonts w:ascii="Times New Roman" w:cs="Times New Roman" w:eastAsia="Times New Roman" w:hAnsi="Times New Roman"/>
          <w:sz w:val="18"/>
          <w:szCs w:val="18"/>
          <w:color w:val="auto"/>
        </w:rPr>
        <w:t>If cash providers terminate their agreements or are unable to fulfill their obligations, it could severely disrupt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ATM operations and require us to find alternative sources of funding, potentially at higher costs.</w:t>
      </w:r>
    </w:p>
    <w:p>
      <w:pPr>
        <w:spacing w:after="0" w:line="9" w:lineRule="exact"/>
        <w:rPr>
          <w:sz w:val="20"/>
          <w:szCs w:val="20"/>
          <w:color w:val="auto"/>
        </w:rPr>
      </w:pPr>
    </w:p>
    <w:p>
      <w:pPr>
        <w:ind w:left="540" w:right="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Negotiation Challenges: </w:t>
      </w:r>
      <w:r>
        <w:rPr>
          <w:rFonts w:ascii="Times New Roman" w:cs="Times New Roman" w:eastAsia="Times New Roman" w:hAnsi="Times New Roman"/>
          <w:sz w:val="18"/>
          <w:szCs w:val="18"/>
          <w:color w:val="auto"/>
        </w:rPr>
        <w:t>Negotiating and maintaining favorable terms with sponsor banks and cash providers can be challenging and may involve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adversely impact our ability to operate our ATM networks, increase our operating costs, and negatively impact our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maintain our money transfer agent and correspondent networks, our business may be adversely affected.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consumer-to-consumer money transfer-based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3366FF"/>
        </w:rPr>
        <w:t>CORPORATE GROWTH STRATEGIES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growth strategy may include future acquisitions. However, acquisitions involve inherent risks, including:</w:t>
      </w:r>
    </w:p>
    <w:p>
      <w:pPr>
        <w:spacing w:after="0" w:line="181" w:lineRule="exact"/>
        <w:rPr>
          <w:sz w:val="20"/>
          <w:szCs w:val="20"/>
          <w:color w:val="auto"/>
        </w:rPr>
      </w:pPr>
    </w:p>
    <w:p>
      <w:pPr>
        <w:jc w:val="both"/>
        <w:ind w:left="54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Integration Challenges: </w:t>
      </w:r>
      <w:r>
        <w:rPr>
          <w:rFonts w:ascii="Times New Roman" w:cs="Times New Roman" w:eastAsia="Times New Roman" w:hAnsi="Times New Roman"/>
          <w:sz w:val="18"/>
          <w:szCs w:val="18"/>
          <w:color w:val="auto"/>
        </w:rPr>
        <w:t>Successfully integrating acquired businesses can be complex and challenging. Difficulties in integrating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and personnel can disrupt business operations, negatively impact customer relationships, and hinder the achievement of anticipated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-372110</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Unforeseen Liabilities and Contingencies: </w:t>
      </w:r>
      <w:r>
        <w:rPr>
          <w:rFonts w:ascii="Times New Roman" w:cs="Times New Roman" w:eastAsia="Times New Roman" w:hAnsi="Times New Roman"/>
          <w:sz w:val="18"/>
          <w:szCs w:val="18"/>
          <w:color w:val="auto"/>
        </w:rPr>
        <w:t>Acquired businesses may have undisclosed liabilities or contingent obligations that could adversely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Difficulties in Achieving Synergies: </w:t>
      </w:r>
      <w:r>
        <w:rPr>
          <w:rFonts w:ascii="Times New Roman" w:cs="Times New Roman" w:eastAsia="Times New Roman" w:hAnsi="Times New Roman"/>
          <w:sz w:val="18"/>
          <w:szCs w:val="18"/>
          <w:color w:val="auto"/>
        </w:rPr>
        <w:t>Realizing the anticipated synergies from acquisitions can be difficult and may take longer than expected.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Factors such as unforeseen competitive pressures, regulatory changes, and economic downturns can hinder the achievement of these synergies. </w:t>
      </w:r>
      <w:r>
        <w:rPr>
          <w:rFonts w:ascii="Times New Roman" w:cs="Times New Roman" w:eastAsia="Times New Roman" w:hAnsi="Times New Roman"/>
          <w:sz w:val="18"/>
          <w:szCs w:val="18"/>
          <w:b w:val="1"/>
          <w:bCs w:val="1"/>
          <w:color w:val="auto"/>
        </w:rPr>
        <w:t xml:space="preserve">Dilution of Shareholder Value: </w:t>
      </w:r>
      <w:r>
        <w:rPr>
          <w:rFonts w:ascii="Times New Roman" w:cs="Times New Roman" w:eastAsia="Times New Roman" w:hAnsi="Times New Roman"/>
          <w:sz w:val="18"/>
          <w:szCs w:val="18"/>
          <w:color w:val="auto"/>
        </w:rPr>
        <w:t>Acquisitions may be financed through the issuance of equity, which could dilute existing shareholders'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potentially depress the market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-514985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-240665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consumer confidence in our business or brands declines, our business may be adversely affected.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decline in consumer confidence in our brands, our ability to provide reliable and secure services, or the money transfer industry as a whole could materially and adversely impact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a decline in consumer confidence could:</w:t>
      </w:r>
    </w:p>
    <w:p>
      <w:pPr>
        <w:spacing w:after="0" w:line="181" w:lineRule="exact"/>
        <w:rPr>
          <w:sz w:val="20"/>
          <w:szCs w:val="20"/>
          <w:color w:val="auto"/>
        </w:rPr>
      </w:pPr>
    </w:p>
    <w:p>
      <w:pPr>
        <w:ind w:left="3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Reduce transaction volumes: </w:t>
      </w:r>
      <w:r>
        <w:rPr>
          <w:rFonts w:ascii="Times New Roman" w:cs="Times New Roman" w:eastAsia="Times New Roman" w:hAnsi="Times New Roman"/>
          <w:sz w:val="18"/>
          <w:szCs w:val="18"/>
          <w:color w:val="auto"/>
        </w:rPr>
        <w:t>Customers may choose to use alternative money transfer methods, such as cash or competing services, or may reduce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overall remittance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-234315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Increase customer churn: </w:t>
      </w:r>
      <w:r>
        <w:rPr>
          <w:rFonts w:ascii="Times New Roman" w:cs="Times New Roman" w:eastAsia="Times New Roman" w:hAnsi="Times New Roman"/>
          <w:sz w:val="18"/>
          <w:szCs w:val="18"/>
          <w:color w:val="auto"/>
        </w:rPr>
        <w:t>Existing customers may switch to competitors perceived to be more reliable or trustworthy.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-92075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Damage our reputation: </w:t>
      </w:r>
      <w:r>
        <w:rPr>
          <w:rFonts w:ascii="Times New Roman" w:cs="Times New Roman" w:eastAsia="Times New Roman" w:hAnsi="Times New Roman"/>
          <w:sz w:val="18"/>
          <w:szCs w:val="18"/>
          <w:color w:val="auto"/>
        </w:rPr>
        <w:t>Negative publicity or perceived service disruptions can erode customer trust and negatively impact our brand image.</w:t>
      </w:r>
      <w:r>
        <w:rPr>
          <w:rFonts w:ascii="Times New Roman" w:cs="Times New Roman" w:eastAsia="Times New Roman" w:hAnsi="Times New Roman"/>
          <w:sz w:val="18"/>
          <w:szCs w:val="18"/>
          <w:b w:val="1"/>
          <w:bCs w:val="1"/>
          <w:color w:val="auto"/>
        </w:rPr>
        <w:t xml:space="preserve"> Increase operating costs: </w:t>
      </w:r>
      <w:r>
        <w:rPr>
          <w:rFonts w:ascii="Times New Roman" w:cs="Times New Roman" w:eastAsia="Times New Roman" w:hAnsi="Times New Roman"/>
          <w:sz w:val="18"/>
          <w:szCs w:val="18"/>
          <w:color w:val="auto"/>
        </w:rPr>
        <w:t>We may need to invest in additional marketing and customer service efforts to regain customer trust and mitigate the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declining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-379730</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-242570</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decline in consumer confidence could have a material adverse effect on our revenue, profitability, and financial condition.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3366FF"/>
        </w:rPr>
        <w:t>CAPITAL MARKETS AND ECONOMIC CONDITIONS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Currency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various macroeconomic and currency risks, including:</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Economic Cycles and 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 w:lineRule="exact"/>
        <w:rPr>
          <w:sz w:val="20"/>
          <w:szCs w:val="20"/>
          <w:color w:val="auto"/>
        </w:rPr>
      </w:pPr>
    </w:p>
    <w:p>
      <w:pPr>
        <w:ind w:left="1080"/>
        <w:spacing w:after="0" w:line="250" w:lineRule="auto"/>
        <w:rPr>
          <w:sz w:val="20"/>
          <w:szCs w:val="20"/>
          <w:color w:val="auto"/>
        </w:rPr>
      </w:pPr>
      <w:r>
        <w:rPr>
          <w:rFonts w:ascii="Times New Roman" w:cs="Times New Roman" w:eastAsia="Times New Roman" w:hAnsi="Times New Roman"/>
          <w:sz w:val="18"/>
          <w:szCs w:val="18"/>
          <w:color w:val="auto"/>
        </w:rPr>
        <w:t>Economic downturns, recessions, and changes in consumer spending patterns can negatively impact transaction volumes across our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-234315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Seasonal fluctuations in demand, such as holiday seasonality and tourism patterns, can lead to significant variations in our quarterly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-92075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b w:val="1"/>
          <w:bCs w:val="1"/>
          <w:color w:val="auto"/>
        </w:rPr>
        <w:t>Currency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line="250" w:lineRule="auto"/>
        <w:rPr>
          <w:sz w:val="20"/>
          <w:szCs w:val="20"/>
          <w:color w:val="auto"/>
        </w:rPr>
      </w:pPr>
      <w:r>
        <w:rPr>
          <w:rFonts w:ascii="Times New Roman" w:cs="Times New Roman" w:eastAsia="Times New Roman" w:hAnsi="Times New Roman"/>
          <w:sz w:val="18"/>
          <w:szCs w:val="18"/>
          <w:color w:val="auto"/>
        </w:rPr>
        <w:t>Fluctuations in foreign exchange rates can adversely impact our financial results, particularly in the Money Transfer Segment where we are exposed to currency exchange risk between the currencies of sending and receiving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-234315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adoption of new currencies in the countries where we operate could also create significant operational and financial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-92075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b w:val="1"/>
          <w:bCs w:val="1"/>
          <w:color w:val="auto"/>
        </w:rPr>
        <w:t>Geopolitical and Economic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line="260" w:lineRule="auto"/>
        <w:rPr>
          <w:sz w:val="20"/>
          <w:szCs w:val="20"/>
          <w:color w:val="auto"/>
        </w:rPr>
      </w:pPr>
      <w:r>
        <w:rPr>
          <w:rFonts w:ascii="Times New Roman" w:cs="Times New Roman" w:eastAsia="Times New Roman" w:hAnsi="Times New Roman"/>
          <w:sz w:val="18"/>
          <w:szCs w:val="18"/>
          <w:color w:val="auto"/>
        </w:rPr>
        <w:t>Geopolitical events, such as wars, political instability, and natural disasters, can disrupt our operations and negatively impact customer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-245110</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These risks can impact our business by:</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Reducing transaction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Increasing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Impairing the value of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Creating volatility in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utilize various strategies to mitigate these risks, such as: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Diversification of our geographic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Hedging strategies to mitigate currency exchange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Continuous monitoring of economic and political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cannot fully eliminate the impact of these macroeconomic and currency risks on our business.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a substantial amount of debt and other contractual commitments, and while the cost of servicing those obligations is not expected to adversely affect our business, the risk could increase if we incur more debt. We may be required to prepay our obligations under the credit facility.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total liabilities were $4,605 million, of which $1,379 million represents long-term liabilities, and total assets were $5,835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309" w:lineRule="exact"/>
        <w:rPr>
          <w:sz w:val="20"/>
          <w:szCs w:val="20"/>
          <w:color w:val="auto"/>
        </w:rPr>
      </w:pPr>
    </w:p>
    <w:p>
      <w:pPr>
        <w:ind w:left="620" w:right="40" w:hanging="314"/>
        <w:spacing w:after="0" w:line="281"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any necessary financing in the future for working capital, capital expenditures, debt service requirements or other purposes may be limited, or financing may be unavailable;</w:t>
      </w:r>
    </w:p>
    <w:p>
      <w:pPr>
        <w:spacing w:after="0" w:line="1" w:lineRule="exact"/>
        <w:rPr>
          <w:rFonts w:ascii="Times New Roman" w:cs="Times New Roman" w:eastAsia="Times New Roman" w:hAnsi="Times New Roman"/>
          <w:sz w:val="18"/>
          <w:szCs w:val="18"/>
          <w:color w:val="auto"/>
        </w:rPr>
      </w:pPr>
    </w:p>
    <w:p>
      <w:pPr>
        <w:ind w:left="620" w:right="40" w:hanging="314"/>
        <w:spacing w:after="0" w:line="281"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cash flows must be dedicated to the payment of principal and interest on our indebtedness and other obligations and will not be available for use in our business;</w:t>
      </w:r>
    </w:p>
    <w:p>
      <w:pPr>
        <w:spacing w:after="0" w:line="1" w:lineRule="exact"/>
        <w:rPr>
          <w:rFonts w:ascii="Times New Roman" w:cs="Times New Roman" w:eastAsia="Times New Roman" w:hAnsi="Times New Roman"/>
          <w:sz w:val="18"/>
          <w:szCs w:val="18"/>
          <w:color w:val="auto"/>
        </w:rPr>
      </w:pPr>
    </w:p>
    <w:p>
      <w:pPr>
        <w:ind w:left="620" w:hanging="31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could limit our flexibility in planning for, or reacting to, changes in our business and the markets in which we operate;</w:t>
      </w:r>
    </w:p>
    <w:p>
      <w:pPr>
        <w:spacing w:after="0" w:line="63" w:lineRule="exact"/>
        <w:rPr>
          <w:rFonts w:ascii="Times New Roman" w:cs="Times New Roman" w:eastAsia="Times New Roman" w:hAnsi="Times New Roman"/>
          <w:sz w:val="18"/>
          <w:szCs w:val="18"/>
          <w:color w:val="auto"/>
        </w:rPr>
      </w:pPr>
    </w:p>
    <w:p>
      <w:pPr>
        <w:ind w:left="620" w:right="40" w:hanging="314"/>
        <w:spacing w:after="0" w:line="281"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1" w:lineRule="exact"/>
        <w:rPr>
          <w:rFonts w:ascii="Times New Roman" w:cs="Times New Roman" w:eastAsia="Times New Roman" w:hAnsi="Times New Roman"/>
          <w:sz w:val="18"/>
          <w:szCs w:val="18"/>
          <w:color w:val="auto"/>
        </w:rPr>
      </w:pPr>
    </w:p>
    <w:p>
      <w:pPr>
        <w:ind w:left="620" w:right="40" w:hanging="314"/>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portion of our debt bears interest at a variable rate of interest, our actual debt service obligations could increase as a result of adverse changes in interest 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Restrictive covenants in our credit facilities may adversely affect us. Our Credit Facility (as defined below) contains two financial covenants that we must meet as defined in the agreement: (1) Consolidated Total Leverage Ratio, and (2) Consolidated Interest Coverage Ratio. To remain in compliance with our debt covenants, we may be required to increase Earnings Before Interest, Taxes, Depreciation and Amortization ("EBITDA"), repay debt, or both. We cannot assure you that we will have sufficient assets, liquidity or EBITDA to meet or avoid these obligations, which could have an adverse impact on our financial condition.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3366FF"/>
        </w:rPr>
        <w:t>CYBER, PHYSICAL ASSET, AND DATA SECURITY</w:t>
      </w:r>
    </w:p>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Our business relies heavily on sophisticated computer systems and networks. These systems are vulnerable to various operational and cybersecurity risks, including:</w:t>
      </w:r>
    </w:p>
    <w:p>
      <w:pPr>
        <w:spacing w:after="0" w:line="127" w:lineRule="exact"/>
        <w:rPr>
          <w:sz w:val="20"/>
          <w:szCs w:val="20"/>
          <w:color w:val="auto"/>
        </w:rPr>
      </w:pPr>
    </w:p>
    <w:p>
      <w:pPr>
        <w:jc w:val="both"/>
        <w:ind w:left="5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System Outages: </w:t>
      </w:r>
      <w:r>
        <w:rPr>
          <w:rFonts w:ascii="Times New Roman" w:cs="Times New Roman" w:eastAsia="Times New Roman" w:hAnsi="Times New Roman"/>
          <w:sz w:val="18"/>
          <w:szCs w:val="18"/>
          <w:color w:val="auto"/>
        </w:rPr>
        <w:t>Disruptions to our computer systems and telecommunications networks due to hardware or software failures, power outages,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natural disasters, or security breaches can significantly impact our operations, leading to service interruptions, revenue losses, and damage to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-372110</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Cybersecurity Threats: </w:t>
      </w:r>
      <w:r>
        <w:rPr>
          <w:rFonts w:ascii="Times New Roman" w:cs="Times New Roman" w:eastAsia="Times New Roman" w:hAnsi="Times New Roman"/>
          <w:sz w:val="18"/>
          <w:szCs w:val="18"/>
          <w:color w:val="auto"/>
        </w:rPr>
        <w:t>We face the risk of cyberattacks, including data breaches, malware infections, ransomware attacks, and denial-of-service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attacks. These threats can result in unauthorized access to sensitive customer data, financial losses, reputational harm, regulatory fines, and legal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Data Privacy and Security: </w:t>
      </w:r>
      <w:r>
        <w:rPr>
          <w:rFonts w:ascii="Times New Roman" w:cs="Times New Roman" w:eastAsia="Times New Roman" w:hAnsi="Times New Roman"/>
          <w:sz w:val="18"/>
          <w:szCs w:val="18"/>
          <w:color w:val="auto"/>
        </w:rPr>
        <w:t>We are subject to stringent data privacy and security regulations. Breaches of customer data can result in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fines, litigation, and damage to our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mitigation efforts include: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Implementing robust security measures, such as encryption, access controls, and intrusion detection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Maintaining business continuity and disaster recovery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Regularly updating and enhancing our security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despite these efforts, we cannot guarantee complete protection against all cyber threats and operational disruptions.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Failures of third-party service providers we rely upon could lead to financial loss.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third party service providers to support key portions of our operations. We also rely on third party service providers to provide part or all of certain services we deliver to customers. While we have selected these third-party vendors carefully, we do not control their actions. The failure of these services by a third-party could have a material impact upon our delivery of services to customers. Such a failure could lead to damage claims, loss of customers, and reputational harm, depending on the duration and severity of the failure. Third parties perform significant operational services on our behalf. These third-party vendors are subject to similar risks as us relating to cybersecurity, breakdowns or failures of their own systems or employees. One or more of our vendors may experience a cybersecurity event or operational disruption and, if any such event does occur, it may not be adequately addressed, either operationally or financially, by the third-party vendor. Certain of our vendors may have limited indemnification obligations or may not have the financial capacity to satisfy their indemnification obligations. If a critical vendor is unable to meet our needs in a timely manner or if the services or products provided by such a vendor are terminated or otherwise delayed and if we are not able to develop alternative sources for these services and products quickly and cost-effectively, our customers could be negatively impacted, and it could have a material adverse effect on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a variety of U.S. and international laws, rules, policies and other obligations regarding data protection.</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subject to an increasing number of federal, state, and international laws relating to the collection, use, retention, security and transfer of various types of personal information. In many cases, these laws apply not only to third-party transactions, but also restrict transfers of personal information among us and our international subsidiaries. Several jurisdictions have passed laws in this area, and additional jurisdictions are considering imposing additional restrictions or have laws that are pending. These laws continue to develop and may be inconsistent from jurisdiction to jurisdiction. Complying with emerging and changing requirements causes us to incur substantial costs and has required and may in the future require us to change its our business practices. Noncompliance could result in significant penalties or legal liability. We make statements about its our use and disclosure of personal information through its our privacy policy, information provided on its our website, press statements and other privacy notices provided to customers. Any failure by us to comply with these public statements or with other federal, state or international privacy or data protection laws and regulations could result in inquiries or proceedings against us by governmental entities or others. In addition to reputational impacts, penalties could include ongoing audit requirements and significant legal liability. In addition to the risks generally relating to the collection, use, retention, security and transfer of personal information, we are also subject to specific obligations relating to information considered sensitive under applicable laws, such as health data, financial data and biometric data. Health data and financial data are subject to additional privacy, security and breach notification requirements, and we are subject to audit by governmental authorities regarding our compliance with these obligations. If we fail to adequately comply with these rules and requirements, or if health data or financial data is handled in a manner not permitted by law or under our agreements with healthcare or financial institutions, we can be subject to litigation or government investigations, and can be liable for associated investigatory expenses, and can also incur significant fees or fines. Payment card data is also subject to additional requirements. Under payment card rules and obligations, if cardholder information is potentially compromised, we can be liable for associated investigatory expenses and can also incur significant fees or fines if we fail to follow payment card industry data security standards. We could also experience a significant increase in payment card transaction costs or lose the ability to process payment cards if it fails we fail to follow payment card industry data security standards, which could materially adversely affect our business, reputation, results of operations and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3366FF"/>
        </w:rPr>
        <w:t>COMPETITIVE LANDSCAPE</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EFT Processing Segment </w:t>
      </w:r>
      <w:r>
        <w:rPr>
          <w:rFonts w:ascii="Times New Roman" w:cs="Times New Roman" w:eastAsia="Times New Roman" w:hAnsi="Times New Roman"/>
          <w:sz w:val="18"/>
          <w:szCs w:val="18"/>
          <w:color w:val="auto"/>
        </w:rPr>
        <w:t>- Our principal EFT Processing competitors include ATM networks owned by banks and national switches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epay Segment </w:t>
      </w:r>
      <w:r>
        <w:rPr>
          <w:rFonts w:ascii="Times New Roman" w:cs="Times New Roman" w:eastAsia="Times New Roman" w:hAnsi="Times New Roman"/>
          <w:sz w:val="18"/>
          <w:szCs w:val="18"/>
          <w:color w:val="auto"/>
        </w:rPr>
        <w:t>- We face competition in the epay business in all of our markets. A few multinational companies operate in several of our markets, and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therefore compete with them in a number of countries. In other markets, our competition is from smaller, local companies. Major retailers with high volumes are in a position to demand a larger share of margin/commissions or to negotiate directly with the content providers,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Money Transfer Segment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primary competitors in the money transfer and bill payment business include other large money transfer companies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payments could materially reduce our transaction levels and revenues.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developments in the field of payments may reduce the need for ATMs, prepaid product POS terminals and money transfer agents. An example of this type of development is the use of near field technology in retail transactions, which if widely accepted in a market reduces the need for cash and can negatively impact the level of ATM transactions in that market. Advances in biometric payment solutions could have similar adverse impacts.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mobile phone industry is a rapidly evolving area, in which technological developments, in particular the development of new billing models and distribution methods or services, may affect the demand for other services in a dramatic way. The development of any new models or technology that reduce the need or demand for prepaid mobile airtime could materially and adversely affect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and Competitive Pressures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Setting competitive and profitable remittance prices across various corridors presents significant challenges.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such as:</w:t>
      </w:r>
    </w:p>
    <w:p>
      <w:pPr>
        <w:spacing w:after="0" w:line="181" w:lineRule="exact"/>
        <w:rPr>
          <w:sz w:val="20"/>
          <w:szCs w:val="20"/>
          <w:color w:val="auto"/>
        </w:rPr>
      </w:pPr>
    </w:p>
    <w:p>
      <w:pPr>
        <w:ind w:left="5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Intense Competition: </w:t>
      </w:r>
      <w:r>
        <w:rPr>
          <w:rFonts w:ascii="Times New Roman" w:cs="Times New Roman" w:eastAsia="Times New Roman" w:hAnsi="Times New Roman"/>
          <w:sz w:val="18"/>
          <w:szCs w:val="18"/>
          <w:color w:val="auto"/>
        </w:rPr>
        <w:t>The global remittance market is highly competitive with numerous players, including traditional money transfer operators,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banks, and fintech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Varying Market Dynamics: </w:t>
      </w:r>
      <w:r>
        <w:rPr>
          <w:rFonts w:ascii="Times New Roman" w:cs="Times New Roman" w:eastAsia="Times New Roman" w:hAnsi="Times New Roman"/>
          <w:sz w:val="18"/>
          <w:szCs w:val="18"/>
          <w:color w:val="auto"/>
        </w:rPr>
        <w:t>Each remittance corridor (e.g., Mexico to the U.S., Philippines to the U.S.) has unique characteristics,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varying levels of competition, customer demand, regulatory environments,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Currency Fluctuations: </w:t>
      </w:r>
      <w:r>
        <w:rPr>
          <w:rFonts w:ascii="Times New Roman" w:cs="Times New Roman" w:eastAsia="Times New Roman" w:hAnsi="Times New Roman"/>
          <w:sz w:val="18"/>
          <w:szCs w:val="18"/>
          <w:color w:val="auto"/>
        </w:rPr>
        <w:t>Exchange rate volatility can significantly impact profitability, requiring constant adjustments to pricing models.</w:t>
      </w:r>
      <w:r>
        <w:rPr>
          <w:rFonts w:ascii="Times New Roman" w:cs="Times New Roman" w:eastAsia="Times New Roman" w:hAnsi="Times New Roman"/>
          <w:sz w:val="18"/>
          <w:szCs w:val="18"/>
          <w:b w:val="1"/>
          <w:bCs w:val="1"/>
          <w:color w:val="auto"/>
        </w:rPr>
        <w:t xml:space="preserve"> Regulatory Changes: </w:t>
      </w:r>
      <w:r>
        <w:rPr>
          <w:rFonts w:ascii="Times New Roman" w:cs="Times New Roman" w:eastAsia="Times New Roman" w:hAnsi="Times New Roman"/>
          <w:sz w:val="18"/>
          <w:szCs w:val="18"/>
          <w:color w:val="auto"/>
        </w:rPr>
        <w:t>Changes in regulations in sending or receiving countries, including fees, taxes, and anti-money laundering requirements,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pricing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Customer Sensitivity to Price: </w:t>
      </w:r>
      <w:r>
        <w:rPr>
          <w:rFonts w:ascii="Times New Roman" w:cs="Times New Roman" w:eastAsia="Times New Roman" w:hAnsi="Times New Roman"/>
          <w:sz w:val="18"/>
          <w:szCs w:val="18"/>
          <w:color w:val="auto"/>
        </w:rPr>
        <w:t>Remittance customers are highly price-sensitive. Setting prices too high can deter customers and lead to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loss, while setting prices too low can negatively impact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accurately assess and respond to these factors could result in: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Reduced revenue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Loss of market share to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Difficulty in achieving and maintaining 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continuously monitors market trends, analyzes competitive pricing, and adjusts its pricing strategies to maintain competitiveness while ensuring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66FF"/>
        </w:rPr>
        <w:t>GOVERNANCE MATTERS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provisions of our certificate of incorporation and bylaws and of Delaware corporate law may discourage, delay or prevent a change in control or takeover attempt of our company by a third party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53"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-234950</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classification of our directors into three classes with respect to the time for which they hold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supermajority voting requirements to amend the provision in our certificate of incorporation providing for the classification of our directors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three such classes;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non-cumulative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860"/>
        <w:spacing w:after="0" w:line="250" w:lineRule="auto"/>
        <w:rPr>
          <w:sz w:val="20"/>
          <w:szCs w:val="20"/>
          <w:color w:val="auto"/>
        </w:rPr>
      </w:pPr>
      <w:r>
        <w:rPr>
          <w:rFonts w:ascii="Times New Roman" w:cs="Times New Roman" w:eastAsia="Times New Roman" w:hAnsi="Times New Roman"/>
          <w:sz w:val="18"/>
          <w:szCs w:val="18"/>
          <w:color w:val="auto"/>
        </w:rPr>
        <w:t>control by our board of directors of the size of our board of directors; limitations on the ability of stockholders to call special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-97155</wp:posOffset>
            </wp:positionV>
            <wp:extent cx="5969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Times New Roman" w:cs="Times New Roman" w:eastAsia="Times New Roman" w:hAnsi="Times New Roman"/>
          <w:sz w:val="18"/>
          <w:szCs w:val="18"/>
          <w:color w:val="auto"/>
        </w:rPr>
        <w:t>advance notice requirements for nominations of candidates for election to our board of directors or for proposing matters that can be acted upon by our stockholders at stockholder meetings;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an exclusive forum bylaw provision for all internal corporate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are authorized to issue up to a total of 90 million shares of common stock, potentially diluting equity ownership of current holders and the share price of our common stock. 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An additional 11.6 million shares of common stock, representing approximately 27% of the shares outstanding as of December 31, 2024,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we had 5.2 million options and 0.8 million restricted stock awards outstanding, held by our directors, officers and employees, which entitle these holders to acquire an equal number of shares of our common stock. Of this amount, 3.7 million options are vested and exercisable as of December 31, 2024. Approximately 2.8 million additional shares of our common stock may be issued in connection with our stock incentive and employee stock purchase plans. Accordingly, based on current trading prices of our common stock, approximately 3.1 million shares could potentially be added to our total current common stock outstanding through the exercise of options and the vesting of restricted stock awards, which could adversely impact the trading price for our stock.</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6.0 million total options and restricted stock awards outstanding, an aggregate of 3.7 million options and 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p>
    <w:p>
      <w:pPr>
        <w:spacing w:after="0" w:line="1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Upon the occurrence of certain events, another 2.8 million shares of common stock could be issued upon conversion of the Company's convertible notes issued in March 2019; in certain situations, the number of shares issuable could be higher. While we have stated that we intend to settle any conversion of these notes by issuing cash for the principal value of the notes and paying cash or issuing shares of common stock for the conversion value in excess of the principal, which would significantly reduce the number of shares issued upon conversion, if our financial condition significantly and adversely changes, we may not be able to settle as intended should the notes be converted.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66FF"/>
        </w:rPr>
        <w:t>KEY PERSONNEL</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and implementation of our strategy has depended in large part on our co-founder, Michael J. Brown. The retention of Mr. Brown is important to our continued success. In addition, the success of the expansion of businesses that we acquire may depend in large part upon the retention of the founders or leaders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 Risk Management and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that cyber threats are constantly evolving, and we must stay ahead of risks and threats to our business systems, data, infrastructure, and employees. We take a holistic approach to cybersecurity to proactively mitigate and respond to cyber threats. Building a robust security program and security controls are critical components that are in the core foundation of our products, culture, and management oversight. As a financial transaction processor, we ensure security is embedded and regarded with importance across the organization and within our products and services. We recognize the criticality of maintaining the safety, security, and integrity of our systems and data to protect our customers, employees, partners, and shareholders. The security program and cybersecurity strategies are strongly supported by both executive management and our Board of Directors. Our executive management fosters a strong culture of security awareness and responsibilities from the tone at the top and across all functional teams at all levels. The security team leadership also conducts segment level Board and/or periodic meetings with segment business leadership to share security key performance indicators ("KPIs") and risk considerations, as well as align with business strategies and gain approval for financial support for cybersecurity resources and tools. Security leadership is also involved in financial forecasting for security needs and costs, and the Chief Technology Officer ("CTO") and Chief Financial Officer or executive management team is involved in understanding and approving security related investments and strategies. We invest in our cybersecurity personnel and protections to address critical risks to our infrastructure and systems, and we remain dedicated to continuous improvement in our cybersecurity program.</w:t>
      </w:r>
    </w:p>
    <w:p>
      <w:pPr>
        <w:spacing w:after="0" w:line="3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CTO reports to our Chief Executive Officer and has been with Euronet 17 years and is responsible for developing and implementing our information security program and reporting on cybersecurity matters to the Board of Directors (the “Board”). Many on our Information Technology ("IT") security team leadership have over a decade of cybersecurity and IT control experience, certifications, and external and internal IT audit experience. The Chief Information Security Officer ("CISO") reports to executive management independent of IT and is responsible for management of cybersecurity risk, security governance and compliance, security policies, security training, and the overall protection and defense of our networks, systems, and company data. The CISO manages the global security governance, risk, and compliance teams and is responsible for ensuring we meet our regulatory and compliance requirements as related to PCI DSS, ISO 27001, and other certifications we hold globally that support our business products and services. The Global Director of Cybersecurity reports to the CTO and manages our security toolbelt and implementations, incident response, alert management, and various technical security teams. The CISO and Global Director of Cybersecurity manage teams of cybersecurity professionals with broad experience and expertise, including PCI and other regulatory compliance, threat assessments and detection, forensic investigations, mitigation technologies, cybersecurity training, incident response, insider threats, third party risk, penetration testing, and security engineering expertise. Many members of the security leadership team across the organization have been with Euronet for more than 10 years. The global and segment security leadership teams work closely with legal, privacy, audit, and compliance teams to ensure we meet regulatory requirements and work together to address cyber risks in all functional areas of the organization. We also conduct strategic in person and virtual annual, quarterly, and monthly security meetings with key members of security and IT leadership to align on security priorities, initiatives, and requirements.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is responsible for overseeing our enterprise risk management activities in general, and each of our Board committees assists the Board in the role of risk oversight. The full Board receives an update on our risk management process and the risk trends related to cybersecurity at least annually. The CTO attends all quarterly Board meetings and presents to the Board at a minimum of twice per year on security and cybersecurity KPIs and threat mitigations. The Audit Committee oversees risks including cybersecurity risks. Our internal audit team reports on cybersecurity risks and internal and external audit results to the Audit Committee. Internal Audit performs IT security and compliance audits for SOX 404 purposes, as well as testing Euronet’s security standards, and performs pre-assessments for ISO 27001. We also engage third party independent assessments for penetration testing, vulnerability assessments, and certification such as PCI DSS, ISO 27001, VISA PIN and SOC Type 1 and Type 2 audits. The CTO and CISO also have weekly and monthly meetings with senior executive management to discuss security strategy, projects, and concerns. We have an established incident response process led by our CISO governing our assessment, response, and notifications internally and externally upon the occurrence of a cybersecurity incident. Depending on the nature and severity of an incident, this process provides for escalating notification to our Chief Executive Officer, executive management team, and the Board as well as regulatory notifications depending on the jurisdiction and specifications of the incident.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While we evaluate all security incidents and consider the materiality of individual or combined incidents, to date, no incidents or combination of incidents have materially affected the Company or our financial position, results of operations, and/or cash flows. We continue to invest in cybersecurity to enhance the design and effectiveness of our internal controls and processes to protect our systems, networks, and integrity of our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approach to cybersecurity risk management includes the following key areas: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Risk Management and Policies - </w:t>
      </w:r>
      <w:r>
        <w:rPr>
          <w:rFonts w:ascii="Times New Roman" w:cs="Times New Roman" w:eastAsia="Times New Roman" w:hAnsi="Times New Roman"/>
          <w:sz w:val="18"/>
          <w:szCs w:val="18"/>
          <w:color w:val="auto"/>
        </w:rPr>
        <w:t>Our policies, standards, processes, and practices for assessing, identifying, and managing risks, including material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cybersecurity threats are integrated into our overall security and risk management program and are based on frameworks established by the National Institute of Standards and Technology (“NIST”), the International Organization for Standardization ("ISO"), and other applicable industry standards and best practices. We regularly review and update policies and procedures with input from IT and security leadership and industry security standards including PCI DSS and ISO. Business segments and local entities also maintain local policies and procedures that include global requirements and local, statutory, or contractual requirements and escalations. All employees must sign and acknowledge a Corporate Information Security Policy that outlines their responsibilities related to IT security, cybersecurity, and protection of company assets and data. In addition to the enterprise risk assessment presented to the Board, local entity IT and security teams maintain detailed risk assessments that are shared with local management and are provided for applicable regulatory requirements, as well.</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Information Sharing and Collaboration - </w:t>
      </w:r>
      <w:r>
        <w:rPr>
          <w:rFonts w:ascii="Times New Roman" w:cs="Times New Roman" w:eastAsia="Times New Roman" w:hAnsi="Times New Roman"/>
          <w:sz w:val="18"/>
          <w:szCs w:val="18"/>
          <w:color w:val="auto"/>
        </w:rPr>
        <w:t>We subscribe to financial services cyber intelligence and collaboration services, and we work closely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 intelligence and managed security service providers to augment our own security program and controls. We investigate intelligence sharing platforms to assess potential risks as credible or emerging risks.</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Continuous Monitoring – </w:t>
      </w:r>
      <w:r>
        <w:rPr>
          <w:rFonts w:ascii="Times New Roman" w:cs="Times New Roman" w:eastAsia="Times New Roman" w:hAnsi="Times New Roman"/>
          <w:sz w:val="18"/>
          <w:szCs w:val="18"/>
          <w:color w:val="auto"/>
        </w:rPr>
        <w:t>We have security team members across all of our geographic business operations that support our key IT processing centers.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teams dedicated to investigating all security alerts and incidents at a global level or within our business segments. Further, we have managed security service providers who provide 24x7 advanced threat detection and monitoring services to augment our security analyst teams.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Incident Response – </w:t>
      </w:r>
      <w:r>
        <w:rPr>
          <w:rFonts w:ascii="Times New Roman" w:cs="Times New Roman" w:eastAsia="Times New Roman" w:hAnsi="Times New Roman"/>
          <w:sz w:val="18"/>
          <w:szCs w:val="18"/>
          <w:color w:val="auto"/>
        </w:rPr>
        <w:t>We have a global incident response policy that is shared with key stakeholders and outlines our classification, escalation,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 reporting, and overall response procedures depending on the classification and severity of incidents. Local IT teams must also create a local incident response plan and playbooks for addressing various types of incidents and handling escalations and reporting obligations locally. Further, we engage external forensic investigations as necessary to augment our incident reporting process if deemed critical and/or necessary for prompt response to security incidents which may require a higher technical level of forensics and/or resources to quickly assess and respond to certain incidents.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Training and Awareness </w:t>
      </w:r>
      <w:r>
        <w:rPr>
          <w:rFonts w:ascii="Times New Roman" w:cs="Times New Roman" w:eastAsia="Times New Roman" w:hAnsi="Times New Roman"/>
          <w:sz w:val="18"/>
          <w:szCs w:val="18"/>
          <w:color w:val="auto"/>
        </w:rPr>
        <w:t>- We provide security awareness training to our employees and contractors to help identify, mitigate, and report on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threats. Our employees with network access must complete quarterly security awareness training which includes multiple interactive and video training modules with passing scores required to complete training compliance. We require annual PCI DSS and GDPR training as well as any other regulatory required security training. We also perform simulated phishing campaigns to further test security training effectiveness. We also periodically host tabletop exercises with IT and management to test and evaluate our incident response plan or playbooks.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Insider Threats </w:t>
      </w:r>
      <w:r>
        <w:rPr>
          <w:rFonts w:ascii="Times New Roman" w:cs="Times New Roman" w:eastAsia="Times New Roman" w:hAnsi="Times New Roman"/>
          <w:sz w:val="18"/>
          <w:szCs w:val="18"/>
          <w:color w:val="auto"/>
        </w:rPr>
        <w:t>- We implement insider threat controls designed to identify, assess, and address potential risks from within our Company. We implement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controls and tools to alert on suspicious or unusual insider activity, and we have rigorous controls in place to prevent data loss and external sharing of company information. We consider and evaluate potential risks consistent with industry practices, customer requirements and applicable law, including privacy and other considerations.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Third Party Risk Assessments </w:t>
      </w:r>
      <w:r>
        <w:rPr>
          <w:rFonts w:ascii="Times New Roman" w:cs="Times New Roman" w:eastAsia="Times New Roman" w:hAnsi="Times New Roman"/>
          <w:sz w:val="18"/>
          <w:szCs w:val="18"/>
          <w:color w:val="auto"/>
        </w:rPr>
        <w:t>- We conduct information security assessments before sharing or allowing the hosting of data in computing environments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managed by third parties or allowing third parties to connect to our environment. We also review and amend legal terms and conditions to ensure there are contractual provisions requiring certain security protections and incident reporting. We also perform vendor risk assessments to assess the risk of new and existing vendors we conduct business with.</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External Assessments – </w:t>
      </w:r>
      <w:r>
        <w:rPr>
          <w:rFonts w:ascii="Times New Roman" w:cs="Times New Roman" w:eastAsia="Times New Roman" w:hAnsi="Times New Roman"/>
          <w:sz w:val="18"/>
          <w:szCs w:val="18"/>
          <w:color w:val="auto"/>
        </w:rPr>
        <w:t>We engage external assessors to evaluate, test, and conclude on the design and effectiveness of security controls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We engage quality assessors for vulnerability and penetration testing as well as for security certification and/or regulatory requirements. Further, we have external audits performed by customers, banking and government regulators, and public accounting firms as part of financial and statutory audit purposes. In 2024,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security and cybersecurity threats we face, please see “Risk Factors.”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in Leawood, Kansas. As of December 31, 2024, we also have 35 principal offices in Europe, 14 in Asia Pacific, 10 in North America, three in the Middle East, two in South America and three in Africa. Our office leases generally provide for initial terms ranging from two to twelve years.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processing centers for the EFT Processing Segment are located in Germany, Hungary, India, China, Indonesia and Pakistan. Processing centers we operate for the epay Segment are located in the U.K., Germany, Italy, and the U.S. Our processing centers for the Money Transfer Segment are located in the U.S., the U.K., New Zealand, and Malaysia.</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regarding litigation in Part II, Item 8 - Financial Statements and Supplementary Data and Note 20, Litigation and Contingencies, to the Consolidated Financial Statements included elsewhere in this report is incorporated herein by reference.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the Company's business. In accordance with U.S. GAAP, the Company records a liability when it is both probable that a liability has been incurred and the amount of the loss can be reasonably estimated. Currently, there are no legal proceeding s or regulatory findings which are both probable that a liability has been incurred and can be reasonably estimated that management believes, either individually or in the aggregate, would have a material adverse effect on the Company's consolidated financial condition or results of operations. These provisions are reviewed at least quarterly and adjusted to reflect the impacts of negotiations, settlements, rulings, advice of legal counsel, and other information and events pertaining to a particular case.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July 2024, the Company received an adverse judicial decision related to withholding taxes on certain agency relationships in Italy within the Money Transfer Segment, which the Company has appealed. In January 2025, the Company received a positive judicial decision in the same court related to the same issue but corresponding to a different taxable period. The Company completed an assessment and concluded that it is reasonably possible that a liability has been incurred, but not probable. The principal amount of the agent-based withholding tax could be approximately $16.5 million for all open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19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rPr>
          <w:sz w:val="20"/>
          <w:szCs w:val="20"/>
          <w:color w:val="auto"/>
        </w:rPr>
      </w:pPr>
      <w:r>
        <w:rPr>
          <w:rFonts w:ascii="Times New Roman" w:cs="Times New Roman" w:eastAsia="Times New Roman" w:hAnsi="Times New Roman"/>
          <w:sz w:val="18"/>
          <w:szCs w:val="18"/>
          <w:color w:val="auto"/>
        </w:rPr>
        <w:t>Our common stock, $0.02 par value per share, is quoted on the Nasdaq Global Select Market under the symbol EEFT.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our inception, we have not paid dividends on our common stock. We do not intend to distribute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2024, we had 51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Private Placements and Issuances of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we did not issue any equity securities that were not registered under the Securities Act of 1933, which have not been previously reported in a Quarterly Report on Form 10-Q or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Euronet Worldwide Inc.’s annual percentage change in cumulative total return on common shares over the past five years with the cumulative total return of companies comprising the Nasdaq Composite index and the Nasdaq US Benchmark Financial Services TR Index. This presentation assumes that $100 was invested in shares of the relevant issuers on December 31, 2019, and that dividends received were immediately invested in additional shares. The graph plots the value of the initial $100 investment at one-year intervals for the fiscal years shown.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000750" cy="29146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0075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Note 17, Stock Plans, and Part III, Item 12, </w:t>
      </w:r>
      <w:r>
        <w:rPr>
          <w:rFonts w:ascii="Times New Roman" w:cs="Times New Roman" w:eastAsia="Times New Roman" w:hAnsi="Times New Roman"/>
          <w:sz w:val="18"/>
          <w:szCs w:val="18"/>
          <w:i w:val="1"/>
          <w:iCs w:val="1"/>
          <w:color w:val="auto"/>
        </w:rPr>
        <w:t>Security Ownership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Beneficial Owners and Management and Related Stockholder Matters, </w:t>
      </w:r>
      <w:r>
        <w:rPr>
          <w:rFonts w:ascii="Times New Roman" w:cs="Times New Roman" w:eastAsia="Times New Roman" w:hAnsi="Times New Roman"/>
          <w:sz w:val="18"/>
          <w:szCs w:val="18"/>
          <w:color w:val="auto"/>
        </w:rPr>
        <w:t>for information related to our equity compensation plans.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during the three months ended December 31, 2024.</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9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7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9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(in millions) (1)</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 October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gridSpan w:val="3"/>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November 30,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475,533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54"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program, initiated on September 13, 2022, to repurchase up to $350 million in value, but not more than 7.0 million shares of common stock through September 13, 2024, has been completed. During 2024, we repurchased 850,528 shares under the repurchase program at a weighted average purchase price of $113.63 for a total value of $96.6 million. On September 13, 2023, the Company initiated a repurchase program to repurchase up to $350 million in value, but not more than 7.0 million shares of common stock through September 13, 2025. During 2024, we repurchased 1,625,005 shares under the repurchase program at a weighted average purchase price of $103.73 for a total value of $168.6 million. On September 11, 2024, the Company initiated a repurchase program to repurchase up to $350 million in value, but not more than 7.0 million shares of common stock through September 11, 2026. During 2024, the Company did not repurchase shares under this plan. Repurchases under the programs may take place in the open market or in privately negotiated transactions, including derivative transactions, and may be made under a Rule 10b5-1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accompanying notes included elsewhere in this Annual Report on Form 10-K. This section of the Form 10-K generally discusses 2024 items and year-to-year comparisons between 2024 and 2023. Discussions of 2022 items and year-to-year comparisons between 2023 and 2022 that are not included in this Form 10-K can be found in "Management's Discussion and Analysis of Financial Condition and Results of Operations" in Part II, Item 7 of our Annual Report on Form 10-K for the fiscal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Euronet is a leading financial technology solutions and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166" w:lineRule="exact"/>
        <w:rPr>
          <w:sz w:val="20"/>
          <w:szCs w:val="20"/>
          <w:color w:val="auto"/>
        </w:rPr>
      </w:pPr>
    </w:p>
    <w:p>
      <w:pPr>
        <w:jc w:val="both"/>
        <w:ind w:firstLine="8"/>
        <w:spacing w:after="0" w:line="258" w:lineRule="auto"/>
        <w:tabs>
          <w:tab w:leader="none" w:pos="2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Electronic Funds Transfer (EFT) segment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55,248 ATMs, as of December 31, 2024, and approximately 1,160,000 POS terminals.</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1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epay 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64 countries. We operate a network that includes approximately 777,000 POS terminals that enable electronic processing of prepaid mobile airtime "top-up" services and other digital media content.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jc w:val="both"/>
        <w:ind w:firstLine="8"/>
        <w:spacing w:after="0" w:line="254" w:lineRule="auto"/>
        <w:tabs>
          <w:tab w:leader="none" w:pos="1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197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six processing centers in Europe, five in Asia Pacific and two in North America. We have 35 principal offices in Europe, 14 in Asia Pacific, 10 in North America, three in the Middle East, two in South America and three in Africa. Our executive offices are located in Leawood, Kansas, USA. With approximately 76%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Euronet earns revenues and income primarily from ATM management fees, transaction fees, commissions, and foreign currency exchange margin. Each operating segment's sources of revenue are described below.</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29% of total consolidated revenues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payments, banknote recycling, tax refund services, license fees, professional services and maintenance fees for proprietary application software and sales of related hardware.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29% of total consolidated revenues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digital media content now produces approximately 68%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w:t>
      </w:r>
      <w:r>
        <w:rPr>
          <w:rFonts w:ascii="Times New Roman" w:cs="Times New Roman" w:eastAsia="Times New Roman" w:hAnsi="Times New Roman"/>
          <w:sz w:val="18"/>
          <w:szCs w:val="18"/>
          <w:color w:val="auto"/>
        </w:rPr>
        <w:t>— Revenues in the Money Transfer Segment, which represented approximately 42% of total consolidated revenues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expenses. These services are not directly identifiable with our reportable operating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87" w:lineRule="exact"/>
        <w:rPr>
          <w:sz w:val="20"/>
          <w:szCs w:val="20"/>
          <w:color w:val="auto"/>
        </w:rPr>
      </w:pPr>
    </w:p>
    <w:p>
      <w:pPr>
        <w:jc w:val="both"/>
        <w:ind w:firstLine="8"/>
        <w:spacing w:after="0" w:line="245" w:lineRule="auto"/>
        <w:tabs>
          <w:tab w:leader="none" w:pos="1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opportunities include physical expansion into target markets, developing value added products or services, increasing high value DCC and surcharge transactions and efficiently leveraging our portfolio of software solutions. Our opportunities are dependent on renewing and expanding our card acceptance, ATM and POS management and outsourcing,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 such as Visa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govern ATM interchange fees, direct access fees and other restrictions. Our profitability is dependent on the laws and regulations that govern DCC transactions, specifically in the E.U., increasing expansion of prepaid forex cards, as well as the laws and regulations of each country that we operate in that may impact the volume of cross-border and cross-currency transactions. The timing and amount of revenues in the EFT Processing Segment is uncertain and unpredictable due to inherent limitations in managing our estate of ATMs, which is dependent on contracts that cover large numbers of ATMs, which are complicated by legal and regulatory considerations of local countries, as well as our customers' decisions whether to outsource ATMs.</w:t>
      </w:r>
    </w:p>
    <w:p>
      <w:pPr>
        <w:spacing w:after="0" w:line="196" w:lineRule="exact"/>
        <w:rPr>
          <w:rFonts w:ascii="Times New Roman" w:cs="Times New Roman" w:eastAsia="Times New Roman" w:hAnsi="Times New Roman"/>
          <w:sz w:val="18"/>
          <w:szCs w:val="18"/>
          <w:color w:val="auto"/>
        </w:rPr>
      </w:pPr>
    </w:p>
    <w:p>
      <w:pPr>
        <w:jc w:val="both"/>
        <w:ind w:firstLine="8"/>
        <w:spacing w:after="0" w:line="252" w:lineRule="auto"/>
        <w:tabs>
          <w:tab w:leader="none" w:pos="1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opportunities include renewing existing and negotiating new agreements in target markets in which we operate, primarily with mobile operators, digital content providers, financial institutions, and retailers. The overall growth rate in the prepaid mobile phone and digital media content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9" w:name="page40"/>
    <w:bookmarkEnd w:id="39"/>
    <w:p>
      <w:pPr>
        <w:jc w:val="both"/>
        <w:ind w:firstLine="8"/>
        <w:spacing w:after="0" w:line="254" w:lineRule="auto"/>
        <w:tabs>
          <w:tab w:leader="none" w:pos="20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inherit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Revenues and Operating Income For The Years Ended December 31,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Operating Income (Expense)</w:t>
            </w:r>
          </w:p>
        </w:tc>
        <w:tc>
          <w:tcPr>
            <w:tcW w:w="0" w:type="dxa"/>
            <w:vAlign w:val="bottom"/>
          </w:tcPr>
          <w:p>
            <w:pPr>
              <w:spacing w:after="0"/>
              <w:rPr>
                <w:sz w:val="1"/>
                <w:szCs w:val="1"/>
                <w:color w:val="auto"/>
              </w:rPr>
            </w:pPr>
          </w:p>
        </w:tc>
      </w:tr>
      <w:tr>
        <w:trPr>
          <w:trHeight w:val="197"/>
        </w:trPr>
        <w:tc>
          <w:tcPr>
            <w:tcW w:w="4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69"/>
        </w:trPr>
        <w:tc>
          <w:tcPr>
            <w:tcW w:w="4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1,058.3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1,555.2</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50"/>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3,695.9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36"/>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3,989.8</w:t>
            </w:r>
          </w:p>
        </w:tc>
        <w:tc>
          <w:tcPr>
            <w:tcW w:w="100" w:type="dxa"/>
            <w:vAlign w:val="bottom"/>
          </w:tcPr>
          <w:p>
            <w:pPr>
              <w:spacing w:after="0"/>
              <w:rPr>
                <w:sz w:val="20"/>
                <w:szCs w:val="20"/>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3,688.0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annual consolidated revenues increased by 8.2% for 2024 compared to 2023. The increase in revenues for 2024 was primarily due to the increases in transaction volumes across all three segments.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annual consolidated operating income increased by 16.3% for 2024 compared to 2023. The increase in operating income for 2024 was primarily due to the increases in transaction volumes across all three segments.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Euronet for 2024 was $306.0 million, or $6.45 per diluted share compared to a net income attributable to Euronet for 2023 of $279.7 million, or $5.50 per diluted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our 2024 consolidated operating income was approximately 0.1% higher due to changes in foreign currency exchange rates when compared to 2023. If significant, in our discussion we will refer to the impact of fluctuations in foreign currency exchange rates in our comparison of operating segment results.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during 2024 and 2023, of the currencies of the countries in which we have our most significant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Average Translation Rate Year Ended</w:t>
            </w:r>
          </w:p>
        </w:tc>
        <w:tc>
          <w:tcPr>
            <w:tcW w:w="1420" w:type="dxa"/>
            <w:vAlign w:val="bottom"/>
          </w:tcPr>
          <w:p>
            <w:pPr>
              <w:spacing w:after="0"/>
              <w:rPr>
                <w:sz w:val="13"/>
                <w:szCs w:val="13"/>
                <w:color w:val="auto"/>
              </w:rPr>
            </w:pPr>
          </w:p>
        </w:tc>
      </w:tr>
      <w:tr>
        <w:trPr>
          <w:trHeight w:val="195"/>
        </w:trPr>
        <w:tc>
          <w:tcPr>
            <w:tcW w:w="3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 Increase</w:t>
            </w:r>
          </w:p>
        </w:tc>
      </w:tr>
      <w:tr>
        <w:trPr>
          <w:trHeight w:val="209"/>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 Percent</w:t>
            </w:r>
          </w:p>
        </w:tc>
      </w:tr>
      <w:tr>
        <w:trPr>
          <w:trHeight w:val="248"/>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0.6594</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0.6644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British pound</w:t>
            </w:r>
          </w:p>
        </w:tc>
        <w:tc>
          <w:tcPr>
            <w:tcW w:w="3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1.2776</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0.7303</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0.7412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3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1.0816</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Hungarian forint</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0.0027</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0.0028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3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0.0120</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0.0121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Malaysian ringgit</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0.2190</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0.2197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Zealand dollar</w:t>
            </w:r>
          </w:p>
        </w:tc>
        <w:tc>
          <w:tcPr>
            <w:tcW w:w="3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0.6047</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0.6141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Polish zloty</w:t>
            </w:r>
          </w:p>
        </w:tc>
        <w:tc>
          <w:tcPr>
            <w:tcW w:w="3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0.2516</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0.2385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59"/>
        </w:trPr>
        <w:tc>
          <w:tcPr>
            <w:tcW w:w="3500" w:type="dxa"/>
            <w:vAlign w:val="bottom"/>
          </w:tcPr>
          <w:p>
            <w:pPr>
              <w:spacing w:after="0"/>
              <w:rPr>
                <w:sz w:val="24"/>
                <w:szCs w:val="24"/>
                <w:color w:val="auto"/>
              </w:rPr>
            </w:pPr>
          </w:p>
        </w:tc>
        <w:tc>
          <w:tcPr>
            <w:tcW w:w="34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Years Ended December 31, 2024 and 2023 - By Operating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our EFT Processing Segment for the years ended December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23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00" w:type="dxa"/>
            <w:vAlign w:val="bottom"/>
            <w:vMerge w:val="restart"/>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6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5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5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0"/>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0"/>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0"/>
        </w:trPr>
        <w:tc>
          <w:tcPr>
            <w:tcW w:w="59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7"/>
        </w:trPr>
        <w:tc>
          <w:tcPr>
            <w:tcW w:w="5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4"/>
                <w:szCs w:val="24"/>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Transactions processed (millions)</w:t>
            </w: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0"/>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Active ATMs as of December 31</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0"/>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active ATMs</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EFT Processing Segment total revenues were $1,161.2 million for the year ended December 31, 2024, an increase of $102.9 million or 9.7% compared to the same period in 2023. Revenues increased for the year ended December 31, 2024 compared to the same period in 2023 due to an increase in average active ATMs, an increase in our most profitable international transactions driven by cross-border recovery levels, corresponding DCC and surcharge revenues and continued expansion to new markets. Foreign currency movements increased revenues by approximately $1.2 million for the year ended December 31, 2024, compared to the same period in 2023.</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per transaction was $0.10 for the year ended December 31, 2024, compared to $0.12 for the same period in 2023. The decrease in revenue per transaction was driven by an increase in high volume low value transactions initiated through digital wallets.</w:t>
      </w:r>
    </w:p>
    <w:p>
      <w:pPr>
        <w:spacing w:after="0" w:line="81" w:lineRule="exact"/>
        <w:rPr>
          <w:sz w:val="20"/>
          <w:szCs w:val="20"/>
          <w:color w:val="auto"/>
        </w:rPr>
      </w:pPr>
    </w:p>
    <w:p>
      <w:pPr>
        <w:ind w:right="800"/>
        <w:spacing w:after="0" w:line="422" w:lineRule="auto"/>
        <w:rPr>
          <w:sz w:val="20"/>
          <w:szCs w:val="20"/>
          <w:color w:val="auto"/>
        </w:rPr>
      </w:pPr>
      <w:r>
        <w:rPr>
          <w:rFonts w:ascii="Times New Roman" w:cs="Times New Roman" w:eastAsia="Times New Roman" w:hAnsi="Times New Roman"/>
          <w:sz w:val="18"/>
          <w:szCs w:val="18"/>
          <w:color w:val="auto"/>
        </w:rPr>
        <w:t xml:space="preserve">Average monthly revenues per ATM increased to $1,881 for the year ended December 31, 2024 compared to $1,797 for the same period in 2023. </w:t>
      </w:r>
      <w:r>
        <w:rPr>
          <w:rFonts w:ascii="Times New Roman" w:cs="Times New Roman" w:eastAsia="Times New Roman" w:hAnsi="Times New Roman"/>
          <w:sz w:val="18"/>
          <w:szCs w:val="18"/>
          <w:i w:val="1"/>
          <w:iCs w:val="1"/>
          <w:color w:val="auto"/>
        </w:rPr>
        <w:t>Direct operating costs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EFT Processing Segment direct operating costs were $605.4 million for the year ended December 31, 2024, an increase of $33.3 million or 5.8% compared to the same period in 2023.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 For the year ended December 31, 2024, the increase in direct operating costs was primarily due to the increase in transaction volumes, and costs associated with modifying our estate of ATMs. Foreign currency movements increased direct operating costs by approximately $0.4 million for the year ended December 31, 2024 compared to the same period in 2023.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$555.8 million for the year ended December 31, 2024, an increase of $69.6 million or 14.3% compared to $486.2 million for the same period in 2023. Gross profit as a percentage of revenues (“gross margin”) increased to 47.9% for the year ended December 31, 2024, compared to 45.9% for the same period in 2023. For the year ended December 31, 2024, the increase in gross profit was primarily driven by the revenue increase from additional transaction volumes into new geographies.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benefits expenses were $146.8 million for the year ended December 31, 2024, an increase of $20.3 million or 16.0% compared to the same period in 2023. The increase in salaries and benefits for the year ended December 31, 2024 compared to the same period in 2023 was primarily driven by an increased headcount. As a percentage of revenues, these expenses increased to 12.6% for the year ended December 31, 2024, compared to 12.0% for the same period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$55.1 million for the year ended December 31, 2024, a decrease of $3.7 million or 6.3% compared to the same period in 2023. As a percentage of revenues, these expenses decreased to 4.7% for the year ended December 31, 2024, compared to 5.6% for the same period in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were $97.9 million for the year ended December 31, 2024, an increase of $3.3 million or 3.5% compared to the same period in 2023. As a percentage of revenues, these expenses decreased to 8.4% for the year ended December 31, 2024, compared to 8.9% for the same period in 2023.</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EFT Processing Segment had operating income of $256.0 million for the year ended December 31, 2024, compared to operating income of $206.3 million in 2023, an increase of $49.7 million compared to the same period in 2023. Operating income as a percentage of revenues (“operating margin”) increased to 22.0% for the year ended December 31, 2024, compared to 19.5% for the same period in 2023. Operating income per transaction was $0.02 for the year ended December 31, 2024 and 20023, respectively. The increase in operating income was primarily driven by the increase in transactions.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our epay Segment for the years ended December 31,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244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8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5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24"/>
                <w:szCs w:val="24"/>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4"/>
                <w:szCs w:val="24"/>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Transactions processed (billions)</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4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epay Segment total revenues were $1,150.5 million for the year ended December 31, 2024, an increase of $68.1 million or 6.3% compared to the same period in 2023. Foreign currency movements decreased revenues by approximately $1.4 million for the year ended December 31, 2024, compared to the same period in 2023. The increase in revenues was driven by continued expansion of digital media and mobile sales. Revenues per transaction decreased to $0.26 for the year ended December 31, 2024, compared to $0.29 for the same period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epay Segment direct operating costs were $872.7 million for the year ended December 31, 2024, an increase of $53.6 million or 6.5% compared to the same period in 2023. Direct operating costs primarily consist of the commissions paid to retail merchants for the distribution and sale of prepaid mobile airtime and other prepaid products, expenses incurred to operate POS terminals and the cost of vouchers sold and physical gifts fulfilled. The increase in direct operating costs was primarily due to an increase in cost for transaction volumes of low-value mobile top-up transactions and an increase in retailer commissions. Foreign currency movements decreased these expenses by $0.9 million for the year ended December 31, 2024, compared to the same period in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was $277.8 million for the year ended December 31, 2024, an increase of $14.5 million or 5.5% compared to $263.3 million for the same period in 2023. Gross margin decreased to 24.1% for the year ended December 31, 2024, compared to 24.3% for the same period in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Salaries and benefits expenses were $102.0 million for the year ended December 31, 2024, an increase of $10.9 million or 12.0% compared to the same period in 2023. The increase in salaries and benefits was primarily driven by an increase in headcount to support the growth of the business. As a percentage of revenues, these expenses increased to 8.9% for the year ended December 31, 2024, compared to 8.4% for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$38.6 million for the year ended December 31, 2024, a decrease of $0.5 million or 1.3% compared to the same period in 2023. As a percentage of revenues, these expenses decreased to 3.4% for the year ended December 31, 2023, compared to 3.6% for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were $7.3 million for the year ended December 31, 2024, an increase of $0.4 million or 5.8% compared to the same period in 2023. Depreciation and amortization expense primarily represents depreciation of POS terminals we install in retail stores and amortization of acquired intangible assets. As a percentage of revenues, these expenses were 0.6% for the year ended December 31,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epay Segment operating income was $129.9 million for the year ended December 31, 2024, an increase of $3.7 million or 2.9% compared to the same period in 2023. Operating margin decreased to 11.3% for the year ended December 31, 2024, compared to 11.7% for the same period in 2023. Operating income per transaction was $0.03 for the year ended December 31, 2024, and 2023, respectively. The increase in operating income was primarily driven by the increase in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our Money Transfer Segment for the years ended December 31, 2024 and 2023:</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23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6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41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68"/>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1,555.2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0"/>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0"/>
        </w:trPr>
        <w:tc>
          <w:tcPr>
            <w:tcW w:w="4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6"/>
        </w:trPr>
        <w:tc>
          <w:tcPr>
            <w:tcW w:w="4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4"/>
                <w:szCs w:val="24"/>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4"/>
        </w:trPr>
        <w:tc>
          <w:tcPr>
            <w:tcW w:w="4100" w:type="dxa"/>
            <w:vAlign w:val="bottom"/>
            <w:tcBorders>
              <w:top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Transactions processed (millions)</w:t>
            </w:r>
          </w:p>
        </w:tc>
        <w:tc>
          <w:tcPr>
            <w:tcW w:w="16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59"/>
        </w:trPr>
        <w:tc>
          <w:tcPr>
            <w:tcW w:w="4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Money Transfer Segment total revenues were $1,686.5 million for the year ended December 31, 2024, an increase of $131.3 million or 8.4% compared to the same period in 2023. The increase in revenues was the result of 12% growth in U.S.-outbound transactions, 11% growth in international-originated money transfers and 16% growth in xe transactions, partially offset by a 14% decline in the intra-U.S. business. These transaction growth rates include 28% growth in direct-to-consumer digital transactions. Revenues per transaction decreased to $9.53 for the year ended December 31, 2024, compared to $9.62 for the same period in 2023. Foreign currency movements did not significantly impact revenues year-over-year.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Money Transfer Segment direct operating costs were $919.7 million for the year ended December 31, 2024, an increase of $80.2 million compared to the same period in 2023.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U.S. outbound and international-originated money transfer transactions and corresponding increase in agent commissions. Foreign currency movements did not significantly impact direct operating costs year-over-year.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$766.8 million for the year ended December 31, 2024, an increase of $51.1 million or 7.1% compared to $715.7 million for the same period in 2023. Gross margin decreased to 45.5% for the year ended December 31, 2024, compared to 46.0% for the same period in 2023. The increase in gross profit was primarily attributable to the increase in transaction volume and relative decrease of agent commissions for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Salaries and benefits expenses were $333.4 million for the year ended December 31, 2024, an increase of $22.9 million or 7.4% compared to the same period in 2023. The increase in salaries and benefits was primarily driven by an increase in headcount to support the growth of the business. As a percentage of revenues, these expenses decreased to 19.8% for the year ended December 31, 2024, compared to 20.0% for the same period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$206.4 million for the year ended December 31, 2024, an increase of $17.6 million or 9.3% compared to the same period in 2023. The increase in these expenses was primarily driven by an increase in advertising and promotions, bad debt expenses, product hardware, software, rent and utilities and travel-related expenses, partially offset by a decrease in professional fees. As a percentage of revenues, these expenses increased to 12.2% for the year ended December 31, 2024, compared to 12.1% for the same period in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$26.0 million for the year ended December 31, 2024, a decrease of $5.0 million or 16.1% compared to the same period in 2023. Depreciation and amortization primarily represent amortization of acquired intangible assets and depreciation of money transfer terminals, computers and software, leasehold improvements, and office equipment. As a percentage of revenues, these expenses decreased to 1.5% for the year ended December 31, 2024, compared to 2.0% for the same period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Money Transfer Segment operating income was $201.0 million for the year ended December 31, 2024, an increase of $15.6 million or 8.4% compared to the same period in 2023. Operating margin was 11.9% for the year ended December 31, 2024 and 2023, respectively. Operating income per transaction decreased to $1.14 for the year ended December 31, 2024, compared to $1.15 for the same period in 2023. The increase in operating income for the year ended December 31, 2024 compared to the same period in 2023 was primarily driven by the increase in transaction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Corporate Services for the years ended December 31, 2024 and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244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3"/>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3"/>
        </w:trPr>
        <w:tc>
          <w:tcPr>
            <w:tcW w:w="5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5"/>
                <w:szCs w:val="15"/>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95"/>
        </w:trPr>
        <w:tc>
          <w:tcPr>
            <w:tcW w:w="5920" w:type="dxa"/>
            <w:vAlign w:val="bottom"/>
            <w:gridSpan w:val="2"/>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0"/>
                <w:szCs w:val="10"/>
                <w:color w:val="auto"/>
              </w:rPr>
              <w:t>(1.5</w:t>
            </w:r>
          </w:p>
        </w:tc>
        <w:tc>
          <w:tcPr>
            <w:tcW w:w="1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Corporate operating expenses were $83.8 million for the year ended December 31, 2024, a decrease of $1.5 million or 1.8%, compared to the same period in 2023. The decrease was primarily due to a decrease in share-based compensation and bonuses for the year ended December 31, 2024, compared to the same period in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760" w:type="dxa"/>
            <w:vAlign w:val="bottom"/>
          </w:tcPr>
          <w:p>
            <w:pPr>
              <w:spacing w:after="0"/>
              <w:rPr>
                <w:sz w:val="16"/>
                <w:szCs w:val="16"/>
                <w:color w:val="auto"/>
              </w:rPr>
            </w:pPr>
          </w:p>
        </w:tc>
        <w:tc>
          <w:tcPr>
            <w:tcW w:w="26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76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9"/>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300" w:type="dxa"/>
            <w:vAlign w:val="bottom"/>
            <w:tcBorders>
              <w:top w:val="single" w:sz="8" w:color="auto"/>
            </w:tcBorders>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00" w:type="dxa"/>
            <w:vAlign w:val="bottom"/>
            <w:tcBorders>
              <w:top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3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0"/>
        </w:trPr>
        <w:tc>
          <w:tcPr>
            <w:tcW w:w="576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Amount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Percent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tcPr>
          <w:p>
            <w:pPr>
              <w:spacing w:after="0"/>
              <w:rPr>
                <w:sz w:val="23"/>
                <w:szCs w:val="23"/>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(loss) / gain, net</w:t>
            </w:r>
          </w:p>
        </w:tc>
        <w:tc>
          <w:tcPr>
            <w:tcW w:w="1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3"/>
                <w:szCs w:val="23"/>
                <w:color w:val="auto"/>
              </w:rPr>
            </w:pP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gains, net</w:t>
            </w:r>
          </w:p>
        </w:tc>
        <w:tc>
          <w:tcPr>
            <w:tcW w:w="13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3"/>
                <w:szCs w:val="23"/>
                <w:color w:val="auto"/>
              </w:rPr>
            </w:pPr>
          </w:p>
        </w:tc>
      </w:tr>
      <w:tr>
        <w:trPr>
          <w:trHeight w:val="264"/>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7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interest expense increased in 2024 compared to 2023 due to an increase in the variable interest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net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color w:val="auto"/>
        </w:rPr>
        <w:t>56.6%</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(24.9)</w:t>
      </w:r>
      <w:r>
        <w:rPr>
          <w:sz w:val="20"/>
          <w:szCs w:val="20"/>
          <w:color w:val="auto"/>
        </w:rPr>
        <w:tab/>
      </w:r>
      <w:r>
        <w:rPr>
          <w:rFonts w:ascii="Times New Roman" w:cs="Times New Roman" w:eastAsia="Times New Roman" w:hAnsi="Times New Roman"/>
          <w:sz w:val="17"/>
          <w:szCs w:val="17"/>
          <w:color w:val="auto"/>
        </w:rPr>
        <w:t>44.8%</w:t>
      </w:r>
    </w:p>
    <w:p>
      <w:pPr>
        <w:spacing w:after="0" w:line="6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7"/>
          <w:szCs w:val="17"/>
          <w:color w:val="auto"/>
        </w:rPr>
        <w:t>(338.8)%</w:t>
      </w:r>
    </w:p>
    <w:p>
      <w:pPr>
        <w:spacing w:after="0" w:line="63"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10,650.0%</w:t>
      </w:r>
    </w:p>
    <w:p>
      <w:pPr>
        <w:spacing w:after="0" w:line="63"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7"/>
          <w:szCs w:val="17"/>
          <w:color w:val="auto"/>
        </w:rPr>
        <w:t>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43180</wp:posOffset>
            </wp:positionV>
            <wp:extent cx="8826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102" w:lineRule="exact"/>
        <w:rPr>
          <w:sz w:val="20"/>
          <w:szCs w:val="20"/>
          <w:color w:val="auto"/>
        </w:rPr>
      </w:pPr>
    </w:p>
    <w:p>
      <w:pPr>
        <w:sectPr>
          <w:pgSz w:w="11900" w:h="16838" w:orient="portrait"/>
          <w:cols w:equalWidth="0" w:num="2">
            <w:col w:w="8720" w:space="720"/>
            <w:col w:w="1800"/>
          </w:cols>
          <w:pgMar w:left="320" w:top="495" w:right="339" w:bottom="1440" w:gutter="0" w:footer="0" w:header="0"/>
          <w:type w:val="continuous"/>
        </w:sectPr>
      </w:pP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net foreign currency exchange loss of $19.1 million for the year ended December 31, 2024, compared to a net foreign currency exchange gain of $8.0 million for the same period in 2023. These realized and unrealized foreign currency exchange gains and losses reflect the fluctuation in the value of the U.S. dollar against the currencies of the countries in which we operated during the respective periods.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rates as reported and as adjusted are calculated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0"/>
        </w:trPr>
        <w:tc>
          <w:tcPr>
            <w:tcW w:w="8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8"/>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400.4</w:t>
            </w:r>
          </w:p>
        </w:tc>
      </w:tr>
      <w:tr>
        <w:trPr>
          <w:trHeight w:val="243"/>
        </w:trPr>
        <w:tc>
          <w:tcPr>
            <w:tcW w:w="8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(120.9)</w:t>
            </w:r>
          </w:p>
        </w:tc>
      </w:tr>
      <w:tr>
        <w:trPr>
          <w:trHeight w:val="27"/>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279.5</w:t>
            </w: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0"/>
        </w:trPr>
        <w:tc>
          <w:tcPr>
            <w:tcW w:w="8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7"/>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400.4</w:t>
            </w:r>
          </w:p>
        </w:tc>
      </w:tr>
      <w:tr>
        <w:trPr>
          <w:trHeight w:val="243"/>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 Other gains, net</w:t>
            </w:r>
          </w:p>
        </w:tc>
        <w:tc>
          <w:tcPr>
            <w:tcW w:w="320" w:type="dxa"/>
            <w:vAlign w:val="bottom"/>
          </w:tcPr>
          <w:p>
            <w:pPr>
              <w:spacing w:after="0"/>
              <w:rPr>
                <w:sz w:val="21"/>
                <w:szCs w:val="21"/>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8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 Foreign currency exchange gain (loss),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8.0</w:t>
            </w:r>
          </w:p>
        </w:tc>
      </w:tr>
      <w:tr>
        <w:trPr>
          <w:trHeight w:val="297"/>
        </w:trPr>
        <w:tc>
          <w:tcPr>
            <w:tcW w:w="8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Income before income taxes, as adjusted</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392.2</w:t>
            </w:r>
          </w:p>
        </w:tc>
      </w:tr>
      <w:tr>
        <w:trPr>
          <w:trHeight w:val="237"/>
        </w:trPr>
        <w:tc>
          <w:tcPr>
            <w:tcW w:w="8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(120.9)</w:t>
            </w:r>
          </w:p>
        </w:tc>
      </w:tr>
      <w:tr>
        <w:trPr>
          <w:trHeight w:val="243"/>
        </w:trPr>
        <w:tc>
          <w:tcPr>
            <w:tcW w:w="8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 Income tax attributable to foreign currency exchange gain (loss), net</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as adjusted</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(125.6)</w:t>
            </w: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8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Effective income tax rate, as adjusted</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our effective income tax rate by dividing income tax expense by pre-tax book income. Our effective income tax rates were 31.8% and 30.2% for the years ended December 31, 2024 and 2023, respectively. The effective income tax rates were influenced by the impact of foreign currency exchange gains (losses). Excluding foreign currency exchange gains (losses) as well as the related tax effects for these items, our adjusted effective income tax rates were 30.0% and 32.0% for the years ended December 31, 2024 and 2023, respectively.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income tax rate, as adjusted, for 2024 was higher than the applicable statutory income tax rate of 21% primarily because of certain foreign earnings being subject to higher local statutory tax rates. The effective income tax rate, as adjusted, for 2023 was higher than the applicable statutory income tax rate of 21% primarily because of the projected utilization of U.S. tax benefits, and certain foreign earnings being subject to higher local statutory tax rates. 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before income taxes, as adjusted, income tax expense, as adjusted and effective income tax rate, as adjusted, are non-U.S. GAAP financial measures that management believes are useful for understanding why our effective income tax rates are significantly different than would be expected. These non-U.S. GAAP measures are used by management to conduct and evaluate its business during its regular review of operating results for the periods presented.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Our total liability for uncertain tax positions under Accounting Standards Codification ("ASC") 740-10-25 and -30 was $48.6 million as of December 31, 2024.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elimination of net income or loss attributable to the minority shareholders' portion of the following consolidated subsidiaries that are not wholly owned: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6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w:t>
            </w:r>
          </w:p>
        </w:tc>
        <w:tc>
          <w:tcPr>
            <w:tcW w:w="260" w:type="dxa"/>
            <w:vAlign w:val="bottom"/>
          </w:tcPr>
          <w:p>
            <w:pPr>
              <w:spacing w:after="0"/>
              <w:rPr>
                <w:sz w:val="16"/>
                <w:szCs w:val="16"/>
                <w:color w:val="auto"/>
              </w:rPr>
            </w:pPr>
          </w:p>
        </w:tc>
        <w:tc>
          <w:tcPr>
            <w:tcW w:w="40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b w:val="1"/>
                <w:bCs w:val="1"/>
                <w:color w:val="auto"/>
              </w:rPr>
              <w:t>Segment - Country</w:t>
            </w:r>
          </w:p>
        </w:tc>
      </w:tr>
      <w:tr>
        <w:trPr>
          <w:trHeight w:val="242"/>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China</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1"/>
                <w:szCs w:val="21"/>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EFT - China</w:t>
            </w:r>
          </w:p>
        </w:tc>
      </w:tr>
      <w:tr>
        <w:trPr>
          <w:trHeight w:val="27"/>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Euronet Pakistan</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 Pakistan</w:t>
            </w:r>
          </w:p>
        </w:tc>
      </w:tr>
      <w:tr>
        <w:trPr>
          <w:trHeight w:val="243"/>
        </w:trPr>
        <w:tc>
          <w:tcPr>
            <w:tcW w:w="4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Latam ATM Solutions</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1"/>
                <w:szCs w:val="21"/>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EFT - South America</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Euronet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attributable to Euronet was $306.0 million for the year ended December 31, 2024, an increase of $26.3 million compared to net income in the same period in 2023. For the year ended December 31, 2024, the increase in net income was primarily attributable to the $135.3 million increase in gross profit driven by an increase in transaction volumes across all three segments and an increase in other gains of $21.3 million, partially offset by a $47.3 million increase in salaries and benefits, a $27.1 million foreign currency exchange loss, a $16.3 million increase in interest expenses and a $21.7 million increase in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Adjustment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Translation gains and losses are the result of translating our foreign entities' balance sheets from local functional currency to the U.S. dollar reporting currency prior to consolidation and are recorded in comprehensive (loss)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 net loss on translation adjustments of $117.8 million for 2024 and a net gain of $47.9 million for 2023. In 2024, the U.S. dollar strengthened compared to key foreign currencies, resulting in translation losses which were recorded in comprehensive (loss) income. In 2023, the U.S. dollar weakened compared to key foreign currencies, resulting in translation gains which were recorded in comprehensive (loss)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working capital of $810.5 million, which is calculated as the difference between total current assets and total current liabilities, compared to working capital of $1,462.1 million as of December 31, 2023. The decrease in working capital was due to several changes in working capital line items, mainly due to 2023 ending in the weekend, which increased funding needs for our money transfer agents. 2024 ended on a Tuesday, which impacted our working capital line items positively as balances were settled before year-end. Our ratio of current assets to current liabilities was 1.25 and 1.54 at December 31, 2024 and December 31, 2023, respectively.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December 31, 2024, we had approximately $643.8 million of our own cash in use or designated for use in our ATM network, which is recorded in ATM cash on Euronet's Consolidated Balance Sheets. ATM cash increased $118.6 million from $525.2 million as of December 31, 2023 to $643.8 million as of December 31, 2024.</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$1,278.8 million of unrestricted cash as of December 31, 2024 compared to $1,254.2 million as of December 31, 2023. The Company has access to $2,289.8 million in available cash, and $1,335.1 million available under the Company's revolving credit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restricted cash of $2,488.2 million as of December 31, 2024, of which $2.064.7 million was held outside of the U.S. and is expected to be indefinitely reinvested for continued use in foreign operations. Repatriation of these assets to the U.S. could have negative tax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millions):</w:t>
      </w:r>
    </w:p>
    <w:p>
      <w:pPr>
        <w:spacing w:after="0" w:line="250"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38735</wp:posOffset>
            </wp:positionV>
            <wp:extent cx="17830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50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provided by (used 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643.1</w:t>
            </w:r>
          </w:p>
        </w:tc>
      </w:tr>
      <w:tr>
        <w:trPr>
          <w:trHeight w:val="27"/>
        </w:trPr>
        <w:tc>
          <w:tcPr>
            <w:tcW w:w="8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43"/>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7"/>
        </w:trPr>
        <w:tc>
          <w:tcPr>
            <w:tcW w:w="8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 and restricted cash</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57"/>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Increase/(Decrease) in cash and cash equivalents and restricted cash</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256.2</w:t>
            </w:r>
          </w:p>
        </w:tc>
      </w:tr>
      <w:tr>
        <w:trPr>
          <w:trHeight w:val="20"/>
        </w:trPr>
        <w:tc>
          <w:tcPr>
            <w:tcW w:w="8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flows provided by operating activities were $732.8 million for the year ended December 31, 2024 compared to $643.1 million for the same period in 2023. The increase in operating cash flows was primarily due to the increase in net income, increase in unrealized foreign exchange results and increase in working capital, partially offset by a decrease in the changes in non-current assets and liabilities.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$223.3 million for the year ended December 31, 2024 compared to $157.6 million for the same period in 2023. We used $117.2 million for purchases of property and equipment for the year ended December 31, 2024 compared to $94.4 million for the same period in 2023. We used $91.6 million for acquisitions in 2024 and there were no material acquisitions in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flows used in financing activities were $135.7 million for the year ended December 31, 2024 compared to $143.2 million for the same period in 2023. The decrease in cash used in financing activities was primarily the result of the $120.3 million net borrowings on debt obligations/credit agreements for the year ended December 31, 2024 compared to $229.4 million for the same period in 2023. We repurchased $265.2 million of common stock during the year ended December 31, 2024 compared to repurchases of $378.4 million for the same period in 2023. We received proceeds of $17.2 million and $7.8 million during the year ended December 31, 2024 and 2023, respectively, for the issuance of stock in connection with our Stock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xml:space="preserve"> - 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USD borrowing tranche totaling $215 million. The amended Credit Facility also removes the credit spread adjustment on SOFR and SONIA borrowings. All other terms remain substantially the same as the previous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Borrowings under the Revolving Credit Facility (other than swing line loans) bear interest on a margin over a secured financing rate or the base rate, as selected by the Company, which varies from 0.875% to 1.375%, in each case based on the Company’s current credit rating. The applicable margin for borrowings under the Credit Facility, based on the Company’s current credit rating is 1.075%. In addition, the Company pays a facility fee on the total commitments made under the Revolving Credit Facility, which varies from 0.125% to 0.250%. The current facility fee is 0.175%. As of December 31, 2024 and 2023, the stand-by letters of credit interest charges were each 1.25% per annum. Borrowing capacity under the Credit Facility as of December 31, 2024 was $1,335.1 million. The weighted-average interest rate of the Company's borrowings under the Credit Facility from January 1, 2024 to December 31, 2024 was 6.39%.</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Uncommitted Line of Credit</w:t>
      </w:r>
      <w:r>
        <w:rPr>
          <w:rFonts w:ascii="Times New Roman" w:cs="Times New Roman" w:eastAsia="Times New Roman" w:hAnsi="Times New Roman"/>
          <w:sz w:val="18"/>
          <w:szCs w:val="18"/>
          <w:color w:val="auto"/>
        </w:rPr>
        <w:t xml:space="preserve"> - On June 21, 2024, the Company rolled its existing $150 million Uncommitted Loan Agreement into a new Uncommitted Loan Agreement with a $400 million credit limit through September 30, 2024, and a credit limit of $250 million thereafter for the sole purpose of providing vault cash for ATMs and expires no later than June 20, 2025. The loan had an outstanding balance of $250 million at December 31, 2024. The loan is a Prime Rate Loan, a Daily SOFR Rate Loan plus 1.05% or shall bear interest at the rate agreed to by the Bank and the Company at the time such Loan is made. The weighted-average interest rate from loan inception date to December 31, 2024, was 6.07%.</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 The Company has a March 15, 2025 put date on the $525 million Convertible Notes, requiring us to issue a notice informing the market of this put date. Given current bond trading levels and our share price, we anticipate that bondholders will exercise their put option and as a result the Convertible Notes are classified as short-term obligations. As noted above, the holders of the Convertible Notes have the option to require the Company to repurchase their Convertible Notes on March 15, 2025. Given current bond trading levels and the Company’s share price, the Company anticipates that holders of the Convertible Notes will exercise their repurchase option and as a result the Convertible Notes are classified as short-term obligations on the Consolidated Balance Sheet as of December 31, 2024.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xml:space="preserve"> - On May 22, 2019, we completed the sale of €600 million ($669.9 million) aggregate principal amount of Senior Notes that mature in May 2026 (the "Senior Notes"). The Senior Notes accrue interest at a rate of 1.375% per year, payable annually in arrears commencing May 22, 2020, until maturity or earlier redemption. As of December 31, 2024, we have outstanding €600 million ($621.5 million) principal amount of the Senior Notes. In addition, the Company may redeem some or all of these notes on or after February 22, 2026 at their principal amount plus any accrued and unpaid interest. As of December 31, 2024, we had $1.7 million of unamortized debt issuance costs related to the Senior Notes.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our subsidiaries have available credit lines and overdraft facilities to generally supplement short-term working capital requirements, when necessary. There were $37.7 million and $0.3 million outstanding under these other obligation arrangements as of December 31, 2024 and December 31, 2023. On October 9, 2024, the Company completed a facility of MYR 140 million and an overdraft facility of MYR 100 million for its Malaysian business. Each advance under this facility shall be made for a term of 1 month or such other period of up to 12 months. As of December 31, 2024 $37.4 million was borrowed under this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Total capital expenditures for 2024 were $117.2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2025 are currently estimated to be approximately $85 million to $95 million.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Contractual lease obligations</w:t>
      </w:r>
      <w:r>
        <w:rPr>
          <w:rFonts w:ascii="Times New Roman" w:cs="Times New Roman" w:eastAsia="Times New Roman" w:hAnsi="Times New Roman"/>
          <w:sz w:val="18"/>
          <w:szCs w:val="18"/>
          <w:color w:val="auto"/>
        </w:rPr>
        <w:t xml:space="preserve"> — We have entered into contractually binding operating and finance lease commitments to operate the business. Operating lease expenses were $51.6 million and $50.1 million for the years ended December 31, 2024 and 2023, respectively. Finance lease expenses were not material for 2024 or 2023. For additional information on operating and finance lease obligations, see Note 14, Leases, to the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plan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repurchase program, initiated on September 13, 2022, to repurchase up to $350 million in value, but not more than 7.0 million shares of common stock through September 13, 2024, has been completed. During 2024, we repurchased 850,528 shares under the repurchase program at a weighted average purchase price of $113.63 for a total value of $96.6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13, 2023, the Company initiated a repurchase program to repurchase up to $350 million in value, but not more than 7.0 million shares of common stock through September 13, 2025. During 2024, we repurchased 1,625,005 shares under the repurchase program at a weighted average purchase price of $103.73 for a total value of $168.6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11, 2024, the Company initiated a repurchase program to repurchase up to $350 million in value, but not more than 7.0 million shares of common stock through September 11, 2026. During 2024, the Company did not repurchase shares under this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Repurchases under the programs may take place in the open market or in privately negotiated transactions, including derivative transactions, and may be made under a Rule 10b5-1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Inflation Reduction Act (IRA) was signed into law in August 2022. Among other things, it imposes a 1% excise tax on net share repurchases.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countries in which we operate have experienced low and stable inflation in recent years, further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certain significant off-balance sheet items described in Note 21, Commitments, to the Consolidated Financial Statements. 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and potential impairment of intangible assets and goodwill.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Summary of Significant Accounting Policies and Practices, to the accompanying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deferred income tax effects of transactions reported in different periods for financial reporting and income tax return purposes are recorded under the asset and liability method prescribed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This method gives consideration to the future tax consequences of deferred income or expense items and immediately recognizes changes in income tax laws upon enactment. The consolidated statement of operations effect is generally derived from changes in deferred income taxes, net of valuation allowances, on the balance sheet as measured by differences in the book and tax bases of our assets and liabilities.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 or group of entities', ability to generate sufficient taxable income within an appropriate period, in a specific tax jurisdiction.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recognition of deferred tax assets, we consider whether it is more likely than not that some portion or all of the deferred tax assets will be realized. As more fully described in Note 15, Income Taxes, to the Consolidated Financial Statements, gross deferred tax assets were $225.0 million as of December 31, 2024, partially offset by a valuation allowance of $75.0 million. The ultimate realization of deferred tax assets is dependent upon the generation of future taxable income during the periods in which those temporary differences become deductible. We make judgments and estimates on the scheduled reversal of deferred tax liabilities, historical and projected future taxable income in each country in which we operate, and tax planning strategies in making this assessment.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2024.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 estimating fair values. The use of different valuation techniques and assumptions could change the amounts and useful lives assigned to the assets and liabilities acquired and related amortization expense.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evaluate the carrying value of our indefinite-lived assets, including goodwill, at least annually or more frequently whenever events or changes in circumstances indicate that the asset may be impaired, or in the case of goodwill, that the fair value of the reporting unit may be less than its carrying amount. Our annual impairment tests are performed during the fourth quarter and are performed at the reporting unit level. Our annual process for evaluating goodwill allows us to perform a qualitative assessment for all reporting units, and then perform a quantitative goodwill impairment test for those reporting units in which it is deemed necessary. The qualitative factors evaluated by the Company include: economic conditions of the local business environment, overall financial performance, sensitivity analysis from the most recent quantitative test, and other entity specific factors as deemed appropriate. If we determine a quantitative goodwill impairment test is appropriate, the test involves comparing the fair value of a reporting unit to its carrying amount, including goodwill, after any long-lived asset impairment charges. Generally, the fair value is determined using discounted projected future cash flows and market multiple of earnings. If the carrying amount of the reporting unit exceeds the fair value of the reporting unit, a goodwill impairment loss is recognized in an amount equal to the excess.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material non-cash impairment charges during the year in which these determinations take place.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Acquired finite-lived intangible assets are amortized over their estimated useful lives. We evaluate the recoverability of our finite-intangible assets, as a part of our long-lived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The recoverability of these assets is measured by a comparison of the carrying amounts to the future undiscounted cash flows the assets are expected to generate. If such review indicates that the carrying amount of intangible assets is not recoverable, the carrying amount of such assets is reduced to its fair value. In addition to the recoverability assessment, we routinely review the remaining estimated useful lives of our finite-lived intangible assets. If we reduce the estimated useful life assumption for any asset, the remaining unamortized balance would be amortized over the revised estimated useful life.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Consolidated Balance Sheet includes goodwill of $859.2 million and acquired intangible assets, net of accumulated amortization, of $188.9 million. For the year ended December 31, 2024, no impairment of goodwill or acquired intangible assets has been identified.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right="1220"/>
        <w:spacing w:after="0" w:line="438" w:lineRule="auto"/>
        <w:rPr>
          <w:sz w:val="20"/>
          <w:szCs w:val="20"/>
          <w:color w:val="auto"/>
        </w:rPr>
      </w:pPr>
      <w:r>
        <w:rPr>
          <w:rFonts w:ascii="Times New Roman" w:cs="Times New Roman" w:eastAsia="Times New Roman" w:hAnsi="Times New Roman"/>
          <w:sz w:val="18"/>
          <w:szCs w:val="18"/>
          <w:color w:val="auto"/>
        </w:rPr>
        <w:t xml:space="preserve">See Item 8 of Part II, "Financial Statements and Supplementary Data - Note 3 - Summary of Significant Accounting Policies and Practices.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document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impact of the pandemics, including its variants on our results of operations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pandemics; inflation; the war in Ukraine and the Middle East and the related economic sanctions; our ability to successfully integrate any acquired operations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Any forward-looking statements made in this Form 10-K speak only as of the date of this report. Except as required by law, we do not intend, and do not undertake, any obligation to update any forward-looking statements to reflect future events or circumstances after the date of such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2024, our total debt outstanding, excluding unamortized debt issuance costs, was $1,954.6 million. Of this amount, $525 million, or 27% of our total debt obligations, relates to our Convertible Notes that have a fixed coupon rate. Our $525.0 million outstanding principal amount of Convertible Notes accrues cash interest at a rate of 0.75% of the principal amount per annum. Based on quoted market prices, as of December 31, 2024, the fair value of our fixed rate Convertible Notes was $515.4 million, compared to a carrying value of $525.0 million. Further, as of December 31, 2024, we had $520.4 million outstanding under our Credit Facility, or 27% of our total debt obligations. If we were to maintain these borrowings for one year and maximize the potential borrowings available under the revolving credit facility for one year, a 1% (100 basis points) increase in the applicable interest rate would result in additional interest expense to the Company of approximately $19 million. The carrying value of the Credit Facility approximates fair value because interest as of December 31, 2024, was based on Secured Overnight Financing Rate (SOFR) that reset at various intervals of less than one year. Additionally, $621.5 million, or 32% of our total debt obligations, relates to Senior Notes having a fixed coupon rate. Our €600.0 million outstanding principal amount of Senior Notes accrues cash interest at a rate of 1.375% of the principal per annum. Based on quoted market prices, as of December 31, 2024, the fair value of our fixed rate Senior Notes was $604.8 million, compared to a carrying value of $621.5 million. Also, $250.0 million, or 13% of our total debt obligations, relates to an Uncommitted Loan Agreement, fully drawn and outstanding at December 31, 2024, for the sole purpose of providing vault cash for ATMs, that expires no later than June 20, 2025. The loan is a Prime Rate Loan, a Daily SOFR Rate Loan plus 1.05% or shall bear interest at the rate agreed to by the Bank and the Company at the time such loan is made. The remaining $37.7 million, or less than 2% of our total debt obligations, is related to borrowings by certain subsidiaries to fund, from time to time, working capital requirements.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76% of our revenues were generated in non-U.S. dollar countries. We expect to continue generating a significant portion of our revenues in countries with currencies other than the U.S. dollar.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December 31, 2024, we estimate that a 10% fluctuation in these foreign currency exchange rates would have the combined annualized effect on reported net income and working capital of approximately $115 million to $125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(loss) income of approximately ($80) million to ($90) million as a result of the change in value of these items during translation to the U.S. dollar. For the fluctuations described above, a strengthening U.S. dollar produces a financial loss, while a weakening U.S. dollar produces a financial gain.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 December 31, 2024, we had foreign currency derivative contracts outstanding with a notional value of $281.5 million, primarily in Australian dollars, British pounds, Canadian dollars, euros and Mexican pesos, that were not designated as hedges and mature within a few days.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 December 31, 2024, we held foreign currency derivative contracts outstanding with a notional value of $0.9 billion, primarily in U.S. dollars, euros, British pounds, Australian dollars, and New Zealand dollars, that were not designated as hedges and for which the majority mature within the next twelve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 and liability positions. As of December 31, 2024, the Company had foreign currency forward contracts outstanding with a notional value of $710.4 million, primarily in euros.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Derivative Instruments and Hedging Activities to our Consolidated Financial Statements for additional information.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824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0" w:type="dxa"/>
            <w:vAlign w:val="bottom"/>
            <w:gridSpan w:val="3"/>
          </w:tcPr>
          <w:p>
            <w:pPr>
              <w:jc w:val="center"/>
              <w:ind w:left="225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96"/>
        </w:trPr>
        <w:tc>
          <w:tcPr>
            <w:tcW w:w="82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500" w:type="dxa"/>
            <w:vAlign w:val="bottom"/>
          </w:tcPr>
          <w:p>
            <w:pPr>
              <w:spacing w:after="0"/>
              <w:rPr>
                <w:sz w:val="17"/>
                <w:szCs w:val="17"/>
                <w:color w:val="auto"/>
              </w:rPr>
            </w:pPr>
          </w:p>
        </w:tc>
        <w:tc>
          <w:tcPr>
            <w:tcW w:w="34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57</w:t>
            </w:r>
          </w:p>
        </w:tc>
        <w:tc>
          <w:tcPr>
            <w:tcW w:w="160" w:type="dxa"/>
            <w:vAlign w:val="bottom"/>
          </w:tcPr>
          <w:p>
            <w:pPr>
              <w:spacing w:after="0"/>
              <w:rPr>
                <w:sz w:val="17"/>
                <w:szCs w:val="17"/>
                <w:color w:val="auto"/>
              </w:rPr>
            </w:pPr>
          </w:p>
        </w:tc>
      </w:tr>
      <w:tr>
        <w:trPr>
          <w:trHeight w:val="196"/>
        </w:trPr>
        <w:tc>
          <w:tcPr>
            <w:tcW w:w="358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FINANCIAL STATEMENTS</w:t>
            </w:r>
          </w:p>
        </w:tc>
        <w:tc>
          <w:tcPr>
            <w:tcW w:w="640" w:type="dxa"/>
            <w:vAlign w:val="bottom"/>
            <w:tcBorders>
              <w:top w:val="single" w:sz="8" w:color="0000EE"/>
            </w:tcBorders>
            <w:gridSpan w:val="6"/>
          </w:tcPr>
          <w:p>
            <w:pPr>
              <w:spacing w:after="0"/>
              <w:rPr>
                <w:sz w:val="17"/>
                <w:szCs w:val="17"/>
                <w:color w:val="auto"/>
              </w:rPr>
            </w:pPr>
          </w:p>
        </w:tc>
        <w:tc>
          <w:tcPr>
            <w:tcW w:w="4020" w:type="dxa"/>
            <w:vAlign w:val="bottom"/>
            <w:gridSpan w:val="6"/>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Pr>
          <w:p>
            <w:pPr>
              <w:spacing w:after="0"/>
              <w:rPr>
                <w:sz w:val="17"/>
                <w:szCs w:val="17"/>
                <w:color w:val="auto"/>
              </w:rPr>
            </w:pPr>
          </w:p>
        </w:tc>
      </w:tr>
      <w:tr>
        <w:trPr>
          <w:trHeight w:val="196"/>
        </w:trPr>
        <w:tc>
          <w:tcPr>
            <w:tcW w:w="29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BALANCE SHEETS</w:t>
            </w:r>
          </w:p>
        </w:tc>
        <w:tc>
          <w:tcPr>
            <w:tcW w:w="5260" w:type="dxa"/>
            <w:vAlign w:val="bottom"/>
            <w:gridSpan w:val="14"/>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Pr>
          <w:p>
            <w:pPr>
              <w:spacing w:after="0"/>
              <w:rPr>
                <w:sz w:val="17"/>
                <w:szCs w:val="17"/>
                <w:color w:val="auto"/>
              </w:rPr>
            </w:pPr>
          </w:p>
        </w:tc>
      </w:tr>
      <w:tr>
        <w:trPr>
          <w:trHeight w:val="196"/>
        </w:trPr>
        <w:tc>
          <w:tcPr>
            <w:tcW w:w="39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7"/>
              </w:rPr>
              <w:t>CONSOLIDATED STATEMENTS OF OPERATIONS</w:t>
            </w:r>
          </w:p>
        </w:tc>
        <w:tc>
          <w:tcPr>
            <w:tcW w:w="4260" w:type="dxa"/>
            <w:vAlign w:val="bottom"/>
            <w:gridSpan w:val="8"/>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tcPr>
          <w:p>
            <w:pPr>
              <w:spacing w:after="0"/>
              <w:rPr>
                <w:sz w:val="17"/>
                <w:szCs w:val="17"/>
                <w:color w:val="auto"/>
              </w:rPr>
            </w:pPr>
          </w:p>
        </w:tc>
      </w:tr>
      <w:tr>
        <w:trPr>
          <w:trHeight w:val="196"/>
        </w:trPr>
        <w:tc>
          <w:tcPr>
            <w:tcW w:w="824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 INCOME</w:t>
            </w: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spacing w:after="0"/>
              <w:rPr>
                <w:sz w:val="17"/>
                <w:szCs w:val="17"/>
                <w:color w:val="auto"/>
              </w:rPr>
            </w:pPr>
          </w:p>
        </w:tc>
      </w:tr>
      <w:tr>
        <w:trPr>
          <w:trHeight w:val="196"/>
        </w:trPr>
        <w:tc>
          <w:tcPr>
            <w:tcW w:w="4680" w:type="dxa"/>
            <w:vAlign w:val="bottom"/>
            <w:tcBorders>
              <w:top w:val="single" w:sz="8" w:color="0000EE"/>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CHANGES IN EQUITY</w:t>
            </w:r>
          </w:p>
        </w:tc>
        <w:tc>
          <w:tcPr>
            <w:tcW w:w="1060" w:type="dxa"/>
            <w:vAlign w:val="bottom"/>
            <w:tcBorders>
              <w:top w:val="single" w:sz="8" w:color="0000EE"/>
            </w:tcBorders>
          </w:tcPr>
          <w:p>
            <w:pPr>
              <w:spacing w:after="0"/>
              <w:rPr>
                <w:sz w:val="17"/>
                <w:szCs w:val="17"/>
                <w:color w:val="auto"/>
              </w:rPr>
            </w:pPr>
          </w:p>
        </w:tc>
        <w:tc>
          <w:tcPr>
            <w:tcW w:w="2500" w:type="dxa"/>
            <w:vAlign w:val="bottom"/>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tcPr>
          <w:p>
            <w:pPr>
              <w:spacing w:after="0"/>
              <w:rPr>
                <w:sz w:val="17"/>
                <w:szCs w:val="17"/>
                <w:color w:val="auto"/>
              </w:rPr>
            </w:pPr>
          </w:p>
        </w:tc>
      </w:tr>
      <w:tr>
        <w:trPr>
          <w:trHeight w:val="196"/>
        </w:trPr>
        <w:tc>
          <w:tcPr>
            <w:tcW w:w="40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4220" w:type="dxa"/>
            <w:vAlign w:val="bottom"/>
            <w:gridSpan w:val="7"/>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64</w:t>
            </w:r>
          </w:p>
        </w:tc>
        <w:tc>
          <w:tcPr>
            <w:tcW w:w="160" w:type="dxa"/>
            <w:vAlign w:val="bottom"/>
          </w:tcPr>
          <w:p>
            <w:pPr>
              <w:spacing w:after="0"/>
              <w:rPr>
                <w:sz w:val="17"/>
                <w:szCs w:val="17"/>
                <w:color w:val="auto"/>
              </w:rPr>
            </w:pPr>
          </w:p>
        </w:tc>
      </w:tr>
      <w:tr>
        <w:trPr>
          <w:trHeight w:val="196"/>
        </w:trPr>
        <w:tc>
          <w:tcPr>
            <w:tcW w:w="44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TO CONSOLIDATED FINANCIAL STATEMENTS</w:t>
            </w:r>
          </w:p>
        </w:tc>
        <w:tc>
          <w:tcPr>
            <w:tcW w:w="3760" w:type="dxa"/>
            <w:vAlign w:val="bottom"/>
            <w:gridSpan w:val="4"/>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980" w:type="dxa"/>
            <w:vAlign w:val="bottom"/>
            <w:tcBorders>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Organization</w:t>
            </w:r>
          </w:p>
        </w:tc>
        <w:tc>
          <w:tcPr>
            <w:tcW w:w="6880" w:type="dxa"/>
            <w:vAlign w:val="bottom"/>
            <w:gridSpan w:val="24"/>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1480" w:type="dxa"/>
            <w:vAlign w:val="bottom"/>
            <w:tcBorders>
              <w:bottom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Basis of Preparation</w:t>
            </w:r>
          </w:p>
        </w:tc>
        <w:tc>
          <w:tcPr>
            <w:tcW w:w="6380" w:type="dxa"/>
            <w:vAlign w:val="bottom"/>
            <w:gridSpan w:val="20"/>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786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Summary of Significant Accounting Policies and Practices</w:t>
            </w: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2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2500" w:type="dxa"/>
            <w:vAlign w:val="bottom"/>
            <w:tcBorders>
              <w:top w:val="single" w:sz="8" w:color="0000EE"/>
              <w:bottom w:val="single" w:sz="8" w:color="0000EE"/>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Settlement Assets and Obligations</w:t>
            </w:r>
          </w:p>
        </w:tc>
        <w:tc>
          <w:tcPr>
            <w:tcW w:w="1740" w:type="dxa"/>
            <w:vAlign w:val="bottom"/>
            <w:tcBorders>
              <w:top w:val="single" w:sz="8" w:color="0000EE"/>
            </w:tcBorders>
            <w:gridSpan w:val="12"/>
          </w:tcPr>
          <w:p>
            <w:pPr>
              <w:spacing w:after="0"/>
              <w:rPr>
                <w:sz w:val="17"/>
                <w:szCs w:val="17"/>
                <w:color w:val="auto"/>
              </w:rPr>
            </w:pPr>
          </w:p>
        </w:tc>
        <w:tc>
          <w:tcPr>
            <w:tcW w:w="3620" w:type="dxa"/>
            <w:vAlign w:val="bottom"/>
            <w:gridSpan w:val="3"/>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71</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152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Stockholders' Equity</w:t>
            </w:r>
          </w:p>
        </w:tc>
        <w:tc>
          <w:tcPr>
            <w:tcW w:w="6340" w:type="dxa"/>
            <w:vAlign w:val="bottom"/>
            <w:gridSpan w:val="19"/>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72</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786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Acquisitions</w:t>
            </w: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73</w:t>
            </w:r>
          </w:p>
        </w:tc>
        <w:tc>
          <w:tcPr>
            <w:tcW w:w="1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1160" w:type="dxa"/>
            <w:vAlign w:val="bottom"/>
            <w:tcBorders>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Restricted Cash</w:t>
            </w:r>
          </w:p>
        </w:tc>
        <w:tc>
          <w:tcPr>
            <w:tcW w:w="6700" w:type="dxa"/>
            <w:vAlign w:val="bottom"/>
            <w:gridSpan w:val="22"/>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74</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7860" w:type="dxa"/>
            <w:vAlign w:val="bottom"/>
            <w:gridSpan w:val="29"/>
          </w:tcPr>
          <w:p>
            <w:pPr>
              <w:ind w:left="20"/>
              <w:spacing w:after="0" w:line="196" w:lineRule="exact"/>
              <w:rPr>
                <w:sz w:val="20"/>
                <w:szCs w:val="20"/>
                <w:color w:val="auto"/>
              </w:rPr>
            </w:pPr>
            <w:r>
              <w:rPr>
                <w:rFonts w:ascii="Times New Roman" w:cs="Times New Roman" w:eastAsia="Times New Roman" w:hAnsi="Times New Roman"/>
                <w:sz w:val="18"/>
                <w:szCs w:val="18"/>
                <w:color w:val="0000EE"/>
              </w:rPr>
              <w:t>Property and Equipment, Net</w:t>
            </w: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74</w:t>
            </w:r>
          </w:p>
        </w:tc>
        <w:tc>
          <w:tcPr>
            <w:tcW w:w="1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3360" w:type="dxa"/>
            <w:vAlign w:val="bottom"/>
            <w:tcBorders>
              <w:bottom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Goodwill and Acquired Intangible Assets, Net</w:t>
            </w:r>
          </w:p>
        </w:tc>
        <w:tc>
          <w:tcPr>
            <w:tcW w:w="4500" w:type="dxa"/>
            <w:vAlign w:val="bottom"/>
            <w:gridSpan w:val="11"/>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75</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778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Convertible Notes Receivable</w:t>
            </w: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76</w:t>
            </w:r>
          </w:p>
        </w:tc>
        <w:tc>
          <w:tcPr>
            <w:tcW w:w="1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1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(11) Accrued Expenses and Other Current Liabilities</w:t>
            </w: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76</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3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(12)</w:t>
            </w:r>
          </w:p>
        </w:tc>
        <w:tc>
          <w:tcPr>
            <w:tcW w:w="3480" w:type="dxa"/>
            <w:vAlign w:val="bottom"/>
            <w:tcBorders>
              <w:top w:val="single" w:sz="8" w:color="0000EE"/>
            </w:tcBorders>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rPr>
              <w:t>Debt Obligations</w:t>
            </w:r>
          </w:p>
        </w:tc>
        <w:tc>
          <w:tcPr>
            <w:tcW w:w="4300" w:type="dxa"/>
            <w:vAlign w:val="bottom"/>
            <w:gridSpan w:val="9"/>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1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3400" w:type="dxa"/>
            <w:vAlign w:val="bottom"/>
            <w:tcBorders>
              <w:bottom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Derivative Instruments and Hedging Activities</w:t>
            </w:r>
          </w:p>
        </w:tc>
        <w:tc>
          <w:tcPr>
            <w:tcW w:w="4380" w:type="dxa"/>
            <w:vAlign w:val="bottom"/>
            <w:gridSpan w:val="10"/>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79</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(14)</w:t>
            </w:r>
          </w:p>
        </w:tc>
        <w:tc>
          <w:tcPr>
            <w:tcW w:w="52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Leases</w:t>
            </w:r>
          </w:p>
        </w:tc>
        <w:tc>
          <w:tcPr>
            <w:tcW w:w="7260" w:type="dxa"/>
            <w:vAlign w:val="bottom"/>
            <w:gridSpan w:val="27"/>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82</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(15)</w:t>
            </w:r>
          </w:p>
        </w:tc>
        <w:tc>
          <w:tcPr>
            <w:tcW w:w="1040" w:type="dxa"/>
            <w:vAlign w:val="bottom"/>
            <w:tcBorders>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Income Taxes</w:t>
            </w:r>
          </w:p>
        </w:tc>
        <w:tc>
          <w:tcPr>
            <w:tcW w:w="6740" w:type="dxa"/>
            <w:vAlign w:val="bottom"/>
            <w:gridSpan w:val="23"/>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84</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(16)</w:t>
            </w:r>
          </w:p>
        </w:tc>
        <w:tc>
          <w:tcPr>
            <w:tcW w:w="2580" w:type="dxa"/>
            <w:vAlign w:val="bottom"/>
            <w:tcBorders>
              <w:bottom w:val="single" w:sz="8" w:color="0000EE"/>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Valuation and Qualifying Accounts</w:t>
            </w:r>
          </w:p>
        </w:tc>
        <w:tc>
          <w:tcPr>
            <w:tcW w:w="5200" w:type="dxa"/>
            <w:vAlign w:val="bottom"/>
            <w:gridSpan w:val="13"/>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88</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(17)</w:t>
            </w:r>
          </w:p>
        </w:tc>
        <w:tc>
          <w:tcPr>
            <w:tcW w:w="88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Stock Plans</w:t>
            </w:r>
          </w:p>
        </w:tc>
        <w:tc>
          <w:tcPr>
            <w:tcW w:w="6900" w:type="dxa"/>
            <w:vAlign w:val="bottom"/>
            <w:gridSpan w:val="25"/>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89</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(18)</w:t>
            </w:r>
          </w:p>
        </w:tc>
        <w:tc>
          <w:tcPr>
            <w:tcW w:w="778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Business Segment Information</w:t>
            </w: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91</w:t>
            </w:r>
          </w:p>
        </w:tc>
        <w:tc>
          <w:tcPr>
            <w:tcW w:w="1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600" w:type="dxa"/>
            <w:vAlign w:val="bottom"/>
            <w:tcBorders>
              <w:left w:val="single" w:sz="8" w:color="0000EE"/>
            </w:tcBorders>
            <w:gridSpan w:val="11"/>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(19)</w:t>
            </w:r>
          </w:p>
        </w:tc>
        <w:tc>
          <w:tcPr>
            <w:tcW w:w="778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Financial Instruments and Fair Value Measurements</w:t>
            </w: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95</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(20)</w:t>
            </w:r>
          </w:p>
        </w:tc>
        <w:tc>
          <w:tcPr>
            <w:tcW w:w="2180" w:type="dxa"/>
            <w:vAlign w:val="bottom"/>
            <w:tcBorders>
              <w:top w:val="single" w:sz="8" w:color="0000EE"/>
              <w:bottom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Litigation and Contingencies</w:t>
            </w:r>
          </w:p>
        </w:tc>
        <w:tc>
          <w:tcPr>
            <w:tcW w:w="1600" w:type="dxa"/>
            <w:vAlign w:val="bottom"/>
            <w:tcBorders>
              <w:top w:val="single" w:sz="8" w:color="0000EE"/>
            </w:tcBorders>
            <w:gridSpan w:val="11"/>
          </w:tcPr>
          <w:p>
            <w:pPr>
              <w:spacing w:after="0"/>
              <w:rPr>
                <w:sz w:val="17"/>
                <w:szCs w:val="17"/>
                <w:color w:val="auto"/>
              </w:rPr>
            </w:pPr>
          </w:p>
        </w:tc>
        <w:tc>
          <w:tcPr>
            <w:tcW w:w="4000" w:type="dxa"/>
            <w:vAlign w:val="bottom"/>
            <w:gridSpan w:val="5"/>
          </w:tcPr>
          <w:p>
            <w:pPr>
              <w:spacing w:after="0"/>
              <w:rPr>
                <w:sz w:val="17"/>
                <w:szCs w:val="17"/>
                <w:color w:val="auto"/>
              </w:rPr>
            </w:pP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96</w:t>
            </w:r>
          </w:p>
        </w:tc>
        <w:tc>
          <w:tcPr>
            <w:tcW w:w="1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(21)</w:t>
            </w:r>
          </w:p>
        </w:tc>
        <w:tc>
          <w:tcPr>
            <w:tcW w:w="778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Commitments</w:t>
            </w: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97</w:t>
            </w:r>
          </w:p>
        </w:tc>
        <w:tc>
          <w:tcPr>
            <w:tcW w:w="1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5820" w:type="dxa"/>
            <w:vAlign w:val="bottom"/>
            <w:gridSpan w:val="18"/>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(22)</w:t>
            </w:r>
          </w:p>
        </w:tc>
        <w:tc>
          <w:tcPr>
            <w:tcW w:w="7780" w:type="dxa"/>
            <w:vAlign w:val="bottom"/>
            <w:gridSpan w:val="28"/>
          </w:tcPr>
          <w:p>
            <w:pPr>
              <w:ind w:left="20"/>
              <w:spacing w:after="0" w:line="19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2840" w:type="dxa"/>
            <w:vAlign w:val="bottom"/>
            <w:gridSpan w:val="2"/>
          </w:tcPr>
          <w:p>
            <w:pPr>
              <w:jc w:val="center"/>
              <w:ind w:left="2410"/>
              <w:spacing w:after="0" w:line="196" w:lineRule="exact"/>
              <w:rPr>
                <w:sz w:val="20"/>
                <w:szCs w:val="20"/>
                <w:color w:val="auto"/>
              </w:rPr>
            </w:pPr>
            <w:r>
              <w:rPr>
                <w:rFonts w:ascii="Times New Roman" w:cs="Times New Roman" w:eastAsia="Times New Roman" w:hAnsi="Times New Roman"/>
                <w:sz w:val="18"/>
                <w:szCs w:val="18"/>
                <w:color w:val="auto"/>
                <w:w w:val="99"/>
              </w:rPr>
              <w:t>97</w:t>
            </w:r>
          </w:p>
        </w:tc>
        <w:tc>
          <w:tcPr>
            <w:tcW w:w="160" w:type="dxa"/>
            <w:vAlign w:val="bottom"/>
          </w:tcPr>
          <w:p>
            <w:pPr>
              <w:spacing w:after="0"/>
              <w:rPr>
                <w:sz w:val="17"/>
                <w:szCs w:val="17"/>
                <w:color w:val="auto"/>
              </w:rPr>
            </w:pPr>
          </w:p>
        </w:tc>
      </w:tr>
      <w:tr>
        <w:trPr>
          <w:trHeight w:val="480"/>
        </w:trPr>
        <w:tc>
          <w:tcPr>
            <w:tcW w:w="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gridSpan w:val="10"/>
          </w:tcPr>
          <w:p>
            <w:pPr>
              <w:spacing w:after="0"/>
              <w:rPr>
                <w:sz w:val="24"/>
                <w:szCs w:val="24"/>
                <w:color w:val="auto"/>
              </w:rPr>
            </w:pPr>
          </w:p>
        </w:tc>
        <w:tc>
          <w:tcPr>
            <w:tcW w:w="3320" w:type="dxa"/>
            <w:vAlign w:val="bottom"/>
            <w:gridSpan w:val="17"/>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8"/>
        </w:trPr>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Consolidated Financial Statements and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Euronet Worldwide, Inc. and subsidiaries (the Company) as of December 31, 2024 and 2023, the related consolidated statements of operations, comprehensive (loss) income, changes in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Sufficiency of audit evidence over 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earned $4.0 billion of revenue in 2024. The Company earned revenue by payment and transaction processing and distribution solutions to financial institutions, retailers, service providers and individual consumers (collectively services). The services were provided to customers in approximately 200 countries through 67 worldwide offices within 3 different reportable operating segments.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revenue as a critical audit matter. The Company’s geographical dispersion of services worldwide, amongst various business lines required especially subjective auditor judgment in evaluating the sufficiency of audit evidence over revenue. Further, our audit team consisted of auditors located in various countries worldwide. This required especially challenging auditor judgment in the level of audit procedures and supervision applied at each country.</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revenue, including the determination of locations at which those procedures were to be performed. At each Company location selected, we:</w:t>
      </w:r>
    </w:p>
    <w:p>
      <w:pPr>
        <w:spacing w:after="0" w:line="135"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evaluated the design and tested the operating effectiveness of certain internal controls related to the Company’s revenue process, including controls over the accurate recording of revenue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-257810</wp:posOffset>
            </wp:positionV>
            <wp:extent cx="59690"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assessed the training and experience of the auditors on our audit team that were in countries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1"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tested a sample of individual revenue transactions by comparing amounts recognized by the Company to relevant contracts and or payment and transaction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-257810</wp:posOffset>
            </wp:positionV>
            <wp:extent cx="59690"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evaluated the sufficiency of audit evidence obtained over revenue by assessing the results of procedures performed, including the appropriateness of such evidence.</w:t>
      </w:r>
    </w:p>
    <w:p>
      <w:pPr>
        <w:spacing w:after="0" w:line="8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1" w:name="page62"/>
    <w:bookmarkEnd w:id="61"/>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CONSOLIDATED FINANCIAL STATEMENTS EURONET WORLDWIDE, INC. AND SUBSIDIARIES CONSOLIDATED BALANCE SHEETS (in millions,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263"/>
        </w:trPr>
        <w:tc>
          <w:tcPr>
            <w:tcW w:w="84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35"/>
        </w:trPr>
        <w:tc>
          <w:tcPr>
            <w:tcW w:w="8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ATM cash</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assets</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1,681.5</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credit loss allowance of $4.2 and $3.6</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r>
      <w:tr>
        <w:trPr>
          <w:trHeight w:val="270"/>
        </w:trPr>
        <w:tc>
          <w:tcPr>
            <w:tcW w:w="84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r>
      <w:tr>
        <w:trPr>
          <w:trHeight w:val="250"/>
        </w:trPr>
        <w:tc>
          <w:tcPr>
            <w:tcW w:w="8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4,162.7</w:t>
            </w:r>
          </w:p>
        </w:tc>
      </w:tr>
      <w:tr>
        <w:trPr>
          <w:trHeight w:val="27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right of use lease assets</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7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$589.6 and $656.9</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7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r>
      <w:tr>
        <w:trPr>
          <w:trHeight w:val="27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$226.5 and $214.1</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7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 of accumulated amortization of $82.6 and $76.3</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7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5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7"/>
        </w:trPr>
        <w:tc>
          <w:tcPr>
            <w:tcW w:w="8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5,894.4</w:t>
            </w:r>
          </w:p>
        </w:tc>
      </w:tr>
      <w:tr>
        <w:trPr>
          <w:trHeight w:val="203"/>
        </w:trPr>
        <w:tc>
          <w:tcPr>
            <w:tcW w:w="848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4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Settlement obligations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50"/>
        </w:trPr>
        <w:tc>
          <w:tcPr>
            <w:tcW w:w="8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w:t>
            </w:r>
          </w:p>
        </w:tc>
      </w:tr>
      <w:tr>
        <w:trPr>
          <w:trHeight w:val="27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w:t>
            </w:r>
          </w:p>
        </w:tc>
      </w:tr>
      <w:tr>
        <w:trPr>
          <w:trHeight w:val="270"/>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70"/>
        </w:trPr>
        <w:tc>
          <w:tcPr>
            <w:tcW w:w="8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70"/>
        </w:trPr>
        <w:tc>
          <w:tcPr>
            <w:tcW w:w="84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50"/>
        </w:trPr>
        <w:tc>
          <w:tcPr>
            <w:tcW w:w="8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4,644.7</w:t>
            </w:r>
          </w:p>
        </w:tc>
      </w:tr>
      <w:tr>
        <w:trPr>
          <w:trHeight w:val="223"/>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7"/>
        </w:trPr>
        <w:tc>
          <w:tcPr>
            <w:tcW w:w="8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shares issued 64,788,755 and 64,376,923</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shares issued 21,061,140 and 18,598,961</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(1,487.7)</w:t>
            </w:r>
          </w:p>
        </w:tc>
      </w:tr>
      <w:tr>
        <w:trPr>
          <w:trHeight w:val="270"/>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w:t>
            </w:r>
          </w:p>
        </w:tc>
      </w:tr>
      <w:tr>
        <w:trPr>
          <w:trHeight w:val="270"/>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50"/>
        </w:trPr>
        <w:tc>
          <w:tcPr>
            <w:tcW w:w="8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r>
      <w:tr>
        <w:trPr>
          <w:trHeight w:val="27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848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w:t>
            </w:r>
          </w:p>
        </w:tc>
      </w:tr>
      <w:tr>
        <w:trPr>
          <w:trHeight w:val="236"/>
        </w:trPr>
        <w:tc>
          <w:tcPr>
            <w:tcW w:w="8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333"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79"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24765</wp:posOffset>
            </wp:positionV>
            <wp:extent cx="21856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03" w:lineRule="exact"/>
        <w:rPr>
          <w:sz w:val="20"/>
          <w:szCs w:val="20"/>
          <w:color w:val="auto"/>
        </w:rPr>
      </w:pPr>
    </w:p>
    <w:p>
      <w:pPr>
        <w:jc w:val="both"/>
        <w:ind w:left="8180"/>
        <w:spacing w:after="0"/>
        <w:tabs>
          <w:tab w:leader="none" w:pos="9340" w:val="left"/>
          <w:tab w:leader="none" w:pos="105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Revenues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Direct operating costs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Salaries and benefits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Foreign currency exchange (loss) gains, net</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gains, net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463" w:hanging="463"/>
        <w:spacing w:after="0"/>
        <w:tabs>
          <w:tab w:leader="none" w:pos="4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3,989.8  $3,688.0  $3,358.8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-4945380</wp:posOffset>
            </wp:positionH>
            <wp:positionV relativeFrom="paragraph">
              <wp:posOffset>188595</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21856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13" w:lineRule="exact"/>
        <w:rPr>
          <w:sz w:val="20"/>
          <w:szCs w:val="20"/>
          <w:color w:val="auto"/>
        </w:rPr>
      </w:pPr>
    </w:p>
    <w:tbl>
      <w:tblPr>
        <w:tblLayout w:type="fixed"/>
        <w:tblInd w:w="3" w:type="dxa"/>
        <w:tblCellMar>
          <w:top w:w="0" w:type="dxa"/>
          <w:left w:w="0" w:type="dxa"/>
          <w:bottom w:w="0" w:type="dxa"/>
          <w:right w:w="0" w:type="dxa"/>
        </w:tblCellMar>
      </w:tblPr>
      <w:tr>
        <w:trPr>
          <w:trHeight w:val="234"/>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2,389.3</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2,018.2</w:t>
            </w:r>
          </w:p>
        </w:tc>
      </w:tr>
      <w:tr>
        <w:trPr>
          <w:trHeight w:val="27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534.2</w:t>
            </w:r>
          </w:p>
        </w:tc>
      </w:tr>
      <w:tr>
        <w:trPr>
          <w:trHeight w:val="27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285.1</w:t>
            </w:r>
          </w:p>
        </w:tc>
      </w:tr>
      <w:tr>
        <w:trPr>
          <w:trHeight w:val="270"/>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135.9</w:t>
            </w:r>
          </w:p>
        </w:tc>
      </w:tr>
      <w:tr>
        <w:trPr>
          <w:trHeight w:val="250"/>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3,486.6</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2,973.4</w:t>
            </w:r>
          </w:p>
        </w:tc>
      </w:tr>
      <w:tr>
        <w:trPr>
          <w:trHeight w:val="250"/>
        </w:trPr>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385.4</w:t>
            </w:r>
          </w:p>
        </w:tc>
      </w:tr>
      <w:tr>
        <w:trPr>
          <w:trHeight w:val="52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0"/>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-4945380</wp:posOffset>
            </wp:positionH>
            <wp:positionV relativeFrom="paragraph">
              <wp:posOffset>-1542415</wp:posOffset>
            </wp:positionV>
            <wp:extent cx="71323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-1199515</wp:posOffset>
            </wp:positionV>
            <wp:extent cx="713232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-856615</wp:posOffset>
            </wp:positionV>
            <wp:extent cx="71323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-513715</wp:posOffset>
            </wp:positionV>
            <wp:extent cx="71323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-170815</wp:posOffset>
            </wp:positionV>
            <wp:extent cx="71323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077" w:space="720"/>
            <w:col w:w="3443"/>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80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Other expense, net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5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322.6</w:t>
            </w:r>
          </w:p>
        </w:tc>
      </w:tr>
    </w:tbl>
    <w:p>
      <w:pPr>
        <w:spacing w:after="0" w:line="9" w:lineRule="exact"/>
        <w:rPr>
          <w:sz w:val="20"/>
          <w:szCs w:val="20"/>
          <w:color w:val="auto"/>
        </w:rPr>
      </w:pPr>
    </w:p>
    <w:p>
      <w:pPr>
        <w:sectPr>
          <w:pgSz w:w="11900" w:h="16838" w:orient="portrait"/>
          <w:cols w:equalWidth="0" w:num="1">
            <w:col w:w="11240"/>
          </w:cols>
          <w:pgMar w:left="320" w:top="333"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63" w:lineRule="exact"/>
        <w:rPr>
          <w:sz w:val="20"/>
          <w:szCs w:val="20"/>
          <w:color w:val="auto"/>
        </w:rPr>
      </w:pPr>
    </w:p>
    <w:p>
      <w:pPr>
        <w:ind w:left="180" w:right="2360" w:firstLine="216"/>
        <w:spacing w:after="0" w:line="344" w:lineRule="auto"/>
        <w:rPr>
          <w:sz w:val="20"/>
          <w:szCs w:val="20"/>
          <w:color w:val="auto"/>
        </w:rPr>
      </w:pPr>
      <w:r>
        <w:rPr>
          <w:rFonts w:ascii="Times New Roman" w:cs="Times New Roman" w:eastAsia="Times New Roman" w:hAnsi="Times New Roman"/>
          <w:sz w:val="18"/>
          <w:szCs w:val="18"/>
          <w:color w:val="auto"/>
        </w:rPr>
        <w:t>Less: Net (gain) loss attributable to non-controlling interests Net income attributable to Euronet Worldwide,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50"/>
        </w:trPr>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230.7</w:t>
            </w:r>
          </w:p>
        </w:tc>
      </w:tr>
      <w:tr>
        <w:trPr>
          <w:trHeight w:val="270"/>
        </w:trPr>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ectPr>
          <w:pgSz w:w="11900" w:h="16838" w:orient="portrait"/>
          <w:cols w:equalWidth="0" w:num="2">
            <w:col w:w="7080" w:space="720"/>
            <w:col w:w="3440"/>
          </w:cols>
          <w:pgMar w:left="320" w:top="333" w:right="339" w:bottom="1440" w:gutter="0" w:footer="0" w:header="0"/>
          <w:type w:val="continuous"/>
        </w:sectPr>
      </w:pP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r>
      <w:tr>
        <w:trPr>
          <w:trHeight w:val="210"/>
        </w:trPr>
        <w:tc>
          <w:tcPr>
            <w:tcW w:w="528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w:t>
            </w:r>
          </w:p>
        </w:tc>
      </w:tr>
      <w:tr>
        <w:trPr>
          <w:trHeight w:val="20"/>
        </w:trPr>
        <w:tc>
          <w:tcPr>
            <w:tcW w:w="5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5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97"/>
        </w:trPr>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44,896,711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48,482,006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50,175,614</w:t>
            </w:r>
          </w:p>
        </w:tc>
      </w:tr>
      <w:tr>
        <w:trPr>
          <w:trHeight w:val="210"/>
        </w:trPr>
        <w:tc>
          <w:tcPr>
            <w:tcW w:w="528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48,082,766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51,599,633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53,463,308</w:t>
            </w:r>
          </w:p>
        </w:tc>
      </w:tr>
      <w:tr>
        <w:trPr>
          <w:trHeight w:val="20"/>
        </w:trPr>
        <w:tc>
          <w:tcPr>
            <w:tcW w:w="5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3" w:name="page64"/>
    <w:bookmarkEnd w:id="63"/>
    <w:p>
      <w:pPr>
        <w:jc w:val="center"/>
        <w:ind w:left="2540" w:right="2580"/>
        <w:spacing w:after="0" w:line="278" w:lineRule="auto"/>
        <w:rPr>
          <w:sz w:val="20"/>
          <w:szCs w:val="20"/>
          <w:color w:val="auto"/>
        </w:rPr>
      </w:pPr>
      <w:r>
        <w:rPr>
          <w:rFonts w:ascii="Times New Roman" w:cs="Times New Roman" w:eastAsia="Times New Roman" w:hAnsi="Times New Roman"/>
          <w:sz w:val="18"/>
          <w:szCs w:val="18"/>
          <w:b w:val="1"/>
          <w:bCs w:val="1"/>
          <w:color w:val="auto"/>
        </w:rPr>
        <w:t>EURONET WORLDWIDE, INC. AND SUBSIDIARIES CONSOLIDATED STATEMENTS OF COMPREHENSIVE (LOSS) INCOME (in millions)</w:t>
      </w:r>
    </w:p>
    <w:p>
      <w:pPr>
        <w:sectPr>
          <w:pgSz w:w="11900" w:h="16838" w:orient="portrait"/>
          <w:cols w:equalWidth="0" w:num="1">
            <w:col w:w="11200"/>
          </w:cols>
          <w:pgMar w:left="36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 adjustment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71323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right="1760" w:firstLine="216"/>
        <w:spacing w:after="0" w:line="379" w:lineRule="auto"/>
        <w:rPr>
          <w:sz w:val="20"/>
          <w:szCs w:val="20"/>
          <w:color w:val="auto"/>
        </w:rPr>
      </w:pPr>
      <w:r>
        <w:rPr>
          <w:rFonts w:ascii="Times New Roman" w:cs="Times New Roman" w:eastAsia="Times New Roman" w:hAnsi="Times New Roman"/>
          <w:sz w:val="17"/>
          <w:szCs w:val="17"/>
          <w:color w:val="auto"/>
        </w:rPr>
        <w:t>Comprehensive loss (income) attributable to noncontrolling interests Comprehensive (loss) income attributable to Euronet Worldwide, Inc.</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21685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2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540"/>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50"/>
        </w:trPr>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70"/>
        </w:trPr>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060" w:space="720"/>
            <w:col w:w="3420"/>
          </w:cols>
          <w:pgMar w:left="360" w:top="333"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81915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33" w:right="33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Treasury</w:t>
            </w:r>
          </w:p>
        </w:tc>
      </w:tr>
      <w:tr>
        <w:trPr>
          <w:trHeight w:val="238"/>
        </w:trPr>
        <w:tc>
          <w:tcPr>
            <w:tcW w:w="67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7"/>
        </w:trPr>
        <w:tc>
          <w:tcPr>
            <w:tcW w:w="6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51,147,884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Adoption of ASU-2020-60 on Convertible bond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(1,639,535)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5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49,822,707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(1,105.8)</w:t>
            </w: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Adoption of ASU-2020-60 on Convertible bond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292,151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(4,336,896)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50"/>
        </w:trPr>
        <w:tc>
          <w:tcPr>
            <w:tcW w:w="6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45,777,962</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(2,475,533)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37"/>
        </w:trPr>
        <w:tc>
          <w:tcPr>
            <w:tcW w:w="6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43,727,615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r>
              <w:rPr>
                <w:rFonts w:ascii="Times New Roman" w:cs="Times New Roman" w:eastAsia="Times New Roman" w:hAnsi="Times New Roman"/>
                <w:sz w:val="18"/>
                <w:szCs w:val="18"/>
                <w:u w:val="single" w:color="auto"/>
                <w:color w:val="auto"/>
              </w:rPr>
              <w:t>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EURONET WORLDWIDE, INC. AND SUBSIDIARIES CONSOLIDATED STATEMENT OF CHANGES IN EQUITY (CONTINUED) (in millions)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w:t>
            </w:r>
          </w:p>
        </w:tc>
      </w:tr>
      <w:tr>
        <w:trPr>
          <w:trHeight w:val="270"/>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7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70"/>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Adoption of ASU-2020-60 on Convertible bond</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7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0"/>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7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50"/>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1,244.4</w:t>
            </w:r>
          </w:p>
        </w:tc>
      </w:tr>
      <w:tr>
        <w:trPr>
          <w:trHeight w:val="27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70"/>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7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Adoption of ASU-2020-06 on Convertible bond</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70"/>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50"/>
        </w:trPr>
        <w:tc>
          <w:tcPr>
            <w:tcW w:w="62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r>
      <w:tr>
        <w:trPr>
          <w:trHeight w:val="270"/>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7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70"/>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0"/>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70"/>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Repurchase of shares</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36"/>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r>
              <w:rPr>
                <w:rFonts w:ascii="Times New Roman" w:cs="Times New Roman" w:eastAsia="Times New Roman" w:hAnsi="Times New Roman"/>
                <w:sz w:val="18"/>
                <w:szCs w:val="18"/>
                <w:u w:val="single" w:color="auto"/>
                <w:color w:val="auto"/>
              </w:rPr>
              <w:t>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43"/>
        </w:trPr>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 (gain), net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 and amortization of debt issuance costs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 including amounts in settlement assets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70"/>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in settlement assets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70"/>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 including amounts in settlement obligations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70"/>
        </w:trPr>
        <w:tc>
          <w:tcPr>
            <w:tcW w:w="7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including amounts in settlement obligations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78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w:t>
            </w: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and proceeds and proceeds from sale property and equipment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Convertible Notes Receivable</w:t>
            </w:r>
          </w:p>
        </w:tc>
        <w:tc>
          <w:tcPr>
            <w:tcW w:w="240" w:type="dxa"/>
            <w:vAlign w:val="bottom"/>
          </w:tcPr>
          <w:p>
            <w:pPr>
              <w:spacing w:after="0"/>
              <w:rPr>
                <w:sz w:val="23"/>
                <w:szCs w:val="2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0"/>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7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r>
      <w:tr>
        <w:trPr>
          <w:trHeight w:val="223"/>
        </w:trPr>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shares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from revolving credit agreements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7,904.6</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revolving credit agreements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(7,733.2)</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borrowings (repayments) from short-term debt obligations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78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r>
    </w:tbl>
    <w:p>
      <w:pPr>
        <w:spacing w:after="0" w:line="1" w:lineRule="exact"/>
        <w:rPr>
          <w:sz w:val="20"/>
          <w:szCs w:val="20"/>
          <w:color w:val="auto"/>
        </w:rPr>
      </w:pPr>
    </w:p>
    <w:p>
      <w:pPr>
        <w:sectPr>
          <w:pgSz w:w="11900" w:h="16838" w:orient="portrait"/>
          <w:cols w:equalWidth="0" w:num="1">
            <w:col w:w="11240"/>
          </w:cols>
          <w:pgMar w:left="320" w:top="333" w:right="339" w:bottom="1440" w:gutter="0" w:footer="0" w:header="0"/>
        </w:sectPr>
      </w:pPr>
    </w:p>
    <w:p>
      <w:pPr>
        <w:ind w:left="60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70"/>
        </w:trPr>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2,086.1</w:t>
            </w:r>
          </w:p>
        </w:tc>
      </w:tr>
      <w:tr>
        <w:trPr>
          <w:trHeight w:val="237"/>
        </w:trPr>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ectPr>
          <w:pgSz w:w="11900" w:h="16838" w:orient="portrait"/>
          <w:cols w:equalWidth="0" w:num="2">
            <w:col w:w="7100" w:space="720"/>
            <w:col w:w="342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2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7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28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Worldwide, Inc. (the "Company" or "Euronet") was established as a Delaware corporation on December 13, 1996 and succeeded Euronet Holding N.V. as the group holding company, which was founded and established in 1994. Euronet is a leading financial technology solutions and payments provider. Euronet offers payment and transaction processing and distribution solutions to financial institutions, retailers, service providers and individual consumers. Euronet's primary product offerings include comprehensive ATM, POS, card outsourcing, card issuing and merchant acquiring services, electronic distribution of prepaid mobile airtime and other electronic payment products, and international payment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Preparation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has no variable interest entities. Results from operations related to entities acquired during the periods covered by the Consolidated Financial Statements are reflected from the effective date of acquisition.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Euronet’s EFT Processing Segment normally experiences its heaviest demand for Dynamic Currency Conversion (DCC) services during the third quarter of the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 and Practices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Operations. The majority of our foreign currency exchange gains or losses are due to the remeasurement of intercompany loans which are not considered a long-term investment in nature and are in a currency other than the functional currency of one of the parties to the loan.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(loss) income as a separate component of consolidated equity.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ATM cash represents cash within the ATM network either included within ATMs, within dedicated accounts, or in-transit to ATMs.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assets and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See Note 4, Settlement Assets and Obligations, to the Consolidated Financial Statements for further discussion on settlement assets and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acquired in acquisitions have been recorded at estimated fair values as of the acquisition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generally calculated using the straight-line method over the estimated useful lives of the respective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rates are generally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ATMs or ATM upgrades</w:t>
            </w:r>
          </w:p>
        </w:tc>
        <w:tc>
          <w:tcPr>
            <w:tcW w:w="6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5 - 8 years</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Computers and software</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7"/>
        </w:trPr>
        <w:tc>
          <w:tcPr>
            <w:tcW w:w="47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 terminals</w:t>
            </w:r>
          </w:p>
        </w:tc>
        <w:tc>
          <w:tcPr>
            <w:tcW w:w="6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Vehicles and office equipment</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7"/>
        </w:trPr>
        <w:tc>
          <w:tcPr>
            <w:tcW w:w="47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6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the lesser of the lease term or estimated useful life</w:t>
            </w:r>
          </w:p>
        </w:tc>
      </w:tr>
      <w:tr>
        <w:trPr>
          <w:trHeight w:val="27"/>
        </w:trPr>
        <w:tc>
          <w:tcPr>
            <w:tcW w:w="470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xml:space="preserve"> - The Company accounts for goodwill and other intangible assets in accordance with Financial Accounting Standards Board ("FASB") Accounting Standards Codification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In accordance with the requirements of ASC 350 the Company tests for impairment on an annual basis in the fourth quarter and whenever events or circumstances dictate. Goodwill is allocated among and evaluated for impairment at the reporting unit level, which is defined as an operating segment or one level below an operating segment.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quantitative impairment test (described below), otherwise no further analysis is required. An entity also may elect not to perform the qualitative assessment and, instead, proceed directly to the quantitative impairment test.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quantitative impairment test completed for a reporting unit and compares, among other factors, the weighted average cost of capital ("WACC") between the current and prior years for each reporting unit.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9" w:name="page70"/>
    <w:bookmarkEnd w:id="69"/>
    <w:p>
      <w:pPr>
        <w:jc w:val="both"/>
        <w:spacing w:after="0" w:line="254" w:lineRule="auto"/>
        <w:rPr>
          <w:sz w:val="20"/>
          <w:szCs w:val="20"/>
          <w:color w:val="auto"/>
        </w:rPr>
      </w:pPr>
      <w:r>
        <w:rPr>
          <w:rFonts w:ascii="Times New Roman" w:cs="Times New Roman" w:eastAsia="Times New Roman" w:hAnsi="Times New Roman"/>
          <w:sz w:val="18"/>
          <w:szCs w:val="18"/>
          <w:color w:val="auto"/>
        </w:rPr>
        <w:t>Under the quantitative impairment test, the evaluation of impairment involves comparing the current fair value of each reporting unit to its carrying value, including goodwill. The Company uses weighted results from the income approach or the discounted cash flow model ("DCF model") and guideline public company method ("Market Approach model") to estimate the current fair value of its reporting units when testing for impairment, as management believes forecasted cash flows and EBITDA are the best indicators of such fair value. A number of significant assumptions and estimates are involved in the application of the DCF model to forecast operating cash flows, including sales volumes,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 If the carrying value of goodwill exceeds its fair value, an impairment loss equal to such excess would be recognized. The DCF Model and Market Approach Model utilize Level 3 inputs in the fair value hierarchy as they include unobservable inputs that require significant management assumptions.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Other Intangible Assets</w:t>
      </w:r>
      <w:r>
        <w:rPr>
          <w:rFonts w:ascii="Times New Roman" w:cs="Times New Roman" w:eastAsia="Times New Roman" w:hAnsi="Times New Roman"/>
          <w:sz w:val="18"/>
          <w:szCs w:val="18"/>
          <w:color w:val="auto"/>
        </w:rPr>
        <w:t xml:space="preserve"> - In accordance with ASC 350, intangible assets with finite lives are amortized over their estimated useful lives. Unless otherwise noted, amortization is calculated using the straight-line method over the estimated useful lives of the assets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2 - 5 years</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2 - 20 years</w:t>
            </w:r>
          </w:p>
        </w:tc>
      </w:tr>
      <w:tr>
        <w:trPr>
          <w:trHeight w:val="27"/>
        </w:trPr>
        <w:tc>
          <w:tcPr>
            <w:tcW w:w="624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6 - 20 years</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Goodwill and Acquired Intangible Assets, Net, to the Consolidated Financial Statements for additional information regarding the impairment of goodwill and other intangible 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include capitalized software development costs and capitalized payments for new or renewed contracts.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1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ASC Topic 340,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xml:space="preserve"> ("ASC 340") requires the deferral of incremental costs to fulfill customer contracts, known as contract assets, which are then amortized to expense as part of direct operating costs over the respective periods of expected benefit. Deferred contract costs are reported on our balance sheet within current or non-current other assets based on the expected life of the related contract. At December 31, 2024 and 2023, we had $97.4 million and $78.4 million, respectively, of deferred contract costs. For the years ended December 31, 2024, 2023 and 2022, we had $23.4 million, $17.1 million, and $22.1 million of amortization related to these costs, respectively. On a quarterly basis we evaluate the carrying amount of contract assets recognized to determine if there are contracts that may have a carrying amount in excess of the remaining future consideration to be received from the contract.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which simplifies the accounting for convertible instruments by eliminating certain accounting models when the conversion features 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We adopted this standard on January 1, 2022 using the modified retrospective approach, which resulted in our Convertible Senior Notes due 2049 being recognized as a single liability. As a result of the adoption of this standard we recorded a $99.7 million decrease to additional paid-in capital, a $56.8 million decrease in debt discounts and a $42.9 million increase in retained earnings. The adoption of this standard also impacted our deferred tax liability by decreasing our deferred tax liability by $15.0 million, decreasing retained earnings by $10.6 million, and increasing additional paid-in capital by $25.6 million. Additionally, the elimination of the treasury stock method increases the number of dilutive shares used in the diluted earnings per share calculation, if dilutive, by 2.8 million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the Company's policy is to record estimated interest and penalties related to the underpayment of income taxes as income tax expense in the Consolidated Statements of Operations. See Note 15, Income Taxes, to the Consolidated Financial Statements for further discussion regarding these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taxes collected and remitted to governmental authorities</w:t>
      </w:r>
    </w:p>
    <w:p>
      <w:pPr>
        <w:spacing w:after="0" w:line="216" w:lineRule="exact"/>
        <w:rPr>
          <w:sz w:val="20"/>
          <w:szCs w:val="20"/>
          <w:color w:val="auto"/>
        </w:rPr>
      </w:pPr>
    </w:p>
    <w:p>
      <w:pPr>
        <w:ind w:right="20"/>
        <w:spacing w:after="0" w:line="437" w:lineRule="auto"/>
        <w:rPr>
          <w:sz w:val="20"/>
          <w:szCs w:val="20"/>
          <w:color w:val="auto"/>
        </w:rPr>
      </w:pPr>
      <w:r>
        <w:rPr>
          <w:rFonts w:ascii="Times New Roman" w:cs="Times New Roman" w:eastAsia="Times New Roman" w:hAnsi="Times New Roman"/>
          <w:sz w:val="18"/>
          <w:szCs w:val="18"/>
          <w:color w:val="auto"/>
        </w:rPr>
        <w:t xml:space="preserve">The Company presents taxes collected and remitted to governmental authorities on a net basis in the accompanying Consolidated Statements of Operations. </w:t>
      </w:r>
      <w:r>
        <w:rPr>
          <w:rFonts w:ascii="Times New Roman" w:cs="Times New Roman" w:eastAsia="Times New Roman" w:hAnsi="Times New Roman"/>
          <w:sz w:val="18"/>
          <w:szCs w:val="18"/>
          <w:b w:val="1"/>
          <w:bCs w:val="1"/>
          <w:i w:val="1"/>
          <w:iCs w:val="1"/>
          <w:color w:val="auto"/>
        </w:rPr>
        <w:t>Fair value measurements</w:t>
      </w: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 See Note 19, Financial Instruments and Fair Value Measurements, to the Consolidated Financial Statements for the required fair value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 instruments and hedging activities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derivative instruments and hedging activities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money transfer settlement assets and liabilities in currencies other than the U.S. dollar, derivative contracts written to its customers arising from its cross-currency money transfer services and certain assets and liability positions denominated in currencies other than the U.S. dollar.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Operations.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13, Derivative Instruments and Hedging Activities, to the Consolidated Financial Statements for further discussion of derivative instruments.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adjusted for any changes in probability of achievement of performance condition. The Company has elected to use the "with and without method" when calculating the income tax benefit associated with its share-based payment arrangements. See Note 17, Stock Plans, for further disclosure.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control of the promised goods or services is transferred to our customers, in an amount that reflects the consideration the Company expects to be entitled to receive in exchange for those goods or services. Sales and usage-based taxes are excluded from revenues. A description of the major components of revenue by business segment is as follows: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EFT Processing</w:t>
      </w:r>
      <w:r>
        <w:rPr>
          <w:rFonts w:ascii="Times New Roman" w:cs="Times New Roman" w:eastAsia="Times New Roman" w:hAnsi="Times New Roman"/>
          <w:sz w:val="18"/>
          <w:szCs w:val="18"/>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 and domestic and international surcharge.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 which is recorded as deferred revenue upon receipt.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epay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generated in the epay Segment is primarily derived from commissions or processing fees associated with distribution and/or processing of prepaid mobile airtime and digital media products. These fees and commissions are received from mobile operators, content vendors or distributors or from retailers. Commissions are recognized as revenue during the period in which the Company provides the service. The portion of the commission that is paid to retailers is generally recorded as a direct operating cost. In selling certain products, the Company is the principle obligor in the arrangements; accordingly, the gross sales value of the products is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Money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Revenues - The Company records deferred revenues when cash payments are received or due in advance of its performance. The decrease in the deferred revenue balance for the year ended December 31, 2024 was primarily driven by $39.3 million of cash payments received in the current year for which the Company has not yet satisfied the performance obligations, offset by $39.6 million of revenues recognized that were included in the deferred revenue balance as of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Disaggregation of Revenues - The following table presents the Company's revenues disaggregated by segment and region.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 The Company recognizes foreign exchange revenues from derivative instruments in its xe operations in accordance with ASC Topic 815 and not ASC Topic 606. These revenues are not significant to the Company's consolidated revenues and are included in the following tables.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50"/>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epay</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Money Transfer</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856.2</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2,309.7</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1,053.0</w:t>
            </w:r>
          </w:p>
        </w:tc>
      </w:tr>
      <w:tr>
        <w:trPr>
          <w:trHeight w:val="27"/>
        </w:trPr>
        <w:tc>
          <w:tcPr>
            <w:tcW w:w="5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498.4</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137.1</w:t>
            </w:r>
          </w:p>
        </w:tc>
      </w:tr>
      <w:tr>
        <w:trPr>
          <w:trHeight w:val="27"/>
        </w:trPr>
        <w:tc>
          <w:tcPr>
            <w:tcW w:w="5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1,161.2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1,150.5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1,686.5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3,989.8</w:t>
            </w:r>
          </w:p>
        </w:tc>
      </w:tr>
      <w:tr>
        <w:trPr>
          <w:trHeight w:val="20"/>
        </w:trPr>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50"/>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epay</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Money Transfer</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817.2</w:t>
            </w: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2,182.0</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974.3</w:t>
            </w:r>
          </w:p>
        </w:tc>
      </w:tr>
      <w:tr>
        <w:trPr>
          <w:trHeight w:val="27"/>
        </w:trPr>
        <w:tc>
          <w:tcPr>
            <w:tcW w:w="5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410.5</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r>
      <w:tr>
        <w:trPr>
          <w:trHeight w:val="27"/>
        </w:trPr>
        <w:tc>
          <w:tcPr>
            <w:tcW w:w="5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1,082.4</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1,555.2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3,688.0</w:t>
            </w:r>
          </w:p>
        </w:tc>
      </w:tr>
      <w:tr>
        <w:trPr>
          <w:trHeight w:val="20"/>
        </w:trPr>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2022</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50"/>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epay</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Money Transfer</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1,956.5</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5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902.7</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396.4</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Eliminations</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3,358.8</w:t>
            </w:r>
          </w:p>
        </w:tc>
      </w:tr>
      <w:tr>
        <w:trPr>
          <w:trHeight w:val="20"/>
        </w:trPr>
        <w:tc>
          <w:tcPr>
            <w:tcW w:w="5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73"/>
        </w:trPr>
        <w:tc>
          <w:tcPr>
            <w:tcW w:w="552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w:t>
      </w:r>
      <w:r>
        <w:rPr>
          <w:rFonts w:ascii="Times New Roman" w:cs="Times New Roman" w:eastAsia="Times New Roman" w:hAnsi="Times New Roman"/>
          <w:sz w:val="18"/>
          <w:szCs w:val="18"/>
          <w:i w:val="1"/>
          <w:iCs w:val="1"/>
          <w:color w:val="auto"/>
        </w:rPr>
        <w:t>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The amended guidance requires incremental reportable segment disclosures, primarily about significant segment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amendments also require entities with a single reportable segment to provide all disclosures required by these amendments, and all existing segment disclosures. The amendments will be applied retrospectively to all prior periods presented in the financial statements and is effective for fiscal years beginning after December 15, 2023, and interim periods in fiscal years beginning after December 15, 2024, with early adoption permitted. </w:t>
      </w:r>
      <w:r>
        <w:rPr>
          <w:rFonts w:ascii="Times New Roman" w:cs="Times New Roman" w:eastAsia="Times New Roman" w:hAnsi="Times New Roman"/>
          <w:sz w:val="18"/>
          <w:szCs w:val="18"/>
          <w:color w:val="212529"/>
        </w:rPr>
        <w:t>The adoption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this standard did not have a significant impact on the Company's consolidated financial statements and related disclosures.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amended guidance enhances income tax disclosures primarily related to the effective tax rate reconciliation and income taxes paid information. This guidance requires disclosure of specific categories in the effective tax rate reconciliation and further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is equal to or greater than 5 percent of total income taxes paid (net of refunds received). ASU 2023-09 is effective for fiscal years beginning after December 15, 2024, and the Company will adopt the standard in the following fiscal year. The adoption of this standard is not expected to have a significant impact on the Company's consolidated financial statements and related disclosures.</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212529"/>
        </w:rPr>
        <w:t xml:space="preserve">In November 2024, the FASB issued ASU 2024-03, </w:t>
      </w:r>
      <w:r>
        <w:rPr>
          <w:rFonts w:ascii="Times New Roman" w:cs="Times New Roman" w:eastAsia="Times New Roman" w:hAnsi="Times New Roman"/>
          <w:sz w:val="18"/>
          <w:szCs w:val="18"/>
          <w:i w:val="1"/>
          <w:iCs w:val="1"/>
          <w:color w:val="212529"/>
        </w:rPr>
        <w:t>Disaggregation of Income Statement Expenses (DISE)</w:t>
      </w:r>
      <w:r>
        <w:rPr>
          <w:rFonts w:ascii="Times New Roman" w:cs="Times New Roman" w:eastAsia="Times New Roman" w:hAnsi="Times New Roman"/>
          <w:sz w:val="18"/>
          <w:szCs w:val="18"/>
          <w:color w:val="212529"/>
        </w:rPr>
        <w:t>, which requires companies to disclose additional information about expenses in their income statements. The Company already disaggregates its most significant expense line items, and as a result, the adoption of this standard is not expected to have a significant impact on the Company's consolidated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Settlement Assets and Obligations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the Company within two weeks after initial receipt by the business partner. Receivables from business partners represent funds collected by such business partners that are in transit to the Company.</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beneficiaries when they request funds. Most agents typically settle with beneficiaries first then obtain reimbursement from the Company. Money order accrued expenses represent amounts not yet presented for payment. Due to the agent funding and settlement process, accrued expenses to agents represent amounts due to agents for money transfers that have not been settled with beneficiaries.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0" w:type="dxa"/>
            <w:vAlign w:val="bottom"/>
          </w:tcPr>
          <w:p>
            <w:pPr>
              <w:spacing w:after="0"/>
              <w:rPr>
                <w:sz w:val="1"/>
                <w:szCs w:val="1"/>
                <w:color w:val="auto"/>
              </w:rPr>
            </w:pPr>
          </w:p>
        </w:tc>
      </w:tr>
      <w:tr>
        <w:trPr>
          <w:trHeight w:val="238"/>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assets:</w:t>
            </w: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3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receivables, net of credit loss allowance of $31.7 and $35.7</w:t>
            </w:r>
          </w:p>
        </w:tc>
        <w:tc>
          <w:tcPr>
            <w:tcW w:w="2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1,002.1</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settlement assets</w:t>
            </w:r>
          </w:p>
        </w:tc>
        <w:tc>
          <w:tcPr>
            <w:tcW w:w="3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1,681.5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Settlement obligations:</w:t>
            </w:r>
          </w:p>
        </w:tc>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vMerge w:val="continue"/>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 payables</w:t>
            </w:r>
          </w:p>
        </w:tc>
        <w:tc>
          <w:tcPr>
            <w:tcW w:w="3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708.6</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3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1,681.5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32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4" w:name="page75"/>
    <w:bookmarkEnd w:id="74"/>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7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w:t>
            </w:r>
          </w:p>
        </w:tc>
      </w:tr>
      <w:tr>
        <w:trPr>
          <w:trHeight w:val="243"/>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ATM cash</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r>
      <w:tr>
        <w:trPr>
          <w:trHeight w:val="243"/>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5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1,990.8</w:t>
            </w:r>
          </w:p>
        </w:tc>
      </w:tr>
      <w:tr>
        <w:trPr>
          <w:trHeight w:val="20"/>
        </w:trPr>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diluted earnings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the computation of diluted weighted average number of common shares outstanding:</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9"/>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 diluted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Euronet Worldwide, Inc. stockholders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231.0</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Interest expense from assumed conversion of convertible notes,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97"/>
        </w:trPr>
        <w:tc>
          <w:tcPr>
            <w:tcW w:w="6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Net income for diluted earnings per share calculation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235.7</w:t>
            </w:r>
          </w:p>
        </w:tc>
      </w:tr>
      <w:tr>
        <w:trPr>
          <w:trHeight w:val="257"/>
        </w:trPr>
        <w:tc>
          <w:tcPr>
            <w:tcW w:w="6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44,896,711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48,482,006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50,175,614</w:t>
            </w:r>
          </w:p>
        </w:tc>
      </w:tr>
      <w:tr>
        <w:trPr>
          <w:trHeight w:val="24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 restricted stock</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335,809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505,876</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debt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2,781,818.0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2,781,818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2,781,818</w:t>
            </w:r>
          </w:p>
        </w:tc>
      </w:tr>
      <w:tr>
        <w:trPr>
          <w:trHeight w:val="257"/>
        </w:trPr>
        <w:tc>
          <w:tcPr>
            <w:tcW w:w="6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48,082,766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51,599,633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53,463,308</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2024, 2023 and 2022 of approximately 3,125,000, 3,768,000 and 1,975,000, respectively.</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issued Convertible Senior Notes ("Convertible Notes") due March 2049 on March 18, 2019. Our Convertible Notes currently have a settlement feature requiring us upon conversion to settle the principal amount of the debt and any conversion value in excess of the principal value ("conversion premium"), for cash or shares of our common stock or a combination thereof, at our option. We have stated our intent to settle any conversion of these notes by paying cash for the principal value and issuing common stock for any conversion premium; however, after adopting ASU 2020-06, 2.8 million incremental shares assumed for conversion of convertible notes shall be included in the dilutive earnings per share calculation, if dilutive, regardless of whether the market price trigger has been met. Therefore, our Convertible Notes were included in the calculation of diluted earnings (loss) per share if their inclusion was dilutive. The dilutive effect increases the more the market price exceeds the conversion price of $188.73 per share. See Note 12, Debt Obligations, to the Consolidated Financial Statements for more information about the Convertible Notes.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repurchase program, initiated on September 13, 2022, to repurchase up to $350 million in value, but not more than 7.0 million shares of common stock through September 13, 2024, has been completed. During 2024, we repurchased 850,528 shares under the repurchase program at a weighted average purchase price of $113.63 for a total value of $96.6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13, 2023, the Company initiated a repurchase program to repurchase up to $350 million in value, but not more than 7.0 million shares of common stock through September 13, 2025. During 2024, we repurchased 1,625,005 shares under the repurchase program at a weighted average purchase price of $103.73 for a total value of $168.6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11, 2024, the Company initiated a repurchase program to repurchase up to $350 million in value, but not more than 7.0 million shares of common stock through September 11, 2026. During 2024, the Company did not repurchase shares under this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Repurchases under the programs may take place in the open market or in privately negotiated transactions, including derivative transactions, and may be made under a Rule 10b5-1 plan.</w:t>
      </w:r>
    </w:p>
    <w:p>
      <w:pPr>
        <w:spacing w:after="0" w:line="162" w:lineRule="exact"/>
        <w:rPr>
          <w:sz w:val="20"/>
          <w:szCs w:val="20"/>
          <w:color w:val="auto"/>
        </w:rPr>
      </w:pPr>
    </w:p>
    <w:p>
      <w:pPr>
        <w:ind w:right="720"/>
        <w:spacing w:after="0" w:line="461" w:lineRule="auto"/>
        <w:rPr>
          <w:sz w:val="20"/>
          <w:szCs w:val="20"/>
          <w:color w:val="auto"/>
        </w:rPr>
      </w:pPr>
      <w:r>
        <w:rPr>
          <w:rFonts w:ascii="Times New Roman" w:cs="Times New Roman" w:eastAsia="Times New Roman" w:hAnsi="Times New Roman"/>
          <w:sz w:val="18"/>
          <w:szCs w:val="18"/>
          <w:color w:val="auto"/>
        </w:rPr>
        <w:t xml:space="preserve">The Inflation Reduction Act (IRA) was signed into law in August 2022. Among other things, it imposes a 1% excise tax on net share repurchases. </w:t>
      </w:r>
      <w:r>
        <w:rPr>
          <w:rFonts w:ascii="Times New Roman" w:cs="Times New Roman" w:eastAsia="Times New Roman" w:hAnsi="Times New Roman"/>
          <w:sz w:val="18"/>
          <w:szCs w:val="18"/>
          <w:b w:val="1"/>
          <w:bCs w:val="1"/>
          <w:i w:val="1"/>
          <w:iCs w:val="1"/>
          <w:color w:val="auto"/>
        </w:rPr>
        <w:t>Preferred Stock</w:t>
      </w:r>
    </w:p>
    <w:p>
      <w:pPr>
        <w:spacing w:after="0" w:line="1" w:lineRule="exact"/>
        <w:rPr>
          <w:sz w:val="20"/>
          <w:szCs w:val="20"/>
          <w:color w:val="auto"/>
        </w:rPr>
      </w:pPr>
    </w:p>
    <w:p>
      <w:pPr>
        <w:ind w:right="1340"/>
        <w:spacing w:after="0" w:line="453" w:lineRule="auto"/>
        <w:rPr>
          <w:sz w:val="20"/>
          <w:szCs w:val="20"/>
          <w:color w:val="auto"/>
        </w:rPr>
      </w:pPr>
      <w:r>
        <w:rPr>
          <w:rFonts w:ascii="Times New Roman" w:cs="Times New Roman" w:eastAsia="Times New Roman" w:hAnsi="Times New Roman"/>
          <w:sz w:val="18"/>
          <w:szCs w:val="18"/>
          <w:color w:val="auto"/>
        </w:rPr>
        <w:t xml:space="preserve">The Company has the authority to issue up to 10 million shares of preferred stock, of which no shares are currently issued or outstanding. </w:t>
      </w:r>
      <w:r>
        <w:rPr>
          <w:rFonts w:ascii="Times New Roman" w:cs="Times New Roman" w:eastAsia="Times New Roman" w:hAnsi="Times New Roman"/>
          <w:sz w:val="18"/>
          <w:szCs w:val="18"/>
          <w:b w:val="1"/>
          <w:bCs w:val="1"/>
          <w:i w:val="1"/>
          <w:iCs w:val="1"/>
          <w:color w:val="auto"/>
        </w:rPr>
        <w:t>Accumulated other comprehensive gain (loss)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accumulated other comprehensive gain (loss) consists entirely of foreign currency translation adjustments. The Company recorded a foreign currency translation loss of $117.8 million, a gain of $47.9 million and a loss of $78.3 million for the years ended December 31, 2024, 2023, and 2022, respectively. There were no reclassifications of foreign currency translation into the Consolidated Statements of Operations for the years ended December 31, 2024, 2023, and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were paid on any class of the Company's stock during 2024, 2023, and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2024</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On February 1, 2024, Euronet acquired Infinitium Group, a leading regional solutions provider with Payments Authentication services, for a purchase consideration of $70.0 million cash and $5.0 million of the Company’s common stock to be paid over two installments on February 1, 2026 and 2027. The Company allocated $51.0 million of the purchase consideration to customer relationships, $5.6 million to acquired net assets, $10.2 million to deferred tax liability and the remaining $28.6 million to goodwill.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In the second quarter of 2024, Euronet acquired a business for an immaterial amount.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one acquisition in 2023 for an immaterial amount.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Restricted Cash</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restricted cash balances as of December 31, 2024 and 2023 were as follows: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85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Collateral on bank credit arrangements and other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7"/>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held in trust and/or cash held on behalf of others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Collateral on bank credit arrangements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7"/>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cash included within settlement assets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57"/>
        </w:trPr>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Restricted Cash</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140.2</w:t>
            </w:r>
          </w:p>
        </w:tc>
      </w:tr>
      <w:tr>
        <w:trPr>
          <w:trHeight w:val="20"/>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net of accumulated depreciation as of December 31, 2024 and 2023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854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w:t>
            </w:r>
          </w:p>
        </w:tc>
      </w:tr>
      <w:tr>
        <w:trPr>
          <w:trHeight w:val="243"/>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POS terminals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43"/>
        </w:trPr>
        <w:tc>
          <w:tcPr>
            <w:tcW w:w="8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Computers and software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57"/>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expenses related to property and equipment, including property and equipment recorded under finance leases, for the years ended December 31, 2024, 2023 and 2022 was $102.6 million, $100.8 million, and $101.5 million,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Goodwill and Acquired Intangible Assets, Net</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7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2024 and 2023:</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24"/>
                <w:szCs w:val="24"/>
                <w:color w:val="auto"/>
              </w:rPr>
            </w:pPr>
          </w:p>
        </w:tc>
        <w:tc>
          <w:tcPr>
            <w:tcW w:w="25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r>
      <w:tr>
        <w:trPr>
          <w:trHeight w:val="238"/>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43"/>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7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and amortizable intangible assets activity for the years ended December 31,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w:t>
            </w:r>
          </w:p>
        </w:tc>
      </w:tr>
      <w:tr>
        <w:trPr>
          <w:trHeight w:val="23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Assets</w:t>
            </w:r>
          </w:p>
        </w:tc>
      </w:tr>
      <w:tr>
        <w:trPr>
          <w:trHeight w:val="27"/>
        </w:trPr>
        <w:tc>
          <w:tcPr>
            <w:tcW w:w="6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r>
      <w:tr>
        <w:trPr>
          <w:trHeight w:val="24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(decreases):</w:t>
            </w:r>
          </w:p>
        </w:tc>
        <w:tc>
          <w:tcPr>
            <w:tcW w:w="4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Acquisitions (see footnote</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0"/>
        </w:trPr>
        <w:tc>
          <w:tcPr>
            <w:tcW w:w="6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(primarily changes in foreign currency exchange rates)</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50"/>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Balance as of December 31,</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(decreases):</w:t>
            </w:r>
          </w:p>
        </w:tc>
        <w:tc>
          <w:tcPr>
            <w:tcW w:w="4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Acquisitions (see footnote</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70"/>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70"/>
        </w:trPr>
        <w:tc>
          <w:tcPr>
            <w:tcW w:w="69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Other (primarily changes in foreign currency exchange rates)</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63"/>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Balance as of December 31,</w:t>
            </w:r>
          </w:p>
        </w:tc>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w:t>
            </w:r>
          </w:p>
        </w:tc>
      </w:tr>
      <w:tr>
        <w:trPr>
          <w:trHeight w:val="20"/>
        </w:trPr>
        <w:tc>
          <w:tcPr>
            <w:tcW w:w="2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total goodwill balance of $859.2 million as of December 31, 2024, $359.7 million relates to the Money Transfer Segment, $117.8 million relates to the epay Segment and the remaining $381.7 million relates to the EFT Processing Segment. Amortization expense for intangible assets with finite lives was $21.7 million, $24.5 million, and $27.0 million for the years ended December 31, 2024, 2023 and 2022, respectively. Estimated annual amortization expense on intangible assets with finite lives as of December 31, 2024, is expected to be $16.9 million for 2025, $17.2 million for 2026, $16.0 million for 2027, $15.6 million for 2028, and $15.5 million for 2029.</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(10) Convertible Notes Receivable</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loaned a total of $60.0 million to Koin Mobile, LLC and Marker Trax, LLC under two promissory notes (the "Notes"), which were fully executed on October 19, 2023. Under the terms of the Notes, interest will accrue on the Notes at 2% per annum and all unpaid principal and interest will be due and payable on October 18, 2028 if not converted earlier as discussed below. The Company has a security interest in all of the assets of Koin Mobile, LLC and Marker Trax, LLC. At December 31, 2024 the outstanding principal and accrued interest were $60.0 million and $1.4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convertible into preferred equity of Koin Mobile, LLC and Marker Trax, LLC at the option of the Company upon the occurrence of certain events including a qualified equity financing, change in control, achievement of profitability or at the option of the Company at maturity, as defined in the Notes.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 Current Liabilities</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The balances as of December 31, 2024 and 2023 were as follows:</w:t>
            </w: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7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tax payables</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payroll expenses</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3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30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14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Debt Obligations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2"/>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obligations consist of the following as of December 31, 2024 and 2023:</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8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894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536.9</w:t>
            </w: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Convertible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0.75% convertible notes, unsecured, due 2049</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r>
      <w:tr>
        <w:trPr>
          <w:trHeight w:val="270"/>
        </w:trPr>
        <w:tc>
          <w:tcPr>
            <w:tcW w:w="8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662.2</w:t>
            </w:r>
          </w:p>
        </w:tc>
      </w:tr>
      <w:tr>
        <w:trPr>
          <w:trHeight w:val="270"/>
        </w:trPr>
        <w:tc>
          <w:tcPr>
            <w:tcW w:w="8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Uncommitted credit agreement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8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8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57"/>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1,874.4</w:t>
            </w:r>
          </w:p>
        </w:tc>
      </w:tr>
      <w:tr>
        <w:trPr>
          <w:trHeight w:val="20"/>
        </w:trPr>
        <w:tc>
          <w:tcPr>
            <w:tcW w:w="8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8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Carrying value of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1,865.7</w:t>
            </w:r>
          </w:p>
        </w:tc>
      </w:tr>
      <w:tr>
        <w:trPr>
          <w:trHeight w:val="20"/>
        </w:trPr>
        <w:tc>
          <w:tcPr>
            <w:tcW w:w="8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8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7"/>
        </w:trPr>
        <w:tc>
          <w:tcPr>
            <w:tcW w:w="8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1,715.4</w:t>
            </w:r>
          </w:p>
        </w:tc>
      </w:tr>
      <w:tr>
        <w:trPr>
          <w:trHeight w:val="20"/>
        </w:trPr>
        <w:tc>
          <w:tcPr>
            <w:tcW w:w="8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aggregate annual maturities of long-term debt are $621.5 million due in 2026, and $512.9 million thereafter. This maturity schedule reflects the 1.375% Senior Notes of €600.0 million ($621.5 million) maturing in 2026 and the revolving credit facility maturing in 2029.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USD borrowing tranche totaling $215 million. The amended Credit Facility also removes the credit spread adjustment on SOFR and SONIA borrowings. All other terms remain substantially the same as the existing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Revolving Credit Facility (other than swing line loans) bear interest on a margin over a secured financing rate or the base rate, as selected by the Company, which varies from 0.875% to 1.375%, in each case based on the Company’s current credit rating. The applicable margin for borrowings under the credit facility, based on the Company’s current credit rating is 1.075%. In addition, the Company pays a facility fee on the total commitments made under the Revolving Credit Facility, which varies from 0.125% to 0.250%. The current facility fee is 0.175%.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debt.The Company was in compliance with all debt covenants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interest rate of the Company's borrowings under the Credit Facility from January 1, 2024 to December 31, 2024 was 6.39%.</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had stand-by letters of credit/bank guarantees outstanding under the Credit Facility of $44.5 million and $51.9 million, respectively. Stand-by letters of credit/bank guarantees reduce the Company's borrowing capacity under the Credit Facility and are generally used to secure trade credit and performance obligations. As of December 31, 2024 and 2023, the stand-by letters of credit interest charges were each 1.075% per annum. Available borrowing capacity under the Credit Facility as of December 31, 2024 was $1,335.1 million.</w:t>
      </w:r>
    </w:p>
    <w:p>
      <w:pPr>
        <w:sectPr>
          <w:pgSz w:w="11900" w:h="16838" w:orient="portrait"/>
          <w:cols w:equalWidth="0" w:num="1">
            <w:col w:w="11240"/>
          </w:cols>
          <w:pgMar w:left="320" w:top="333" w:right="3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Uncommitted Credit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2024, the Company rolled its existing $150 million Uncommitted Loan Agreement into a new Uncommitted Loan Agreement with a $400 million credit limit through September 30, 2024, and a credit limit of $250 million thereafter for the sole purpose of providing vault cash for ATMs and expires no later than June 20, 2025. The loan had an outstanding balance of $250 million at December 31, 2024. The loan is a Prime Rate Loan, a Daily SOFR Rate Loan plus 1.05% or shall bear interest at the rate agreed to by the Bank and the Company at the time such Loan is made. The weighted-average interest rate from loan inception date to December 31, 2024, was 6.07%.</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27, 2024, the Company entered into an Uncommitted Loan Agreement for $300 million, for the sole purpose of providing vault cash for ATMs, that expired on November 30, 2024. The loan was fully repaid and there was no balance at December 31, 2024. The loan was a Prime Rate Loan, a Daily Simple SOFR Rate Loan plus 1.125% or bore interest at the rate agreed to by the Bank and the Company at the time such Loan was made. The weighted-average interest rate from the loan inception date to November 30, 2024 was 6.24%.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2023, the Company entered into an Uncommitted Credit Agreement for $300 million, for the sole purpose of providing vault cash for ATMs, that expired on November 30, 2023. The loan was fully repaid and there was no balance at December 31, 2023. The loan bore interest at the rate per annum equal to the secured overnight financing rate (“SOFR”) plus 1.125%. The weighted-average interest rate from the loan inception date to November 30, 2023 was 6.37%.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26, 2023, the Company entered into an Uncommitted Loan Agreement for $150 million, fully drawn and outstanding at December 31, 2023, for the sole purpose of providing vault cash for ATMs, that expired on June 21, 2024. The loan was fully repaid and there was no balance at December 31, 2024. The loan was either a Prime rate loan, a Bloomberg Short-term Bank Yield ("BSBY") rate loan plus 0.95% or bore interest at the rate agreed to by the Bank and the Company at the time such loan was made. The weighted-average interest rate from the January 1, 2024 to June 21, 2024 was 6.34%.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may redeem for cash all or any portion of the Convertible Notes, at its option, (i)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As of December 31, 2024 the conversion threshold was not met. On January 1, 2022, the Company adopted ASU 2020-06,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Convertible Instruments and Contracts in an Entity's Own Equity" </w:t>
      </w:r>
      <w:r>
        <w:rPr>
          <w:rFonts w:ascii="Times New Roman" w:cs="Times New Roman" w:eastAsia="Times New Roman" w:hAnsi="Times New Roman"/>
          <w:sz w:val="18"/>
          <w:szCs w:val="18"/>
          <w:color w:val="auto"/>
        </w:rPr>
        <w:t>which simplifies the accounting for convertible instruments by eliminating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models when the conversion features are not required to be accounted for as derivatives under Topic 815, Derivatives and Hedging, or that do not result in substantial premiums accounted for as paid-in-capital. ASU 2020-06 amended the accounting for convertible instruments with ASC Topic 470 Debt (See Footnote 3 for the accounting impact of adopting ASU 220-06).</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above, the holders of the Convertible Notes have the option to require the Company to repurchase their Convertible Notes on March 15, 2025. Given current bond trading levels and the Company’s share price, the Company anticipates that holders of the Convertible Notes will exercise their repurchase option and as a result the Convertible Notes are classified as short-term obligations on the Consolidated Balance Sheet as of December 31,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1" w:name="page82"/>
    <w:bookmarkEnd w:id="8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Contractual interest expenses for the Convertible Notes was $3.9 million for each of the years ended December 31, 2024, 2023 and 2022. The effective interest rate was 4.35%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1.375% Senior Notes due 2026</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22, 2019, the Company completed the sale of €600.0 million ($669.9 million) aggregate principal amount of Senior Notes that mature on May 2026 (the "Senior Notes"). The Senior Notes accrue interest at a rate of 1.375% per year, payable annually in arrears commencing May 22, 2020, until maturity or earlier redemption. As of December 31, 2024, the Company has outstanding €600.0 million ($621.5 million) principal amount of the Senior Notes. In addition, the Company may redeem some or all of these notes on or after February 22, 2026 at their principal amount plus any accrued and unpaid interest. As of December 31, 2024, the Company had $1.7 million of unamortized debt issuance costs related to the Senior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obligations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subsidiaries have available lines of credit and overdraft credit facilities that generally provide for short-term borrowings that are used from time to time for working capital purposes. On October 9, 2024, the Company completed a facility of MYR 140 million and an overdraft facility of MYR 100 million for its Malaysian business. Each advance under this facility shall be made for a term of 1 month or such other period of up to 12 months. As of December 31, 2024, $37.4 million was borrowed under this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Instruments and Hedging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primarily due to either the relatively short duration of the contract term or the effects of fluctuations in currency exchange rates being reflected concurrently in earnings for both the derivative instrument and the transaction and have an offsetting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December 31, 2024 and 2023, the Company had foreign currency forward contracts outstanding in the U.S. with a notional value of $281.5 million and $393.3 million, respectively. The foreign currency forward contracts consist primarily in Australian dollars, Canadian dollars, British pounds, euros and Mexican pesos.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As of December 31, 2024 and 2023, the Company had foreign currency forward contracts outstanding with a notional value of $710.4 million and $563.1 million, respectively, primarily in euros.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xe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$88.8 million, $85.3 million, and $86.6 million for the years ended December 31, 2024, 2023 and 2022, respectively. All of the derivative contracts used in the Company's xe operations are economic hedges and are not designated as hedges under ASC 815. The duration of these derivative contracts is generally less than one year.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amounts of foreign currency derivative customer contracts held by the Company in its xe operations as of December 31, 2024 and 2023, was respectively $0.9 billion and $1.1 billion. The significant majority of customer contracts are written in major currencies such as the euro, U.S. dollar, British pound, Australian dollar and New Zealand dollar.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gridSpan w:val="2"/>
            <w:vMerge w:val="continue"/>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6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current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Other current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473"/>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December 31, 2024 and 2023 (in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Presented in</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Derivatives Not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Gross Amounts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Offset in the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Offset in 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of Recognized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Net Amounts</w:t>
            </w:r>
          </w:p>
        </w:tc>
      </w:tr>
      <w:tr>
        <w:trPr>
          <w:trHeight w:val="27"/>
        </w:trPr>
        <w:tc>
          <w:tcPr>
            <w:tcW w:w="4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4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2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c>
          <w:tcPr>
            <w:tcW w:w="660" w:type="dxa"/>
            <w:vAlign w:val="bottom"/>
            <w:tcBorders>
              <w:bottom w:val="single" w:sz="8" w:color="CCEEFF"/>
            </w:tcBorders>
            <w:gridSpan w:val="4"/>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513"/>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4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2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660" w:type="dxa"/>
            <w:vAlign w:val="bottom"/>
            <w:tcBorders>
              <w:bottom w:val="single" w:sz="8" w:color="CCEEFF"/>
            </w:tcBorders>
            <w:gridSpan w:val="4"/>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432"/>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1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bottom w:val="single" w:sz="8" w:color="auto"/>
            </w:tcBorders>
            <w:gridSpan w:val="3"/>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r>
      <w:tr>
        <w:trPr>
          <w:trHeight w:val="214"/>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Derivatives Not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Offset in the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Presented in the</w:t>
            </w:r>
          </w:p>
        </w:tc>
        <w:tc>
          <w:tcPr>
            <w:tcW w:w="12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Offset in the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of Recognized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8"/>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Net Amounts</w:t>
            </w:r>
          </w:p>
        </w:tc>
      </w:tr>
      <w:tr>
        <w:trPr>
          <w:trHeight w:val="27"/>
        </w:trPr>
        <w:tc>
          <w:tcPr>
            <w:tcW w:w="4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4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2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4"/>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513"/>
        </w:trPr>
        <w:tc>
          <w:tcPr>
            <w:tcW w:w="4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4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2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4"/>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459"/>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81</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8"/>
        </w:trPr>
        <w:tc>
          <w:tcPr>
            <w:tcW w:w="4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 Presentation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location and amount of gains on derivatives in the Consolidated Statements of Operations for the years ended December 31, 2024, 2023 and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Amount of Gain (Loss) Recognized in Income on</w:t>
            </w:r>
          </w:p>
        </w:tc>
      </w:tr>
      <w:tr>
        <w:trPr>
          <w:trHeight w:val="238"/>
        </w:trPr>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Derivative Contracts (a)</w:t>
            </w:r>
          </w:p>
        </w:tc>
        <w:tc>
          <w:tcPr>
            <w:tcW w:w="96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Location of Gain (Loss) Recognized in</w:t>
            </w:r>
          </w:p>
        </w:tc>
        <w:tc>
          <w:tcPr>
            <w:tcW w:w="16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6"/>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60" w:type="dxa"/>
            <w:vAlign w:val="bottom"/>
            <w:tcBorders>
              <w:bottom w:val="single" w:sz="8" w:color="auto"/>
            </w:tcBorders>
          </w:tcPr>
          <w:p>
            <w:pPr>
              <w:spacing w:after="0"/>
              <w:rPr>
                <w:sz w:val="22"/>
                <w:szCs w:val="22"/>
                <w:color w:val="auto"/>
              </w:rPr>
            </w:pPr>
          </w:p>
        </w:tc>
      </w:tr>
      <w:tr>
        <w:trPr>
          <w:trHeight w:val="237"/>
        </w:trPr>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00" w:type="dxa"/>
            <w:vAlign w:val="bottom"/>
          </w:tcPr>
          <w:p>
            <w:pPr>
              <w:spacing w:after="0"/>
              <w:rPr>
                <w:sz w:val="20"/>
                <w:szCs w:val="20"/>
                <w:color w:val="auto"/>
              </w:rPr>
            </w:pPr>
          </w:p>
        </w:tc>
        <w:tc>
          <w:tcPr>
            <w:tcW w:w="34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Income on Derivative Contracts</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contracts - Ria</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shd w:val="clear" w:color="auto" w:fill="CCEEFF"/>
          </w:tcPr>
          <w:p>
            <w:pPr>
              <w:spacing w:after="0"/>
              <w:rPr>
                <w:sz w:val="20"/>
                <w:szCs w:val="20"/>
                <w:color w:val="auto"/>
              </w:rPr>
            </w:pPr>
          </w:p>
        </w:tc>
        <w:tc>
          <w:tcPr>
            <w:tcW w:w="34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gain (loss), net   $</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  $</w:t>
            </w:r>
          </w:p>
        </w:tc>
        <w:tc>
          <w:tcPr>
            <w:tcW w:w="1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3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8"/>
        <w:spacing w:after="0" w:line="266" w:lineRule="auto"/>
        <w:tabs>
          <w:tab w:leader="none" w:pos="2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Financial Instruments and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value of lease payments is determined using the incremental borrowing rate based on information available at the lease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expense for these leases on a straight-line basis over the lease term.</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18"/>
          <w:szCs w:val="18"/>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Leases of ATM sites with termination options exercisable within the next 12 months are excluded from the right of use lease assets and lease liability under the short-term lease exemption as the termination options are not reasonably certain not to be exercised. Payments for ATM site leases with termination options subject to the short-term lease exemption are expensed in the period incurred. The short-term lease expense for 2024 reasonably reflects the Company’s short-term lease commitments.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operating leases (with initial lease terms in excess of one year) as of December 31, 2024 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96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4"/>
        </w:trPr>
        <w:tc>
          <w:tcPr>
            <w:tcW w:w="9680" w:type="dxa"/>
            <w:vAlign w:val="bottom"/>
          </w:tcPr>
          <w:p>
            <w:pPr>
              <w:spacing w:after="0"/>
              <w:rPr>
                <w:sz w:val="18"/>
                <w:szCs w:val="18"/>
                <w:color w:val="auto"/>
              </w:rPr>
            </w:pP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38"/>
        </w:trPr>
        <w:tc>
          <w:tcPr>
            <w:tcW w:w="9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Maturity of Lease Liabilities (in millions)</w:t>
            </w:r>
          </w:p>
        </w:tc>
        <w:tc>
          <w:tcPr>
            <w:tcW w:w="360" w:type="dxa"/>
            <w:vAlign w:val="bottom"/>
          </w:tcPr>
          <w:p>
            <w:pPr>
              <w:spacing w:after="0"/>
              <w:rPr>
                <w:sz w:val="20"/>
                <w:szCs w:val="20"/>
                <w:color w:val="auto"/>
              </w:rPr>
            </w:pPr>
          </w:p>
        </w:tc>
        <w:tc>
          <w:tcPr>
            <w:tcW w:w="12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7"/>
        </w:trPr>
        <w:tc>
          <w:tcPr>
            <w:tcW w:w="9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r>
      <w:tr>
        <w:trPr>
          <w:trHeight w:val="243"/>
        </w:trPr>
        <w:tc>
          <w:tcPr>
            <w:tcW w:w="9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9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9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r>
      <w:tr>
        <w:trPr>
          <w:trHeight w:val="243"/>
        </w:trPr>
        <w:tc>
          <w:tcPr>
            <w:tcW w:w="9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131.8</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540" w:right="2940" w:hanging="5532"/>
        <w:spacing w:after="0" w:line="563"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reflect the Company's current fixed obligations under the operating lease agreements.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Lease expense recognized in the Consolidated Statements of Operations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r>
      <w:tr>
        <w:trPr>
          <w:trHeight w:val="238"/>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Lease Expense (in millions)</w:t>
            </w:r>
          </w:p>
        </w:tc>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Income Statement Classification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 w:type="dxa"/>
            <w:vAlign w:val="bottom"/>
          </w:tcPr>
          <w:p>
            <w:pPr>
              <w:spacing w:after="0"/>
              <w:rPr>
                <w:sz w:val="20"/>
                <w:szCs w:val="20"/>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Direct operating costs</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tcPr>
          <w:p>
            <w:pPr>
              <w:spacing w:after="0"/>
              <w:rPr>
                <w:sz w:val="20"/>
                <w:szCs w:val="20"/>
                <w:color w:val="auto"/>
              </w:rPr>
            </w:pPr>
          </w:p>
        </w:tc>
      </w:tr>
      <w:tr>
        <w:trPr>
          <w:trHeight w:val="225"/>
        </w:trPr>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Variable lease expense</w:t>
            </w:r>
          </w:p>
        </w:tc>
        <w:tc>
          <w:tcPr>
            <w:tcW w:w="2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Direct operating costs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164.3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142.6</w:t>
            </w:r>
          </w:p>
        </w:tc>
        <w:tc>
          <w:tcPr>
            <w:tcW w:w="40" w:type="dxa"/>
            <w:vAlign w:val="bottom"/>
          </w:tcPr>
          <w:p>
            <w:pPr>
              <w:spacing w:after="0"/>
              <w:rPr>
                <w:sz w:val="20"/>
                <w:szCs w:val="20"/>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4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expense</w:t>
            </w:r>
          </w:p>
        </w:tc>
        <w:tc>
          <w:tcPr>
            <w:tcW w:w="2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211.8</w:t>
            </w:r>
          </w:p>
        </w:tc>
        <w:tc>
          <w:tcPr>
            <w:tcW w:w="4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214.4</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193.6</w:t>
            </w:r>
          </w:p>
        </w:tc>
        <w:tc>
          <w:tcPr>
            <w:tcW w:w="40" w:type="dxa"/>
            <w:vAlign w:val="bottom"/>
          </w:tcPr>
          <w:p>
            <w:pPr>
              <w:spacing w:after="0"/>
              <w:rPr>
                <w:sz w:val="22"/>
                <w:szCs w:val="22"/>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9"/>
        </w:trPr>
        <w:tc>
          <w:tcPr>
            <w:tcW w:w="846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Other information about lease amounts recognized in the consolidated financial statements is summarized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7"/>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0" w:type="dxa"/>
            <w:vAlign w:val="bottom"/>
          </w:tcPr>
          <w:p>
            <w:pPr>
              <w:spacing w:after="0"/>
              <w:rPr>
                <w:sz w:val="24"/>
                <w:szCs w:val="24"/>
                <w:color w:val="auto"/>
              </w:rPr>
            </w:pP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18"/>
                <w:szCs w:val="18"/>
                <w:color w:val="auto"/>
              </w:rPr>
            </w:pPr>
          </w:p>
        </w:tc>
      </w:tr>
      <w:tr>
        <w:trPr>
          <w:trHeight w:val="238"/>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Lease Term and Discount Rate of Operating Leases</w:t>
            </w: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r>
      <w:tr>
        <w:trPr>
          <w:trHeight w:val="27"/>
        </w:trPr>
        <w:tc>
          <w:tcPr>
            <w:tcW w:w="424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Borders>
              <w:left w:val="single" w:sz="8" w:color="CCEEFF"/>
            </w:tcBorders>
          </w:tcPr>
          <w:p>
            <w:pPr>
              <w:spacing w:after="0"/>
              <w:rPr>
                <w:sz w:val="21"/>
                <w:szCs w:val="2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21"/>
                <w:szCs w:val="21"/>
                <w:color w:val="auto"/>
              </w:rPr>
            </w:pPr>
          </w:p>
        </w:tc>
      </w:tr>
      <w:tr>
        <w:trPr>
          <w:trHeight w:val="499"/>
        </w:trPr>
        <w:tc>
          <w:tcPr>
            <w:tcW w:w="7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7"/>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0" w:type="dxa"/>
            <w:vAlign w:val="bottom"/>
          </w:tcPr>
          <w:p>
            <w:pPr>
              <w:spacing w:after="0"/>
              <w:rPr>
                <w:sz w:val="24"/>
                <w:szCs w:val="24"/>
                <w:color w:val="auto"/>
              </w:rPr>
            </w:pP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r>
      <w:tr>
        <w:trPr>
          <w:trHeight w:val="238"/>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 (in millions)</w:t>
            </w: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0" w:type="dxa"/>
            <w:vAlign w:val="bottom"/>
          </w:tcPr>
          <w:p>
            <w:pPr>
              <w:spacing w:after="0"/>
              <w:rPr>
                <w:sz w:val="20"/>
                <w:szCs w:val="20"/>
                <w:color w:val="auto"/>
              </w:rPr>
            </w:pPr>
          </w:p>
        </w:tc>
      </w:tr>
      <w:tr>
        <w:trPr>
          <w:trHeight w:val="27"/>
        </w:trPr>
        <w:tc>
          <w:tcPr>
            <w:tcW w:w="70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3"/>
        </w:trPr>
        <w:tc>
          <w:tcPr>
            <w:tcW w:w="70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(a)</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49.9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43"/>
        </w:trPr>
        <w:tc>
          <w:tcPr>
            <w:tcW w:w="70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Supplemental non-cash information on lease liabilities arising from obtaining ROU assets: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70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704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49.9</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Borders>
              <w:left w:val="single" w:sz="8" w:color="CCEEFF"/>
            </w:tcBorders>
            <w:shd w:val="clear" w:color="auto" w:fill="CCEEFF"/>
          </w:tcPr>
          <w:p>
            <w:pPr>
              <w:spacing w:after="0"/>
              <w:rPr>
                <w:sz w:val="21"/>
                <w:szCs w:val="21"/>
                <w:color w:val="auto"/>
              </w:rPr>
            </w:pPr>
          </w:p>
        </w:tc>
      </w:tr>
      <w:tr>
        <w:trPr>
          <w:trHeight w:val="27"/>
        </w:trPr>
        <w:tc>
          <w:tcPr>
            <w:tcW w:w="4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 w:type="dxa"/>
            <w:vAlign w:val="bottom"/>
            <w:tcBorders>
              <w:left w:val="single" w:sz="8" w:color="CCEEFF"/>
            </w:tcBorders>
            <w:shd w:val="clear" w:color="auto" w:fill="CCEEFF"/>
          </w:tcPr>
          <w:p>
            <w:pPr>
              <w:spacing w:after="0"/>
              <w:rPr>
                <w:sz w:val="2"/>
                <w:szCs w:val="2"/>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Included in Net cash provided by operating activities on the Company's Consolidated Statements of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sources of income before income taxes for the years ended December 31, 2024, 2023 and 2022 are presented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2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3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78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The Company's income tax expense for the years ended December 31, 2024, 2023 and 2022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20"/>
                <w:szCs w:val="20"/>
                <w:color w:val="auto"/>
              </w:rPr>
            </w:pPr>
          </w:p>
        </w:tc>
      </w:tr>
      <w:tr>
        <w:trPr>
          <w:trHeight w:val="27"/>
        </w:trPr>
        <w:tc>
          <w:tcPr>
            <w:tcW w:w="698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r>
      <w:tr>
        <w:trPr>
          <w:trHeight w:val="237"/>
        </w:trPr>
        <w:tc>
          <w:tcPr>
            <w:tcW w:w="6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50"/>
        </w:trPr>
        <w:tc>
          <w:tcPr>
            <w:tcW w:w="698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 deferred</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57"/>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tax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federal statutory income tax rates of 21% to the effective income tax rate for the years ended December 31, 2024,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(dollar amounts in millions)</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 income tax expense at applicable statutory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84.1</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43"/>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effect of:</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income tax expense at statutory rates, net of U.S. federal income tax</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0"/>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0"/>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Difference between U.S. federal and foreign tax rates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0"/>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in excess of statutory rates</w:t>
            </w: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federal and foreign valuation allowance</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GILTI, net of tax credits</w:t>
            </w: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0"/>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64"/>
        </w:trPr>
        <w:tc>
          <w:tcPr>
            <w:tcW w:w="6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120.9</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calculate our provision for federal, state and foreign income taxes based on current tax law.</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The tax effect of temporary differences and carryforwards that give rise to deferred tax assets and liabilities from continuing operations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loss carryforwards</w:t>
            </w:r>
          </w:p>
        </w:tc>
        <w:tc>
          <w:tcPr>
            <w:tcW w:w="39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 amortization</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costs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notes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revenue</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accounting</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related to purchase accounting</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intangible amortization</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Intercompany notes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revenue</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accounting</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 Investment</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57"/>
        </w:trPr>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6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54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78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jc w:val="both"/>
        <w:spacing w:after="0" w:line="282" w:lineRule="auto"/>
        <w:rPr>
          <w:sz w:val="20"/>
          <w:szCs w:val="20"/>
          <w:color w:val="auto"/>
        </w:rPr>
      </w:pPr>
      <w:r>
        <w:rPr>
          <w:rFonts w:ascii="Times New Roman" w:cs="Times New Roman" w:eastAsia="Times New Roman" w:hAnsi="Times New Roman"/>
          <w:sz w:val="18"/>
          <w:szCs w:val="18"/>
          <w:color w:val="auto"/>
        </w:rPr>
        <w:t>Net deferred tax assets of $25.3 million and $28.3 million as of December 31, 2024 and 2023, respectively, are recorded within "Other assets" on the Consolidated Balance Sheet.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Subsequently recognized tax benefits relating to the valuation allowance for deferred tax assets as of December 31, 2024 are expected to be allocated to income taxes in the Consolidated Statements of Operations. As of December 31, 2024, and 2023, the Company's foreign tax loss carryforwards were $183.3 million and $247.4 million, respectively, and U.S. state tax loss carryforwards were $81.0 million and $68.4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has U.S. foreign tax credit carryforwards of $57.1 million and $53.6 million respectively, which are largely not expected to be utilized in future periods.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realize the benefits of these deductible differences, net of the existing valuation allowances, 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had foreign tax net operating loss carryforwards of $183.3 million, which will expire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Tax Effected</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Unlimited</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Company's state tax net operating loss carryforwards of $81.0 million will expire periodically from 2025 through 2044, U.S. foreign tax credit carryforwards of $57.1 million will expire periodically from 2027 through 2034 and U.S. federal research and expenditure credit carryforwards of $3.8 million will expire periodically from 2034 through 2043.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not provided additional deferred taxes with respect to items such as certain foreign exchange gains or losses, foreign withholding taxes or additional state taxes, if any, on undistributed earnings attributable to foreign subsidiaries and it is not practical to determine the income tax liability that would be payable if such earnings were not reinvested indefinitely. Gross undistributed earnings reinvested indefinitely in foreign subsidiaries aggregated approximately $2,749.5 million as of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current OECD rules and administrative guidance, as well as the related legislation of those countries which has been enacted to date, the Company does not anticipate being subject to material minimum foreign taxes. The Company is continuing to monitor the potential impact of the Pillar Two proposals and developments on our Consolidated Financial Statements and related disclosures, including eligibility for any transitional safe harbor rules.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Accounting for uncertainty in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for the years ended December 31, 2024 and 2023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4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r>
      <w:tr>
        <w:trPr>
          <w:trHeight w:val="243"/>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Statute of limitations expiration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approximately $36.4 million and $38.2 million, respectively, of the unrecognized tax benefits would impact the Company's provision for income taxes and effective income tax rate, if recognized. Total estimated accrued interest and penalties related to the underpayment of income taxes was $7.1 million and $10.0 million as of December 31, 2024 and 2023, respectively. The following income tax years remain open in the Company's major jurisdictions as of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Jurisdictions</w:t>
            </w:r>
          </w:p>
        </w:tc>
        <w:tc>
          <w:tcPr>
            <w:tcW w:w="788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Periods</w:t>
            </w:r>
          </w:p>
        </w:tc>
      </w:tr>
      <w:tr>
        <w:trPr>
          <w:trHeight w:val="27"/>
        </w:trPr>
        <w:tc>
          <w:tcPr>
            <w:tcW w:w="3360" w:type="dxa"/>
            <w:vAlign w:val="bottom"/>
            <w:tcBorders>
              <w:bottom w:val="single" w:sz="8" w:color="auto"/>
            </w:tcBorders>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243"/>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w:t>
            </w:r>
          </w:p>
        </w:tc>
        <w:tc>
          <w:tcPr>
            <w:tcW w:w="788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2014 through 2024</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78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2016 through 2024</w:t>
            </w:r>
          </w:p>
        </w:tc>
      </w:tr>
      <w:tr>
        <w:trPr>
          <w:trHeight w:val="27"/>
        </w:trPr>
        <w:tc>
          <w:tcPr>
            <w:tcW w:w="336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Greece</w:t>
            </w:r>
          </w:p>
        </w:tc>
        <w:tc>
          <w:tcPr>
            <w:tcW w:w="788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2019 through 2024</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78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2016 through 2024</w:t>
            </w:r>
          </w:p>
        </w:tc>
      </w:tr>
      <w:tr>
        <w:trPr>
          <w:trHeight w:val="27"/>
        </w:trPr>
        <w:tc>
          <w:tcPr>
            <w:tcW w:w="336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43"/>
        </w:trPr>
        <w:tc>
          <w:tcPr>
            <w:tcW w:w="3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788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2019 through 2024</w:t>
            </w:r>
          </w:p>
        </w:tc>
      </w:tr>
      <w:tr>
        <w:trPr>
          <w:trHeight w:val="27"/>
        </w:trPr>
        <w:tc>
          <w:tcPr>
            <w:tcW w:w="336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Valuation and Qualifying Accounts</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Trade accounts receivable and accounts receivable balances included within the settlement assets are stated net of credit losses. Historically, the Company has not experienced significant write-offs. The Company records credit losses when it is probable that the accounts receivable balance will not be collected.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provides a summary of the credit loss balances and activity for the years ended </w:t>
      </w:r>
      <w:r>
        <w:rPr>
          <w:rFonts w:ascii="Courier New" w:cs="Courier New" w:eastAsia="Courier New" w:hAnsi="Courier New"/>
          <w:sz w:val="18"/>
          <w:szCs w:val="18"/>
          <w:color w:val="auto"/>
        </w:rPr>
        <w:t>December 31, 2024, 2023 and 2022:</w:t>
      </w:r>
    </w:p>
    <w:p>
      <w:pPr>
        <w:sectPr>
          <w:pgSz w:w="11900" w:h="16838" w:orient="portrait"/>
          <w:cols w:equalWidth="0" w:num="1">
            <w:col w:w="11240"/>
          </w:cols>
          <w:pgMar w:left="320" w:top="551"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Beginning balance-credit losses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Additions-charged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Amounts written off</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Other (primarily changes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Ending balance-credit losses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wp:posOffset>
            </wp:positionV>
            <wp:extent cx="25717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2"/>
                <w:szCs w:val="22"/>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2"/>
                <w:szCs w:val="22"/>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70"/>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3"/>
        </w:trPr>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4060"/>
          </w:cols>
          <w:pgMar w:left="320" w:top="551" w:right="33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(17) Stock Plans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four years from the date of grant. Stock options are generally exercisable during the shorter of a ten-year term or the term of employment with the Company. With the exception of certain awards made to the Company's employees in Germany, Singapore and Malaysia, awards under the SCP are settled through the issuance of new shares under the provisions of the SCP. For Company employees in Germany, Singapore and Malaysia, certain awards are settled through the issuance of treasury shares, which also reduces the number of shares available for future issuance under the SCP. As of December 31, 2024, the Company has approximately 2.8 million in total shares remaining available for issuance under the SCP.</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Share-based compensation expense was $43.9 million, $53.7 million, and $44.1 million for the years ended December 31, 2024, 2023 and 2022, respectively, and was recorded in salaries and benefits expense in the accompanying Consolidated Statements of Operations. The Company recorded a tax benefit of $2.0 million, $4.0 million, and $3.4 million during the years ended December 31, 2024, 2023 and 2022, respectively, for the portion of this expense that relates to foreign tax jurisdictions in which an income tax benefit is expected to be derived.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Summary stock options activity is presented in the table below:</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9"/>
        </w:trPr>
        <w:tc>
          <w:tcPr>
            <w:tcW w:w="5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6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596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7"/>
        </w:trPr>
        <w:tc>
          <w:tcPr>
            <w:tcW w:w="59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2023 (2,211,566 shares exercisable)</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5,118,992</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562,785</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(258,606)</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Forfeited/Canceled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(260,118)</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97"/>
        </w:trPr>
        <w:tc>
          <w:tcPr>
            <w:tcW w:w="5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5,161,664</w:t>
            </w:r>
          </w:p>
        </w:tc>
        <w:tc>
          <w:tcPr>
            <w:tcW w:w="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3,740,436</w:t>
            </w:r>
          </w:p>
        </w:tc>
        <w:tc>
          <w:tcPr>
            <w:tcW w:w="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5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5,047,966</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5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Options outstanding that are expected to vest are net of estimated future forfeitures. The Company received cash of $14.9 million, $5.4 million, and $5.9 million in connection with stock options exercised in the years ended December 31, 2024, 2023 and 2022, respectively. The intrinsic value of these options exercised was $10.7 million, $6.3 million, and $12.8 million in the years ended December 31, 2024, 2023 and 2022, respectively. As of December 31, 2024, unrecognized compensation expense related to nonvested stock options that are expected to vest totaled $48.3 million and will be recognized over the next 4 years, with an overall weighted-average period of 3 years. The following table provides the fair value of options granted under the SCP during 2024, 2023 and 2022, together with a description of the assumptions used to calculate the fair value using the Black-Scholes-Merton option-pricing model or Monte Carlo simulation model:</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3280" w:type="dxa"/>
            <w:vAlign w:val="bottom"/>
            <w:gridSpan w:val="5"/>
          </w:tcPr>
          <w:p>
            <w:pPr>
              <w:ind w:left="13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4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7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 - weighted average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6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67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4.09% to</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 - range</w:t>
            </w: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to 3.45%</w:t>
            </w: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Assumed forfeitures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67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lives</w:t>
            </w:r>
          </w:p>
        </w:tc>
        <w:tc>
          <w:tcPr>
            <w:tcW w:w="280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 years</w:t>
            </w:r>
          </w:p>
        </w:tc>
        <w:tc>
          <w:tcPr>
            <w:tcW w:w="5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 years</w:t>
            </w:r>
          </w:p>
        </w:tc>
        <w:tc>
          <w:tcPr>
            <w:tcW w:w="5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 years</w:t>
            </w:r>
          </w:p>
        </w:tc>
      </w:tr>
      <w:tr>
        <w:trPr>
          <w:trHeight w:val="27"/>
        </w:trPr>
        <w:tc>
          <w:tcPr>
            <w:tcW w:w="42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fair value (per option)</w:t>
            </w:r>
          </w:p>
        </w:tc>
        <w:tc>
          <w:tcPr>
            <w:tcW w:w="28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43.42</w:t>
            </w: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39.43</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37.15</w:t>
            </w:r>
          </w:p>
        </w:tc>
      </w:tr>
      <w:tr>
        <w:trPr>
          <w:trHeight w:val="459"/>
        </w:trPr>
        <w:tc>
          <w:tcPr>
            <w:tcW w:w="4260" w:type="dxa"/>
            <w:vAlign w:val="bottom"/>
          </w:tcPr>
          <w:p>
            <w:pPr>
              <w:spacing w:after="0"/>
              <w:rPr>
                <w:sz w:val="24"/>
                <w:szCs w:val="24"/>
                <w:color w:val="auto"/>
              </w:rPr>
            </w:pPr>
          </w:p>
        </w:tc>
        <w:tc>
          <w:tcPr>
            <w:tcW w:w="28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89</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29"/>
        </w:trPr>
        <w:tc>
          <w:tcPr>
            <w:tcW w:w="426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2" w:name="page93"/>
    <w:bookmarkEnd w:id="92"/>
    <w:p>
      <w:pPr>
        <w:jc w:val="both"/>
        <w:spacing w:after="0" w:line="254" w:lineRule="auto"/>
        <w:rPr>
          <w:sz w:val="20"/>
          <w:szCs w:val="20"/>
          <w:color w:val="auto"/>
        </w:rPr>
      </w:pPr>
      <w:r>
        <w:rPr>
          <w:rFonts w:ascii="Times New Roman" w:cs="Times New Roman" w:eastAsia="Times New Roman" w:hAnsi="Times New Roman"/>
          <w:sz w:val="18"/>
          <w:szCs w:val="18"/>
          <w:color w:val="auto"/>
        </w:rPr>
        <w:t>During 2024, the Company granted 562,785 options to executive officers, which vest evenly over a four-year term upon the achievement of a 10% increase over the share price on the date of grant for 30 consecutive days. During 2023, the Company granted approximately 596,127 options to executive officers, which vest evenly over a five-year term upon the achievement of a 10% increase over the share price on the date of grant for 30 consecutive days. During 2022, the Company granted approximately 411,648 options to executive officers, which vest evenly over a four-year term upon the achievement of a 10% increase over the share price on the date of grant for 30 consecutive days.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 The Company records related expenses for these awards that have performance-based conditions over the vesting period when the achievement of the award is probable of occurrence.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Summary restricted stock activity is presented in the table below:</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7"/>
        </w:trPr>
        <w:tc>
          <w:tcPr>
            <w:tcW w:w="8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85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38"/>
        </w:trPr>
        <w:tc>
          <w:tcPr>
            <w:tcW w:w="856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7"/>
        </w:trPr>
        <w:tc>
          <w:tcPr>
            <w:tcW w:w="8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766,702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104.65</w:t>
            </w:r>
          </w:p>
        </w:tc>
      </w:tr>
      <w:tr>
        <w:trPr>
          <w:trHeight w:val="24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322,899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105.08</w:t>
            </w:r>
          </w:p>
        </w:tc>
      </w:tr>
      <w:tr>
        <w:trPr>
          <w:trHeight w:val="27"/>
        </w:trPr>
        <w:tc>
          <w:tcPr>
            <w:tcW w:w="8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177,101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116.53</w:t>
            </w:r>
          </w:p>
        </w:tc>
      </w:tr>
      <w:tr>
        <w:trPr>
          <w:trHeight w:val="24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83,145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135.07</w:t>
            </w:r>
          </w:p>
        </w:tc>
      </w:tr>
      <w:tr>
        <w:trPr>
          <w:trHeight w:val="27"/>
        </w:trPr>
        <w:tc>
          <w:tcPr>
            <w:tcW w:w="8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829,355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97.11</w:t>
            </w:r>
          </w:p>
        </w:tc>
      </w:tr>
      <w:tr>
        <w:trPr>
          <w:trHeight w:val="20"/>
        </w:trPr>
        <w:tc>
          <w:tcPr>
            <w:tcW w:w="8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shares vested in the years ended December 31, 2024, 2023 and 2022 was $18.9 million, $14.8 million, and $9.3 million, respectively. As of December 31, 2024, there was $20.4 million of total unrecognized compensation cost related to unvested time-based restricted stock, which is expected to be recognized over a weighted-average period of 3.1 years. As of December 31, 2024, there was $31.6 million of total unrecognized compensation costs related to unvested performance-based restricted stock, which is expected to be recognized based on Company performance over a weighted-average period of 1.9 years. The weighted average grant date fair value of restricted stock granted during the years ended December 31, 2024, 2023 and 2022 was $105.08, 92.76 and $91.47 per share, respectively.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(18) Business 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Euronet's Chief Executive Officer (CEO) is the Chief Operating Decision Maker (CODM) and is responsible for assessing performance and making resource allocation decisions across the Company's operating segments. The CODM evaluates segment performance primarily based on financial metrics such as revenue, operating income, and other key performance indicators. In making resource allocation decisions, the CODM reviews segment operating income and revenue on a monthly basis to assess profitability and efficiency across segments. Additionally, the CODM considers forecast-to-actual variances in revenue, operating income, and key performance indicators as part of the forecasting process. These measures are used to guide decisions related to capital investments, personnel allocation, and strategic initiatives across the Company’s segments. The CODM also evaluates segment-level profitability and return on assets when making long-term investment decisions and assessing segment performance relative to strategic goals. The accounting policies of the segments are the same as those described in the summary of significant accounting policies.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Euronet's reportable operating segments have been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currently operates in the following three reportable operating segments:</w:t>
      </w:r>
    </w:p>
    <w:p>
      <w:pPr>
        <w:spacing w:after="0" w:line="160" w:lineRule="exact"/>
        <w:rPr>
          <w:sz w:val="20"/>
          <w:szCs w:val="20"/>
          <w:color w:val="auto"/>
        </w:rPr>
      </w:pPr>
    </w:p>
    <w:p>
      <w:pPr>
        <w:jc w:val="both"/>
        <w:ind w:firstLine="278"/>
        <w:spacing w:after="0" w:line="258" w:lineRule="auto"/>
        <w:tabs>
          <w:tab w:leader="none" w:pos="4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the Company processes transactions for a network of ATMs and POS terminals across Europe, the Middle East, Africa, Asia Pacific and North America. The Company provides comprehensive electronic payment solutions consisting of ATM cash withdrawal services, ATM network participation, outsourced ATM and POS management solutions, credit, debit and prepaid card outsourcing, dynamic currency conversion, domestic and international surcharges and other value-added services. Through this segment, the Company also offers a suite of integrated electronic financial transaction software solutions for electronic payment and transaction delivery systems.</w:t>
      </w:r>
    </w:p>
    <w:p>
      <w:pPr>
        <w:spacing w:after="0" w:line="183" w:lineRule="exact"/>
        <w:rPr>
          <w:rFonts w:ascii="Times New Roman" w:cs="Times New Roman" w:eastAsia="Times New Roman" w:hAnsi="Times New Roman"/>
          <w:sz w:val="18"/>
          <w:szCs w:val="18"/>
          <w:color w:val="auto"/>
        </w:rPr>
      </w:pPr>
    </w:p>
    <w:p>
      <w:pPr>
        <w:ind w:firstLine="278"/>
        <w:spacing w:after="0" w:line="282" w:lineRule="auto"/>
        <w:tabs>
          <w:tab w:leader="none" w:pos="4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161" w:lineRule="exact"/>
        <w:rPr>
          <w:rFonts w:ascii="Times New Roman" w:cs="Times New Roman" w:eastAsia="Times New Roman" w:hAnsi="Times New Roman"/>
          <w:sz w:val="18"/>
          <w:szCs w:val="18"/>
          <w:color w:val="auto"/>
        </w:rPr>
      </w:pPr>
    </w:p>
    <w:p>
      <w:pPr>
        <w:jc w:val="both"/>
        <w:ind w:firstLine="278"/>
        <w:spacing w:after="0" w:line="255" w:lineRule="auto"/>
        <w:tabs>
          <w:tab w:leader="none" w:pos="4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Money Transfer Segment, the Company provides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The following tables present the Company's results for the years ended December 31, 2024,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Services,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Money</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epay</w:t>
            </w: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Transfer</w:t>
            </w: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3,989.8</w:t>
            </w:r>
          </w:p>
        </w:tc>
      </w:tr>
      <w:tr>
        <w:trPr>
          <w:trHeight w:val="237"/>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2,389.3</w:t>
            </w:r>
          </w:p>
        </w:tc>
      </w:tr>
      <w:tr>
        <w:trPr>
          <w:trHeight w:val="24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650.2</w:t>
            </w: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315.3</w:t>
            </w:r>
          </w:p>
        </w:tc>
      </w:tr>
      <w:tr>
        <w:trPr>
          <w:trHeight w:val="24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w:t>
            </w:r>
          </w:p>
        </w:tc>
      </w:tr>
      <w:tr>
        <w:trPr>
          <w:trHeight w:val="27"/>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3,486.6</w:t>
            </w:r>
          </w:p>
        </w:tc>
      </w:tr>
      <w:tr>
        <w:trPr>
          <w:trHeight w:val="237"/>
        </w:trPr>
        <w:tc>
          <w:tcPr>
            <w:tcW w:w="4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503.2</w:t>
            </w:r>
          </w:p>
        </w:tc>
      </w:tr>
      <w:tr>
        <w:trPr>
          <w:trHeight w:val="27"/>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43"/>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gains, net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37"/>
        </w:trPr>
        <w:tc>
          <w:tcPr>
            <w:tcW w:w="4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7"/>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448.9</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assets as of December 31, 2024</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5,834.5</w:t>
            </w:r>
          </w:p>
        </w:tc>
      </w:tr>
      <w:tr>
        <w:trPr>
          <w:trHeight w:val="486"/>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8"/>
        </w:trPr>
        <w:tc>
          <w:tcPr>
            <w:tcW w:w="4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Services,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Money</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epay</w:t>
            </w: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Transfer</w:t>
            </w: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3,688.0</w:t>
            </w:r>
          </w:p>
        </w:tc>
      </w:tr>
      <w:tr>
        <w:trPr>
          <w:trHeight w:val="237"/>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2,222.8</w:t>
            </w:r>
          </w:p>
        </w:tc>
      </w:tr>
      <w:tr>
        <w:trPr>
          <w:trHeight w:val="24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602.9</w:t>
            </w: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296.8</w:t>
            </w:r>
          </w:p>
        </w:tc>
      </w:tr>
      <w:tr>
        <w:trPr>
          <w:trHeight w:val="24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r>
      <w:tr>
        <w:trPr>
          <w:trHeight w:val="27"/>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3,255.4</w:t>
            </w:r>
          </w:p>
        </w:tc>
      </w:tr>
      <w:tr>
        <w:trPr>
          <w:trHeight w:val="237"/>
        </w:trPr>
        <w:tc>
          <w:tcPr>
            <w:tcW w:w="4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432.6</w:t>
            </w:r>
          </w:p>
        </w:tc>
      </w:tr>
      <w:tr>
        <w:trPr>
          <w:trHeight w:val="27"/>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43"/>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Foreign currency exchange gain, net</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gains, net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4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7"/>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400.4</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assets as of December 31, 2023</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5,894.4</w:t>
            </w:r>
          </w:p>
        </w:tc>
      </w:tr>
      <w:tr>
        <w:trPr>
          <w:trHeight w:val="486"/>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8"/>
        </w:trPr>
        <w:tc>
          <w:tcPr>
            <w:tcW w:w="4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Services,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Money</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EFT Processing</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epay</w:t>
            </w:r>
          </w:p>
        </w:tc>
        <w:tc>
          <w:tcPr>
            <w:tcW w:w="2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Transfer</w:t>
            </w:r>
          </w:p>
        </w:tc>
        <w:tc>
          <w:tcPr>
            <w:tcW w:w="14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3,358.8</w:t>
            </w:r>
          </w:p>
        </w:tc>
      </w:tr>
      <w:tr>
        <w:trPr>
          <w:trHeight w:val="237"/>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2,018.2</w:t>
            </w:r>
          </w:p>
        </w:tc>
      </w:tr>
      <w:tr>
        <w:trPr>
          <w:trHeight w:val="24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534.2</w:t>
            </w: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285.1</w:t>
            </w:r>
          </w:p>
        </w:tc>
      </w:tr>
      <w:tr>
        <w:trPr>
          <w:trHeight w:val="24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135.9</w:t>
            </w:r>
          </w:p>
        </w:tc>
      </w:tr>
      <w:tr>
        <w:trPr>
          <w:trHeight w:val="27"/>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2,973.4</w:t>
            </w:r>
          </w:p>
        </w:tc>
      </w:tr>
      <w:tr>
        <w:trPr>
          <w:trHeight w:val="237"/>
        </w:trPr>
        <w:tc>
          <w:tcPr>
            <w:tcW w:w="4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(expense)</w:t>
            </w: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385.4</w:t>
            </w:r>
          </w:p>
        </w:tc>
      </w:tr>
      <w:tr>
        <w:trPr>
          <w:trHeight w:val="27"/>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Foreign currency exchange loss, net</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gains, net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4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322.6</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4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Segment assets as of December 31, 2022</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5,403.6</w:t>
            </w:r>
          </w:p>
        </w:tc>
      </w:tr>
      <w:tr>
        <w:trPr>
          <w:trHeight w:val="486"/>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8"/>
        </w:trPr>
        <w:tc>
          <w:tcPr>
            <w:tcW w:w="4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7" w:name="page98"/>
    <w:bookmarkEnd w:id="97"/>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revenues for the years ended December 31, 2024, 2023 and 2022, and property and equipment and total assets as of December 31, 2024 and 2023, summarized by geographic location,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Property and Equipment,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2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 Assets</w:t>
            </w:r>
          </w:p>
        </w:tc>
      </w:tr>
      <w:tr>
        <w:trPr>
          <w:trHeight w:val="270"/>
        </w:trPr>
        <w:tc>
          <w:tcPr>
            <w:tcW w:w="2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2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20" w:type="dxa"/>
            <w:vAlign w:val="bottom"/>
          </w:tcPr>
          <w:p>
            <w:pPr>
              <w:spacing w:after="0"/>
              <w:rPr>
                <w:sz w:val="23"/>
                <w:szCs w:val="23"/>
                <w:color w:val="auto"/>
              </w:rPr>
            </w:pPr>
          </w:p>
        </w:tc>
        <w:tc>
          <w:tcPr>
            <w:tcW w:w="21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240" w:type="dxa"/>
            <w:vAlign w:val="bottom"/>
          </w:tcPr>
          <w:p>
            <w:pPr>
              <w:spacing w:after="0"/>
              <w:rPr>
                <w:sz w:val="23"/>
                <w:szCs w:val="23"/>
                <w:color w:val="auto"/>
              </w:rPr>
            </w:pPr>
          </w:p>
        </w:tc>
        <w:tc>
          <w:tcPr>
            <w:tcW w:w="2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7"/>
        </w:trPr>
        <w:tc>
          <w:tcPr>
            <w:tcW w:w="324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28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r>
      <w:tr>
        <w:trPr>
          <w:trHeight w:val="237"/>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w:t>
            </w:r>
          </w:p>
        </w:tc>
      </w:tr>
      <w:tr>
        <w:trPr>
          <w:trHeight w:val="27"/>
        </w:trPr>
        <w:tc>
          <w:tcPr>
            <w:tcW w:w="2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r>
      <w:tr>
        <w:trPr>
          <w:trHeight w:val="24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r>
      <w:tr>
        <w:trPr>
          <w:trHeight w:val="27"/>
        </w:trPr>
        <w:tc>
          <w:tcPr>
            <w:tcW w:w="2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4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Poland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7"/>
        </w:trPr>
        <w:tc>
          <w:tcPr>
            <w:tcW w:w="2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4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7"/>
        </w:trPr>
        <w:tc>
          <w:tcPr>
            <w:tcW w:w="2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Greece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r>
      <w:tr>
        <w:trPr>
          <w:trHeight w:val="24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Malaysia</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7"/>
        </w:trPr>
        <w:tc>
          <w:tcPr>
            <w:tcW w:w="2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4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New Zealand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7"/>
        </w:trPr>
        <w:tc>
          <w:tcPr>
            <w:tcW w:w="2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Netherlands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4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7"/>
        </w:trPr>
        <w:tc>
          <w:tcPr>
            <w:tcW w:w="2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43"/>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w:t>
            </w:r>
          </w:p>
        </w:tc>
      </w:tr>
      <w:tr>
        <w:trPr>
          <w:trHeight w:val="27"/>
        </w:trPr>
        <w:tc>
          <w:tcPr>
            <w:tcW w:w="2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foreign</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4,695.9</w:t>
            </w:r>
          </w:p>
        </w:tc>
      </w:tr>
      <w:tr>
        <w:trPr>
          <w:trHeight w:val="257"/>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5,894.4</w:t>
            </w:r>
          </w:p>
        </w:tc>
      </w:tr>
      <w:tr>
        <w:trPr>
          <w:trHeight w:val="20"/>
        </w:trPr>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is primarily due from independent agents that collect cash from customers on the Company's behalf and generally remit the cash within one week. The Company performs ongoing evaluations of its customers' financial condition and limits the amount of credit extended, or purchases credit enhancement protection, when deemed necessary, but generally requires no collateral. See Note 16, Valuation and Qualifying Accounts, to the Consolidated Financial Statements for further disclosure.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invests excess cash not required for use in operations primarily in high credit quality, short-term duration securities that the Company believes bear minimal risk.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right="20"/>
        <w:spacing w:after="0" w:line="250"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60" w:lineRule="auto"/>
        <w:rPr>
          <w:sz w:val="20"/>
          <w:szCs w:val="20"/>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financial assets measured and recorded at fair value on a recurring basis: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3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3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2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receivable</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3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7"/>
        </w:trPr>
        <w:tc>
          <w:tcPr>
            <w:tcW w:w="3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146050</wp:posOffset>
            </wp:positionV>
            <wp:extent cx="7071995"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31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r>
      <w:tr>
        <w:trPr>
          <w:trHeight w:val="201"/>
        </w:trPr>
        <w:tc>
          <w:tcPr>
            <w:tcW w:w="3120" w:type="dxa"/>
            <w:vAlign w:val="bottom"/>
          </w:tcPr>
          <w:p>
            <w:pPr>
              <w:spacing w:after="0"/>
              <w:rPr>
                <w:sz w:val="17"/>
                <w:szCs w:val="17"/>
                <w:color w:val="auto"/>
              </w:rPr>
            </w:pPr>
          </w:p>
        </w:tc>
        <w:tc>
          <w:tcPr>
            <w:tcW w:w="2320" w:type="dxa"/>
            <w:vAlign w:val="bottom"/>
            <w:gridSpan w:val="2"/>
          </w:tcPr>
          <w:p>
            <w:pPr>
              <w:ind w:left="780"/>
              <w:spacing w:after="0" w:line="201"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8"/>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3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3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1"/>
                <w:szCs w:val="21"/>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(39.1)</w:t>
            </w: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trade accounts receivable, trade accounts payable and short-term debt obligations are approximate fair values due to their short maturities. The carrying values of the Company's revolving credit agreements approximate fair values because interest is based on SOFR that resets at various intervals of less than one year. The Company estimates the fair value of the Convertible Notes and Senior Notes using quoted prices in inactive markets for identical liabilities (Level 2). As of December 31, 2024, the fair values of the Convertible Notes and Senior Notes were $515.4 million and $604.8 million, respectively, with carrying values of $525.0 million and $621.5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Litigation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the Company's business. In accordance with U.S. GAAP, the Company records a liability when it is both probable that a liability has been incurred and the amount of the loss can be reasonably estimated. Currently, there are no legal proceedings or regulatory findings which are both probable that a liability has been incurred and can be reasonably estimated that management believes, either individually or in the aggregate, would have a material adverse effect on the Company's consolidated financial condition or results of operations. These provisions are reviewed at least quarterly and adjusted to reflect the impacts of negotiations, settlements, rulings, advice of legal counsel, and other information and events pertaining to a particular case.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July 2024, the Company received an adverse judicial decision related to withholding taxes on certain agency relationships in Italy within the Money Transfer Segment, which the Company has appealed. In January 2025, the Company received a positive judicial decision in the same court related to the same issue but corresponding to a different taxable period. The Company completed an assessment and concluded that it is reasonably possible that a liability has been incurred, but not probable. The principal amount of the agent-based withholding tax could be approximately $16.5 million for all open periods.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(21)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$69.9 million of stand-by letters of credit/bank guarantees issued on its behalf, of which $3.0 million are collateralized by cash deposits held by the respective issuing banks.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grants guarantees in support of the obligations of subsidiaries. As of December 31, 2024, the Company granted off balance sheet guarantees for cash in various ATM networks amounting to $10.3 million over the terms of the cash supply agreements and performance guarantees amounting to approximately $39.6 million over the terms of the agreements with the customers.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66" w:lineRule="exact"/>
        <w:rPr>
          <w:sz w:val="20"/>
          <w:szCs w:val="20"/>
          <w:color w:val="auto"/>
        </w:rPr>
      </w:pPr>
    </w:p>
    <w:p>
      <w:pPr>
        <w:jc w:val="both"/>
        <w:ind w:left="240" w:hanging="232"/>
        <w:spacing w:after="0" w:line="261"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2024, the balance of such cash used in the Company's ATM networks for which the Company was responsible was approximately $416.3 million. The Company maintains insurance policies to mitigate this exposure;</w:t>
      </w:r>
    </w:p>
    <w:p>
      <w:pPr>
        <w:spacing w:after="0" w:line="152"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contracts with certain customers the Company is responsible for losses suffered by those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135"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175"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135" w:lineRule="exact"/>
        <w:rPr>
          <w:rFonts w:ascii="Times New Roman" w:cs="Times New Roman" w:eastAsia="Times New Roman" w:hAnsi="Times New Roman"/>
          <w:sz w:val="18"/>
          <w:szCs w:val="18"/>
          <w:color w:val="auto"/>
        </w:rPr>
      </w:pPr>
    </w:p>
    <w:p>
      <w:pPr>
        <w:jc w:val="both"/>
        <w:ind w:left="240" w:hanging="232"/>
        <w:spacing w:after="0" w:line="256"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160"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the Company is not aware of any significant claims made by the indemnified parties or third parties to guarantee agreements with the Company and, accordingly, no liabilities were recorded as of December 31, 2024 or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an airplane from a company owned by Mr. Michael J. Brown, Euronet's Chief Executive Officer, President, and Chairman of the Board of Directors. The airplane is leased for business use on a per flight hour basis at competitive commercial rates with no minimum usage requirement. Euronet incurred expenses of $0.3 million, $0.2 million, and $0.2 million during the years ended December 31, 2024, 2023 and 2022, respectively, for the use of this airplane.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2024.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fourth quarter of 2024 that has materially affected, or is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Euronet Worldwide, Inc.:</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of Euronet Worldwide, Inc. assessed the effectiveness of the Company's internal control over financial reporting as of December 31, 2024. In making this assessment, it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(2013). Based on these criteria and our assessment, we have determined that, as of December 31, 2024, the Company's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financial reporting was effective.</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KPMG LLP, an independent registered public accounting firm, as stated in their audit report, included herein.</w:t>
      </w:r>
    </w:p>
    <w:p>
      <w:pPr>
        <w:spacing w:after="0" w:line="391"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72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3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572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 and Chief Accounting Officer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2024, none of the Company’s directors or "officers," as defined in Rule 16a-1(f) of the Securities Exchange Act of 1934, as amended (the "Exchange Act"), adopted or terminated a "Rule 10b5-1 trading arrangement" or a "non-Rule 10b5-1 trading arrangement," as each term is defined in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under “Election of Directors,” “Delinquent Section 16(a) Reports” (if applicable), "Employee and Director Stock Ownership; Insider Trading and Hedging Policy" and “Meetings and Committees of the Board of Directors” in the Proxy Statement for the 2025 Annual Meeting of Stockholders, which will be filed with the SEC no later than 120 days after December 31, 2024,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“Information about our Executive Officers” in Part I of this Annual Report on Form 10-K and incorporated herein by reference.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For Investors/Corporate Governance.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“Compensation Tables,” “Compensation Discussion and Analysis,” “Director Compensation,” “Compensation Committee Report” and “Compensation Committee Interlocks and Insider Participation” in the Proxy Statement for the 2025 Annual Meeting of Stockholders, which will be filed with the SEC no later than 120 days after December 31, 2024, is incorporated herein by reference.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“Beneficial Ownership of Common Stock”, “Election of Directors” and "Compensation Tables - Shares Issuable under Stockholder Approved Plans" in the Proxy Statement for the 2025 Annual Meeting of Stockholders, which will be filed with the SEC no later than 120 days after December 31, 2024, is incorporated herein by reference.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under “Certain Relationships and Related Transactions and Director Independence” in the Proxy Statement for the 2025 Annual Meeting of Stockholders, which will be filed with the SEC no later than 120 days after December 31, 2024, is incorporated herein by reference.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“Audit Matters - Fees of the Company's Independent Auditors” and - "Audit Matters - Audit Committee Pre-Approval Policy" in the Proxy Statement for the 2025 Annual Meeting of Stockholders, which will be filed with the SEC no later than 120 days after December 31, 2024, is incorporated herein by reference.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00" w:hanging="279"/>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Documents Filed as Part of this Report.</w:t>
      </w:r>
    </w:p>
    <w:p>
      <w:pPr>
        <w:spacing w:after="0" w:line="223" w:lineRule="exact"/>
        <w:rPr>
          <w:rFonts w:ascii="Times New Roman" w:cs="Times New Roman" w:eastAsia="Times New Roman" w:hAnsi="Times New Roman"/>
          <w:sz w:val="18"/>
          <w:szCs w:val="18"/>
          <w:color w:val="auto"/>
        </w:rPr>
      </w:pPr>
    </w:p>
    <w:p>
      <w:pPr>
        <w:ind w:left="440" w:hanging="189"/>
        <w:spacing w:after="0"/>
        <w:tabs>
          <w:tab w:leader="none" w:pos="440" w:val="left"/>
        </w:tabs>
        <w:numPr>
          <w:ilvl w:val="1"/>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260" w:right="8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together with the report of KPMG LLP, appear in Part II, Item 8 - Financial Statements and Supplementary Data, of this Form 10-K.</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 Schedules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that are required to be filed or incorporated by reference herein are listed in the Exhibit Index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500" w:type="dxa"/>
            <w:vAlign w:val="bottom"/>
            <w:gridSpan w:val="14"/>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39"/>
        </w:trPr>
        <w:tc>
          <w:tcPr>
            <w:tcW w:w="1140" w:type="dxa"/>
            <w:vAlign w:val="bottom"/>
            <w:tcBorders>
              <w:top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40" w:type="dxa"/>
            <w:vAlign w:val="bottom"/>
            <w:tcBorders>
              <w:top w:val="single" w:sz="8" w:color="auto"/>
              <w:bottom w:val="single" w:sz="8" w:color="0000FF"/>
            </w:tcBorders>
            <w:gridSpan w:val="15"/>
          </w:tcPr>
          <w:p>
            <w:pPr>
              <w:spacing w:after="0"/>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Certificate of Incorporation of Euronet Worldwide, Inc., as amended (filed as Exhibit 3.2 to the Company's Current Report on Form 8-K</w:t>
              </w:r>
            </w:hyperlink>
          </w:p>
        </w:tc>
        <w:tc>
          <w:tcPr>
            <w:tcW w:w="20" w:type="dxa"/>
            <w:vAlign w:val="bottom"/>
            <w:tcBorders>
              <w:top w:val="single" w:sz="8" w:color="auto"/>
            </w:tcBorders>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filed on May 22, 2009 and incorporated by reference herein)</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Certificate of Amendment to Certificate of Incorporation of Euronet Worldwide, Inc. (filed as Exhibit 3.1 to the Company's Current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Report on Form 8-K filed on May 22, 2009 and incorporated by reference herein)</w:t>
              </w:r>
            </w:hyperlink>
          </w:p>
        </w:tc>
        <w:tc>
          <w:tcPr>
            <w:tcW w:w="38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Amended and Restated Certificate of Designations, Preferences and Rights of Series A Junior Participating Preferred Stock (filed as</w:t>
              </w:r>
            </w:hyperlink>
          </w:p>
        </w:tc>
        <w:tc>
          <w:tcPr>
            <w:tcW w:w="34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Exhibit 3.1 to the Company's Current Report on Form 8-K filed on March 29, 2013, and incorporated herein by reference)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Amended and Restated Bylaws of Euronet Worldwide, Inc. (filed as Exhibit 3.2 to the Company's Current Report on Form 8-K filed on</w:t>
              </w:r>
            </w:hyperlink>
          </w:p>
        </w:tc>
        <w:tc>
          <w:tcPr>
            <w:tcW w:w="1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6"/>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February 28, 2017, and incorporated herein by reference)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Indenture, dated May 22, 2019, between Euronet Worldwide, Inc. and U.S. Bank National Association, as trustee (filed as Exhibit 4.1 to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the Company's Current Report on Form 8-K filed on May 22, 2019 and incorporated by reference herein)</w:t>
              </w:r>
            </w:hyperlink>
          </w:p>
        </w:tc>
        <w:tc>
          <w:tcPr>
            <w:tcW w:w="6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Supplemental Indenture, dated May 22, 2019, between Euronet Worldwide, Inc. and U.S. Bank National Association, as trustee (filed as</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Exhibit 4.2 to the Company's Current Report on Form 8-K filed on May 22, 2019 and incorporated by reference herein)</w:t>
              </w:r>
            </w:hyperlink>
          </w:p>
        </w:tc>
        <w:tc>
          <w:tcPr>
            <w:tcW w:w="1240" w:type="dxa"/>
            <w:vAlign w:val="bottom"/>
            <w:gridSpan w:val="9"/>
          </w:tcPr>
          <w:p>
            <w:pPr>
              <w:spacing w:after="0"/>
              <w:rPr>
                <w:sz w:val="17"/>
                <w:szCs w:val="17"/>
                <w:color w:val="auto"/>
              </w:rPr>
            </w:pPr>
          </w:p>
        </w:tc>
      </w:tr>
      <w:tr>
        <w:trPr>
          <w:trHeight w:val="466"/>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1.375% Senior Note due 2026 (included as Exhibit A to Exhibit 4.1 above).</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r>
      <w:tr>
        <w:trPr>
          <w:trHeight w:val="466"/>
        </w:trPr>
        <w:tc>
          <w:tcPr>
            <w:tcW w:w="11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16"/>
          </w:tcPr>
          <w:p>
            <w:pPr>
              <w:spacing w:after="0"/>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Indenture, dated March 18, 2019, between the Company and U.S. Bank National Association, as trustee (filed as Exhibit 4.1 to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Company's Current Report on Form 8-K filed on March 18, 2019 and incorporated by reference herein)</w:t>
              </w:r>
            </w:hyperlink>
          </w:p>
        </w:tc>
        <w:tc>
          <w:tcPr>
            <w:tcW w:w="460" w:type="dxa"/>
            <w:vAlign w:val="bottom"/>
            <w:gridSpan w:val="7"/>
          </w:tcPr>
          <w:p>
            <w:pPr>
              <w:spacing w:after="0"/>
              <w:rPr>
                <w:sz w:val="17"/>
                <w:szCs w:val="17"/>
                <w:color w:val="auto"/>
              </w:rPr>
            </w:pPr>
          </w:p>
        </w:tc>
      </w:tr>
      <w:tr>
        <w:trPr>
          <w:trHeight w:val="615"/>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top w:val="single" w:sz="8" w:color="0000EE"/>
            </w:tcBorders>
            <w:gridSpan w:val="3"/>
          </w:tcPr>
          <w:p>
            <w:pPr>
              <w:ind w:left="410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68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Form of 0.75% Convertible Senior Note due 2049 (included as Exhibit A to Exhibit 4.4 above)</w:t>
              </w:r>
            </w:hyperlink>
          </w:p>
        </w:tc>
        <w:tc>
          <w:tcPr>
            <w:tcW w:w="3040" w:type="dxa"/>
            <w:vAlign w:val="bottom"/>
            <w:gridSpan w:val="19"/>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7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Description of Securities (filed as Exhibit 4.6 to the Company's Annual Report on Form 10-K filed on March 3, 2020 and incorporated</w:t>
              </w:r>
            </w:hyperlink>
          </w:p>
        </w:tc>
        <w:tc>
          <w:tcPr>
            <w:tcW w:w="18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56">
              <w:r>
                <w:rPr>
                  <w:rFonts w:ascii="Times New Roman" w:cs="Times New Roman" w:eastAsia="Times New Roman" w:hAnsi="Times New Roman"/>
                  <w:sz w:val="18"/>
                  <w:szCs w:val="18"/>
                  <w:color w:val="0000EE"/>
                  <w:w w:val="98"/>
                </w:rPr>
                <w:t>herein by reference.</w:t>
              </w:r>
            </w:hyperlink>
          </w:p>
        </w:tc>
        <w:tc>
          <w:tcPr>
            <w:tcW w:w="8440" w:type="dxa"/>
            <w:vAlign w:val="bottom"/>
            <w:gridSpan w:val="24"/>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Form of Employee Restricted Stock Grant Agreement pursuant to Euronet Worldwide, Inc. 2006 Stock Incentive Plan (filed as Exhibit</w:t>
              </w:r>
            </w:hyperlink>
          </w:p>
        </w:tc>
        <w:tc>
          <w:tcPr>
            <w:tcW w:w="18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7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8</w:t>
              </w:r>
              <w:r>
                <w:rPr>
                  <w:rFonts w:ascii="Times New Roman" w:cs="Times New Roman" w:eastAsia="Times New Roman" w:hAnsi="Times New Roman"/>
                  <w:sz w:val="18"/>
                  <w:szCs w:val="18"/>
                  <w:color w:val="0000FF"/>
                  <w:w w:val="99"/>
                </w:rPr>
                <w:t xml:space="preserve"> to the Company's Quarterly Report on Form 10-Q filed on August 4, 2006, and incorporated by reference herein) (2)</w:t>
              </w:r>
            </w:hyperlink>
          </w:p>
        </w:tc>
        <w:tc>
          <w:tcPr>
            <w:tcW w:w="1120" w:type="dxa"/>
            <w:vAlign w:val="bottom"/>
            <w:gridSpan w:val="16"/>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5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Employment Agreement dated June 19, 2007 between Euronet Worldwide, Inc. and Kevin J. Caponecchi (filed as Exhibit 10.1 to the</w:t>
              </w:r>
            </w:hyperlink>
          </w:p>
        </w:tc>
        <w:tc>
          <w:tcPr>
            <w:tcW w:w="30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76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Company's Current Report on Form 8-K filed on June 25, 2007, and incorporated by reference herein) (2)</w:t>
              </w:r>
            </w:hyperlink>
          </w:p>
        </w:tc>
        <w:tc>
          <w:tcPr>
            <w:tcW w:w="2260" w:type="dxa"/>
            <w:vAlign w:val="bottom"/>
            <w:gridSpan w:val="17"/>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80" w:type="dxa"/>
            <w:vAlign w:val="bottom"/>
            <w:gridSpan w:val="25"/>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Amended and Restated Employment Agreement dated April 10, 2008 between Euronet Worldwide, Inc. and Michael J. Brown,</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6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Chairman and Chief Executive Officer (filed as Exhibit 10.3 to the Company's Quarterly Report on Form 10-Q filed on May 9, 2008,</w:t>
              </w:r>
            </w:hyperlink>
          </w:p>
        </w:tc>
        <w:tc>
          <w:tcPr>
            <w:tcW w:w="28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Amended and Restated Employment Agreement dated April 10, 2008 between Euronet Worldwide, Inc. and Rick L. Weller, Executive</w:t>
              </w:r>
            </w:hyperlink>
          </w:p>
        </w:tc>
        <w:tc>
          <w:tcPr>
            <w:tcW w:w="1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Vice President and Chief Financial Officer (filed as Exhibit 10.4 to the Company's Quarterly Report on Form 10-Q filed on May 9, 2008,</w:t>
              </w:r>
            </w:hyperlink>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8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Amended and Restated Employment Agreement dated April 10, 2008 between Euronet Worldwide, Inc. and Juan C. Bianchi, Executive</w:t>
              </w:r>
            </w:hyperlink>
          </w:p>
        </w:tc>
        <w:tc>
          <w:tcPr>
            <w:tcW w:w="8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Vice President and Managing Director, Money Transfer Segment (filed as Exhibit 10.6 to the Company's Quarterly Report on Form 10-</w:t>
              </w:r>
            </w:hyperlink>
          </w:p>
        </w:tc>
        <w:tc>
          <w:tcPr>
            <w:tcW w:w="12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7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Q filed on May 9, 2008, and incorporated by reference herein) (2)</w:t>
              </w:r>
            </w:hyperlink>
          </w:p>
        </w:tc>
        <w:tc>
          <w:tcPr>
            <w:tcW w:w="5140" w:type="dxa"/>
            <w:vAlign w:val="bottom"/>
            <w:gridSpan w:val="21"/>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80" w:type="dxa"/>
            <w:vAlign w:val="bottom"/>
            <w:gridSpan w:val="25"/>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Indemnification Agreement, (filed as Exhibit 10.1 to the Company's Current Report on Form 8-K filed on December 22, 2008,</w:t>
              </w:r>
            </w:hyperlink>
          </w:p>
        </w:tc>
      </w:tr>
      <w:tr>
        <w:trPr>
          <w:trHeight w:val="196"/>
        </w:trPr>
        <w:tc>
          <w:tcPr>
            <w:tcW w:w="1360" w:type="dxa"/>
            <w:vAlign w:val="bottom"/>
          </w:tcPr>
          <w:p>
            <w:pPr>
              <w:spacing w:after="0"/>
              <w:rPr>
                <w:sz w:val="17"/>
                <w:szCs w:val="17"/>
                <w:color w:val="auto"/>
              </w:rPr>
            </w:pPr>
          </w:p>
        </w:tc>
        <w:tc>
          <w:tcPr>
            <w:tcW w:w="974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and incorporated by reference herein)</w:t>
              </w:r>
            </w:hyperlink>
          </w:p>
        </w:tc>
        <w:tc>
          <w:tcPr>
            <w:tcW w:w="140" w:type="dxa"/>
            <w:vAlign w:val="bottom"/>
            <w:gridSpan w:val="4"/>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6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Euronet Worldwide, Inc. 2006 Stock Incentive Plan, as amended and restated (filed as Appendix B to the Company's Definitive Proxy</w:t>
              </w:r>
            </w:hyperlink>
          </w:p>
        </w:tc>
        <w:tc>
          <w:tcPr>
            <w:tcW w:w="22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63">
              <w:r>
                <w:rPr>
                  <w:rFonts w:ascii="Times New Roman" w:cs="Times New Roman" w:eastAsia="Times New Roman" w:hAnsi="Times New Roman"/>
                  <w:sz w:val="18"/>
                  <w:szCs w:val="18"/>
                  <w:color w:val="0000EE"/>
                  <w:w w:val="99"/>
                </w:rPr>
                <w:t>Statement filed on April 4, 2021, and incorporated by reference herein) (2)</w:t>
              </w:r>
            </w:hyperlink>
          </w:p>
        </w:tc>
        <w:tc>
          <w:tcPr>
            <w:tcW w:w="4500" w:type="dxa"/>
            <w:vAlign w:val="bottom"/>
            <w:gridSpan w:val="20"/>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6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Form of Nonqualified Stock Option Agreement, as amended, pursuant to Euronet Worldwide, Inc. 2006 Stock Incentive Plan (filed as</w:t>
              </w:r>
            </w:hyperlink>
          </w:p>
        </w:tc>
        <w:tc>
          <w:tcPr>
            <w:tcW w:w="24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1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Exhibit 10.2 to the Company's Quarterly Report on Form 10-Q filed on May 7, 2010 and incorporated by reference herein) (2)</w:t>
              </w:r>
            </w:hyperlink>
          </w:p>
        </w:tc>
        <w:tc>
          <w:tcPr>
            <w:tcW w:w="780" w:type="dxa"/>
            <w:vAlign w:val="bottom"/>
            <w:gridSpan w:val="15"/>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10.9.1</w:t>
            </w:r>
          </w:p>
        </w:tc>
        <w:tc>
          <w:tcPr>
            <w:tcW w:w="9880" w:type="dxa"/>
            <w:vAlign w:val="bottom"/>
            <w:gridSpan w:val="25"/>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Employment Agreement dated May 21, 2018 between Euronet Worldwide, Inc. and Nikos Fountas (filed as Exhibit 10.1 to the</w:t>
              </w:r>
            </w:hyperlink>
          </w:p>
        </w:tc>
      </w:tr>
      <w:tr>
        <w:trPr>
          <w:trHeight w:val="196"/>
        </w:trPr>
        <w:tc>
          <w:tcPr>
            <w:tcW w:w="1360" w:type="dxa"/>
            <w:vAlign w:val="bottom"/>
          </w:tcPr>
          <w:p>
            <w:pPr>
              <w:spacing w:after="0"/>
              <w:rPr>
                <w:sz w:val="17"/>
                <w:szCs w:val="17"/>
                <w:color w:val="auto"/>
              </w:rPr>
            </w:pPr>
          </w:p>
        </w:tc>
        <w:tc>
          <w:tcPr>
            <w:tcW w:w="758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Company's Current Report on Form 8-K filed on May 23, 2018 and incorporated by reference herein) (2)</w:t>
              </w:r>
            </w:hyperlink>
          </w:p>
        </w:tc>
        <w:tc>
          <w:tcPr>
            <w:tcW w:w="1580" w:type="dxa"/>
            <w:vAlign w:val="bottom"/>
            <w:tcBorders>
              <w:top w:val="single" w:sz="8" w:color="0000FF"/>
            </w:tcBorders>
            <w:gridSpan w:val="4"/>
          </w:tcPr>
          <w:p>
            <w:pPr>
              <w:spacing w:after="0"/>
              <w:rPr>
                <w:sz w:val="17"/>
                <w:szCs w:val="17"/>
                <w:color w:val="auto"/>
              </w:rPr>
            </w:pPr>
          </w:p>
        </w:tc>
        <w:tc>
          <w:tcPr>
            <w:tcW w:w="720" w:type="dxa"/>
            <w:vAlign w:val="bottom"/>
            <w:gridSpan w:val="14"/>
          </w:tcPr>
          <w:p>
            <w:pPr>
              <w:spacing w:after="0"/>
              <w:rPr>
                <w:sz w:val="17"/>
                <w:szCs w:val="17"/>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10.9.2</w:t>
            </w:r>
          </w:p>
        </w:tc>
        <w:tc>
          <w:tcPr>
            <w:tcW w:w="93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Deed of Amendment to the Service Agreement dated May 21, 2018 between Euronet Worldwide, Inc. and Nikos Fountas (filed as</w:t>
              </w:r>
            </w:hyperlink>
          </w:p>
        </w:tc>
        <w:tc>
          <w:tcPr>
            <w:tcW w:w="520" w:type="dxa"/>
            <w:vAlign w:val="bottom"/>
            <w:gridSpan w:val="1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Exhibit 10.2 to the Company's Quarterly Report on Form 10-Q filed on August 3,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6580" w:type="dxa"/>
            <w:vAlign w:val="bottom"/>
            <w:gridSpan w:val="10"/>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4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Bonus Compensation Agreement between Euronet Worldwide, Inc. and Nikos Fountas, Senior Vice President - Managing Director,</w:t>
              </w:r>
            </w:hyperlink>
          </w:p>
        </w:tc>
        <w:tc>
          <w:tcPr>
            <w:tcW w:w="42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Europe EFT Processing Segment (filed as Exhibit 10.26 to the Company's Annual Report on Form 10-K filed on February 25, 2011 and</w:t>
              </w:r>
            </w:hyperlink>
          </w:p>
        </w:tc>
      </w:tr>
      <w:tr>
        <w:trPr>
          <w:trHeight w:val="196"/>
        </w:trPr>
        <w:tc>
          <w:tcPr>
            <w:tcW w:w="136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incorporated by reference herein) (2)</w:t>
              </w:r>
            </w:hyperlink>
          </w:p>
        </w:tc>
        <w:tc>
          <w:tcPr>
            <w:tcW w:w="7080" w:type="dxa"/>
            <w:vAlign w:val="bottom"/>
            <w:tcBorders>
              <w:top w:val="single" w:sz="8" w:color="0000FF"/>
            </w:tcBorders>
            <w:gridSpan w:val="21"/>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615"/>
        </w:trPr>
        <w:tc>
          <w:tcPr>
            <w:tcW w:w="1360" w:type="dxa"/>
            <w:vAlign w:val="bottom"/>
          </w:tcPr>
          <w:p>
            <w:pPr>
              <w:spacing w:after="0"/>
              <w:rPr>
                <w:sz w:val="24"/>
                <w:szCs w:val="24"/>
                <w:color w:val="auto"/>
              </w:rPr>
            </w:pPr>
          </w:p>
        </w:tc>
        <w:tc>
          <w:tcPr>
            <w:tcW w:w="4740" w:type="dxa"/>
            <w:vAlign w:val="bottom"/>
            <w:gridSpan w:val="4"/>
          </w:tcPr>
          <w:p>
            <w:pPr>
              <w:ind w:left="4120"/>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8"/>
        </w:trPr>
        <w:tc>
          <w:tcPr>
            <w:tcW w:w="13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7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Euronet Worldwide, Inc. Employee Stock Purchase Plan, as amended (filed as Exhibit 10.18 to the Company's Annual Report on Form</w:t>
              </w:r>
            </w:hyperlink>
          </w:p>
        </w:tc>
        <w:tc>
          <w:tcPr>
            <w:tcW w:w="1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10-K filed on February 26, 2016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6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Euronet Worldwide, Inc. Executive Annual Incentive Plan, as amended and restated (filed as Appendix B to the Company's Definitive</w:t>
              </w:r>
            </w:hyperlink>
          </w:p>
        </w:tc>
        <w:tc>
          <w:tcPr>
            <w:tcW w:w="2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Proxy Statement on Form DEF 14A filed on April 8, 2016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Form of Nonqualified Stock Option Agreement, as amended, pursuant to Euronet Worldwide, Inc. 2006 Stock Incentive Plan (filed as</w:t>
              </w:r>
            </w:hyperlink>
          </w:p>
        </w:tc>
        <w:tc>
          <w:tcPr>
            <w:tcW w:w="24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Exhibit 10.19 to the Company's Annual Report on Form 10-K filed on March 1,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Form of Restricted Stock Unit Agreement, as amended, pursuant to Euronet Worldwide, Inc. 2006 Stock Incentive Plan (filed as Exhibit</w:t>
              </w:r>
            </w:hyperlink>
          </w:p>
        </w:tc>
        <w:tc>
          <w:tcPr>
            <w:tcW w:w="6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r>
                <w:rPr>
                  <w:rFonts w:ascii="Times New Roman" w:cs="Times New Roman" w:eastAsia="Times New Roman" w:hAnsi="Times New Roman"/>
                  <w:sz w:val="18"/>
                  <w:szCs w:val="18"/>
                  <w:color w:val="0000FF"/>
                </w:rPr>
                <w:t xml:space="preserve"> to the Company's Annual Report on Form 10-K filed on March 1, 2018 and incorporated by reference herein) (2)</w:t>
              </w:r>
            </w:hyperlink>
          </w:p>
        </w:tc>
      </w:tr>
      <w:tr>
        <w:trPr>
          <w:trHeight w:val="20"/>
        </w:trPr>
        <w:tc>
          <w:tcPr>
            <w:tcW w:w="13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0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Second Amended and Restated Credit Agreement dated as of December 17, 2024 among Euronet Worldwide, Inc. and certain</w:t>
              </w:r>
            </w:hyperlink>
          </w:p>
        </w:tc>
        <w:tc>
          <w:tcPr>
            <w:tcW w:w="82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subsidiaries, as borrowers, the lenders party thereto, Bank of America, N.A., as administrative agent, Wells Fargo Bank, HSBC Bank</w:t>
              </w:r>
            </w:hyperlink>
          </w:p>
        </w:tc>
        <w:tc>
          <w:tcPr>
            <w:tcW w:w="30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7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USA, National Association and U.S. Bank National Association, Fifth Third Bank, as co-syndication agents, et al. (filed as Exhibit 10.1</w:t>
              </w:r>
            </w:hyperlink>
          </w:p>
        </w:tc>
        <w:tc>
          <w:tcPr>
            <w:tcW w:w="10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to the Company's Current Report on Form 8-K filed on December 19, 2024 and incorporated by reference herein)</w:t>
              </w:r>
            </w:hyperlink>
          </w:p>
        </w:tc>
        <w:tc>
          <w:tcPr>
            <w:tcW w:w="1700" w:type="dxa"/>
            <w:vAlign w:val="bottom"/>
            <w:gridSpan w:val="10"/>
          </w:tcPr>
          <w:p>
            <w:pPr>
              <w:spacing w:after="0"/>
              <w:rPr>
                <w:sz w:val="17"/>
                <w:szCs w:val="17"/>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8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Policy Relating to Insider Trading and Confidentiality of Information Amended on June 11, 2020</w:t>
            </w: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3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Subsidiaries of the Registrant (1)</w:t>
            </w:r>
          </w:p>
        </w:tc>
        <w:tc>
          <w:tcPr>
            <w:tcW w:w="4620" w:type="dxa"/>
            <w:vAlign w:val="bottom"/>
            <w:tcBorders>
              <w:top w:val="single" w:sz="8" w:color="0000EE"/>
            </w:tcBorders>
            <w:gridSpan w:val="8"/>
          </w:tcPr>
          <w:p>
            <w:pPr>
              <w:spacing w:after="0"/>
              <w:rPr>
                <w:sz w:val="24"/>
                <w:szCs w:val="24"/>
                <w:color w:val="auto"/>
              </w:rPr>
            </w:pPr>
          </w:p>
        </w:tc>
        <w:tc>
          <w:tcPr>
            <w:tcW w:w="2880" w:type="dxa"/>
            <w:vAlign w:val="bottom"/>
            <w:gridSpan w:val="12"/>
          </w:tcPr>
          <w:p>
            <w:pPr>
              <w:spacing w:after="0"/>
              <w:rPr>
                <w:sz w:val="24"/>
                <w:szCs w:val="2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 (1)</w:t>
            </w:r>
          </w:p>
        </w:tc>
        <w:tc>
          <w:tcPr>
            <w:tcW w:w="5300" w:type="dxa"/>
            <w:vAlign w:val="bottom"/>
            <w:gridSpan w:val="14"/>
          </w:tcPr>
          <w:p>
            <w:pPr>
              <w:spacing w:after="0"/>
              <w:rPr>
                <w:sz w:val="24"/>
                <w:szCs w:val="24"/>
                <w:color w:val="auto"/>
              </w:rPr>
            </w:pPr>
          </w:p>
        </w:tc>
      </w:tr>
      <w:tr>
        <w:trPr>
          <w:trHeight w:val="46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Section 302 — Certification of Chief Executive Officer (1)</w:t>
            </w:r>
          </w:p>
        </w:tc>
        <w:tc>
          <w:tcPr>
            <w:tcW w:w="5620" w:type="dxa"/>
            <w:vAlign w:val="bottom"/>
            <w:gridSpan w:val="15"/>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Section 302 — Certification of Chief Financial Officer (1)</w:t>
            </w: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Section 906 Certification of Chief Executive Officer (3)</w:t>
            </w:r>
          </w:p>
        </w:tc>
        <w:tc>
          <w:tcPr>
            <w:tcW w:w="5680" w:type="dxa"/>
            <w:vAlign w:val="bottom"/>
            <w:gridSpan w:val="16"/>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9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Section 906 Certification of Chief Financial Officer (3)</w:t>
            </w:r>
          </w:p>
        </w:tc>
        <w:tc>
          <w:tcPr>
            <w:tcW w:w="40" w:type="dxa"/>
            <w:vAlign w:val="bottom"/>
            <w:tcBorders>
              <w:top w:val="single" w:sz="8" w:color="0000EE"/>
            </w:tcBorders>
          </w:tcPr>
          <w:p>
            <w:pPr>
              <w:spacing w:after="0"/>
              <w:rPr>
                <w:sz w:val="24"/>
                <w:szCs w:val="24"/>
                <w:color w:val="auto"/>
              </w:rPr>
            </w:pPr>
          </w:p>
        </w:tc>
        <w:tc>
          <w:tcPr>
            <w:tcW w:w="5860" w:type="dxa"/>
            <w:vAlign w:val="bottom"/>
            <w:gridSpan w:val="17"/>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Incentive Compensation Clawback Policy (1)</w:t>
            </w:r>
          </w:p>
        </w:tc>
        <w:tc>
          <w:tcPr>
            <w:tcW w:w="6600" w:type="dxa"/>
            <w:vAlign w:val="bottom"/>
            <w:gridSpan w:val="19"/>
          </w:tcPr>
          <w:p>
            <w:pPr>
              <w:spacing w:after="0"/>
              <w:rPr>
                <w:sz w:val="24"/>
                <w:szCs w:val="24"/>
                <w:color w:val="auto"/>
              </w:rPr>
            </w:pPr>
          </w:p>
        </w:tc>
      </w:tr>
      <w:tr>
        <w:trPr>
          <w:trHeight w:val="4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w w:val="99"/>
              </w:rPr>
              <w:t>The following materials from Euronet Worldwide, Inc.’s Annual Report on Form 10-K for the year ended December 31, 2024, formatted</w:t>
            </w:r>
          </w:p>
        </w:tc>
      </w:tr>
      <w:tr>
        <w:trPr>
          <w:trHeight w:val="216"/>
        </w:trPr>
        <w:tc>
          <w:tcPr>
            <w:tcW w:w="1360" w:type="dxa"/>
            <w:vAlign w:val="bottom"/>
          </w:tcPr>
          <w:p>
            <w:pPr>
              <w:spacing w:after="0"/>
              <w:rPr>
                <w:sz w:val="18"/>
                <w:szCs w:val="18"/>
                <w:color w:val="auto"/>
              </w:rPr>
            </w:pPr>
          </w:p>
        </w:tc>
        <w:tc>
          <w:tcPr>
            <w:tcW w:w="9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(eXtensible Business Reporting Language): (i) Consolidated Balance Sheets at December 31, 2024 and 2023,</w:t>
            </w:r>
          </w:p>
        </w:tc>
      </w:tr>
      <w:tr>
        <w:trPr>
          <w:trHeight w:val="234"/>
        </w:trPr>
        <w:tc>
          <w:tcPr>
            <w:tcW w:w="1360" w:type="dxa"/>
            <w:vAlign w:val="bottom"/>
          </w:tcPr>
          <w:p>
            <w:pPr>
              <w:spacing w:after="0"/>
              <w:rPr>
                <w:sz w:val="20"/>
                <w:szCs w:val="20"/>
                <w:color w:val="auto"/>
              </w:rPr>
            </w:pPr>
          </w:p>
        </w:tc>
        <w:tc>
          <w:tcPr>
            <w:tcW w:w="9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(ii) Consolidated Statements of Operations for the years ended December 31, 2024, 2023 and 2022, (iii) Consolidated Statements of</w:t>
            </w:r>
          </w:p>
        </w:tc>
      </w:tr>
    </w:tbl>
    <w:p>
      <w:pPr>
        <w:jc w:val="both"/>
        <w:ind w:left="1360"/>
        <w:spacing w:after="0" w:line="255" w:lineRule="auto"/>
        <w:rPr>
          <w:sz w:val="20"/>
          <w:szCs w:val="20"/>
          <w:color w:val="auto"/>
        </w:rPr>
      </w:pPr>
      <w:r>
        <w:rPr>
          <w:rFonts w:ascii="Times New Roman" w:cs="Times New Roman" w:eastAsia="Times New Roman" w:hAnsi="Times New Roman"/>
          <w:sz w:val="18"/>
          <w:szCs w:val="18"/>
          <w:color w:val="auto"/>
        </w:rPr>
        <w:t>Comprehensive (Loss) Income for the years ended December 31, 2024, 2023 and 2022, (iv) Consolidated Statements of Changes in Equity for the years ended December 31, 2024, 2023 and 2022, (v) Consolidated Statements of Cash Flows for the years ended December 31, 2024, 2023 and 2022, and (vi) Notes to the Consolidated Financial Statements.</w:t>
      </w:r>
    </w:p>
    <w:p>
      <w:pPr>
        <w:spacing w:after="0" w:line="213" w:lineRule="exact"/>
        <w:rPr>
          <w:sz w:val="20"/>
          <w:szCs w:val="20"/>
          <w:color w:val="auto"/>
        </w:rPr>
      </w:pPr>
    </w:p>
    <w:p>
      <w:pPr>
        <w:ind w:left="1360" w:hanging="1352"/>
        <w:spacing w:after="0"/>
        <w:tabs>
          <w:tab w:leader="none" w:pos="1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(contained in Exhibit 101)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w:t>
      </w:r>
    </w:p>
    <w:p>
      <w:pPr>
        <w:spacing w:after="0" w:line="99"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rFonts w:ascii="Times New Roman" w:cs="Times New Roman" w:eastAsia="Times New Roman" w:hAnsi="Times New Roman"/>
          <w:sz w:val="18"/>
          <w:szCs w:val="18"/>
          <w:color w:val="auto"/>
        </w:rPr>
      </w:pPr>
    </w:p>
    <w:p>
      <w:pPr>
        <w:ind w:left="400" w:hanging="379"/>
        <w:spacing w:after="0"/>
        <w:tabs>
          <w:tab w:leader="none" w:pos="4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and arrangements required to be filed as Exhibits pursuant to Item 15(a) of this report.</w:t>
      </w:r>
    </w:p>
    <w:p>
      <w:pPr>
        <w:spacing w:after="0" w:line="117" w:lineRule="exact"/>
        <w:rPr>
          <w:rFonts w:ascii="Times New Roman" w:cs="Times New Roman" w:eastAsia="Times New Roman" w:hAnsi="Times New Roman"/>
          <w:sz w:val="18"/>
          <w:szCs w:val="18"/>
          <w:color w:val="auto"/>
        </w:rPr>
      </w:pPr>
    </w:p>
    <w:p>
      <w:pPr>
        <w:ind w:left="400" w:hanging="379"/>
        <w:spacing w:after="0"/>
        <w:tabs>
          <w:tab w:leader="none" w:pos="4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 of Regulation S-K, this Exhibit is furnished rather than filed with this Form 10-K.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5" w:name="page106"/>
    <w:bookmarkEnd w:id="105"/>
    <w:p>
      <w:pPr>
        <w:jc w:val="both"/>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180340</wp:posOffset>
            </wp:positionV>
            <wp:extent cx="34201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9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Chairman of the Board of Directors, Chief Executive</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Officer, President and Director (principal executive officer)</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500" w:type="dxa"/>
            <w:vAlign w:val="bottom"/>
            <w:gridSpan w:val="13"/>
          </w:tcPr>
          <w:p>
            <w:pPr>
              <w:spacing w:after="0"/>
              <w:rPr>
                <w:sz w:val="13"/>
                <w:szCs w:val="13"/>
                <w:color w:val="auto"/>
              </w:rPr>
            </w:pPr>
          </w:p>
        </w:tc>
        <w:tc>
          <w:tcPr>
            <w:tcW w:w="6620" w:type="dxa"/>
            <w:vAlign w:val="bottom"/>
            <w:gridSpan w:val="3"/>
          </w:tcPr>
          <w:p>
            <w:pPr>
              <w:ind w:left="36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20"/>
          </w:tcPr>
          <w:p>
            <w:pPr>
              <w:jc w:val="center"/>
              <w:ind w:right="1060"/>
              <w:spacing w:after="0"/>
              <w:rPr>
                <w:sz w:val="20"/>
                <w:szCs w:val="20"/>
                <w:color w:val="auto"/>
              </w:rPr>
            </w:pPr>
            <w:r>
              <w:rPr>
                <w:rFonts w:ascii="Times New Roman" w:cs="Times New Roman" w:eastAsia="Times New Roman" w:hAnsi="Times New Roman"/>
                <w:sz w:val="18"/>
                <w:szCs w:val="18"/>
                <w:color w:val="auto"/>
                <w:w w:val="99"/>
              </w:rPr>
              <w:t>/s/ Michael J. Brown</w:t>
            </w:r>
          </w:p>
        </w:tc>
        <w:tc>
          <w:tcPr>
            <w:tcW w:w="662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8"/>
                <w:szCs w:val="18"/>
                <w:color w:val="auto"/>
              </w:rPr>
              <w:t>Chairman of the Board of Directors, Chief Executive Officer, President and</w:t>
            </w: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11"/>
          </w:tcPr>
          <w:p>
            <w:pPr>
              <w:jc w:val="center"/>
              <w:ind w:right="40"/>
              <w:spacing w:after="0" w:line="177" w:lineRule="exact"/>
              <w:rPr>
                <w:sz w:val="20"/>
                <w:szCs w:val="20"/>
                <w:color w:val="auto"/>
              </w:rPr>
            </w:pPr>
            <w:r>
              <w:rPr>
                <w:rFonts w:ascii="Times New Roman" w:cs="Times New Roman" w:eastAsia="Times New Roman" w:hAnsi="Times New Roman"/>
                <w:sz w:val="18"/>
                <w:szCs w:val="18"/>
                <w:b w:val="1"/>
                <w:bCs w:val="1"/>
                <w:color w:val="auto"/>
                <w:w w:val="99"/>
              </w:rPr>
              <w:t>Michael J. Brown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/s/ Rick L. Weller</w:t>
            </w:r>
          </w:p>
        </w:tc>
        <w:tc>
          <w:tcPr>
            <w:tcW w:w="662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8"/>
                <w:szCs w:val="18"/>
                <w:color w:val="auto"/>
              </w:rPr>
              <w:t>Chief Financial Officer and Chief Accounting Officer (principal financial</w:t>
            </w: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6"/>
          </w:tcPr>
          <w:p>
            <w:pPr>
              <w:jc w:val="center"/>
              <w:ind w:right="80"/>
              <w:spacing w:after="0" w:line="177" w:lineRule="exact"/>
              <w:rPr>
                <w:sz w:val="20"/>
                <w:szCs w:val="20"/>
                <w:color w:val="auto"/>
              </w:rPr>
            </w:pPr>
            <w:r>
              <w:rPr>
                <w:rFonts w:ascii="Times New Roman" w:cs="Times New Roman" w:eastAsia="Times New Roman" w:hAnsi="Times New Roman"/>
                <w:sz w:val="18"/>
                <w:szCs w:val="18"/>
                <w:b w:val="1"/>
                <w:bCs w:val="1"/>
                <w:color w:val="auto"/>
                <w:w w:val="98"/>
              </w:rPr>
              <w:t>Rick L. Weller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/s/ Paul S. Althasen</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8"/>
          </w:tcPr>
          <w:p>
            <w:pPr>
              <w:jc w:val="center"/>
              <w:ind w:right="80"/>
              <w:spacing w:after="0" w:line="177" w:lineRule="exact"/>
              <w:rPr>
                <w:sz w:val="20"/>
                <w:szCs w:val="20"/>
                <w:color w:val="auto"/>
              </w:rPr>
            </w:pPr>
            <w:r>
              <w:rPr>
                <w:rFonts w:ascii="Times New Roman" w:cs="Times New Roman" w:eastAsia="Times New Roman" w:hAnsi="Times New Roman"/>
                <w:sz w:val="18"/>
                <w:szCs w:val="18"/>
                <w:b w:val="1"/>
                <w:bCs w:val="1"/>
                <w:color w:val="auto"/>
                <w:w w:val="99"/>
              </w:rPr>
              <w:t>Paul S. Althasen</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24"/>
          </w:tcPr>
          <w:p>
            <w:pPr>
              <w:jc w:val="center"/>
              <w:ind w:right="920"/>
              <w:spacing w:after="0"/>
              <w:rPr>
                <w:sz w:val="20"/>
                <w:szCs w:val="20"/>
                <w:color w:val="auto"/>
              </w:rPr>
            </w:pPr>
            <w:r>
              <w:rPr>
                <w:rFonts w:ascii="Times New Roman" w:cs="Times New Roman" w:eastAsia="Times New Roman" w:hAnsi="Times New Roman"/>
                <w:sz w:val="18"/>
                <w:szCs w:val="18"/>
                <w:color w:val="auto"/>
                <w:w w:val="99"/>
              </w:rPr>
              <w:t>/s/ Andrzej Olechowski</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17"/>
          </w:tcPr>
          <w:p>
            <w:pPr>
              <w:jc w:val="center"/>
              <w:ind w:right="60"/>
              <w:spacing w:after="0" w:line="177" w:lineRule="exact"/>
              <w:rPr>
                <w:sz w:val="20"/>
                <w:szCs w:val="20"/>
                <w:color w:val="auto"/>
              </w:rPr>
            </w:pPr>
            <w:r>
              <w:rPr>
                <w:rFonts w:ascii="Times New Roman" w:cs="Times New Roman" w:eastAsia="Times New Roman" w:hAnsi="Times New Roman"/>
                <w:sz w:val="18"/>
                <w:szCs w:val="18"/>
                <w:b w:val="1"/>
                <w:bCs w:val="1"/>
                <w:color w:val="auto"/>
                <w:w w:val="99"/>
              </w:rPr>
              <w:t>Andrzej Olechowski</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23"/>
          </w:tcPr>
          <w:p>
            <w:pPr>
              <w:jc w:val="center"/>
              <w:ind w:right="940"/>
              <w:spacing w:after="0"/>
              <w:rPr>
                <w:sz w:val="20"/>
                <w:szCs w:val="20"/>
                <w:color w:val="auto"/>
              </w:rPr>
            </w:pPr>
            <w:r>
              <w:rPr>
                <w:rFonts w:ascii="Times New Roman" w:cs="Times New Roman" w:eastAsia="Times New Roman" w:hAnsi="Times New Roman"/>
                <w:sz w:val="18"/>
                <w:szCs w:val="18"/>
                <w:color w:val="auto"/>
                <w:w w:val="99"/>
              </w:rPr>
              <w:t>/s/ Michael N. Frumkin</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16"/>
          </w:tcPr>
          <w:p>
            <w:pPr>
              <w:jc w:val="center"/>
              <w:ind w:right="40"/>
              <w:spacing w:after="0" w:line="177" w:lineRule="exact"/>
              <w:rPr>
                <w:sz w:val="20"/>
                <w:szCs w:val="20"/>
                <w:color w:val="auto"/>
              </w:rPr>
            </w:pPr>
            <w:r>
              <w:rPr>
                <w:rFonts w:ascii="Times New Roman" w:cs="Times New Roman" w:eastAsia="Times New Roman" w:hAnsi="Times New Roman"/>
                <w:sz w:val="18"/>
                <w:szCs w:val="18"/>
                <w:b w:val="1"/>
                <w:bCs w:val="1"/>
                <w:color w:val="auto"/>
                <w:w w:val="99"/>
              </w:rPr>
              <w:t>Michael N. Frumkin</w:t>
            </w: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25"/>
          </w:tcPr>
          <w:p>
            <w:pPr>
              <w:jc w:val="center"/>
              <w:ind w:right="860"/>
              <w:spacing w:after="0"/>
              <w:rPr>
                <w:sz w:val="20"/>
                <w:szCs w:val="20"/>
                <w:color w:val="auto"/>
              </w:rPr>
            </w:pPr>
            <w:r>
              <w:rPr>
                <w:rFonts w:ascii="Times New Roman" w:cs="Times New Roman" w:eastAsia="Times New Roman" w:hAnsi="Times New Roman"/>
                <w:sz w:val="18"/>
                <w:szCs w:val="18"/>
                <w:color w:val="auto"/>
                <w:w w:val="99"/>
              </w:rPr>
              <w:t>/s/ Thomas A. McDonnell</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gridSpan w:val="22"/>
          </w:tcPr>
          <w:p>
            <w:pPr>
              <w:jc w:val="center"/>
              <w:ind w:right="40"/>
              <w:spacing w:after="0" w:line="177" w:lineRule="exact"/>
              <w:rPr>
                <w:sz w:val="20"/>
                <w:szCs w:val="20"/>
                <w:color w:val="auto"/>
              </w:rPr>
            </w:pPr>
            <w:r>
              <w:rPr>
                <w:rFonts w:ascii="Times New Roman" w:cs="Times New Roman" w:eastAsia="Times New Roman" w:hAnsi="Times New Roman"/>
                <w:sz w:val="18"/>
                <w:szCs w:val="18"/>
                <w:b w:val="1"/>
                <w:bCs w:val="1"/>
                <w:color w:val="auto"/>
                <w:w w:val="99"/>
              </w:rPr>
              <w:t>Thomas A. McDonnell</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21"/>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 Andrew B. Schmitt</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14"/>
          </w:tcPr>
          <w:p>
            <w:pPr>
              <w:jc w:val="center"/>
              <w:ind w:right="40"/>
              <w:spacing w:after="0" w:line="177" w:lineRule="exact"/>
              <w:rPr>
                <w:sz w:val="20"/>
                <w:szCs w:val="20"/>
                <w:color w:val="auto"/>
              </w:rPr>
            </w:pPr>
            <w:r>
              <w:rPr>
                <w:rFonts w:ascii="Times New Roman" w:cs="Times New Roman" w:eastAsia="Times New Roman" w:hAnsi="Times New Roman"/>
                <w:sz w:val="18"/>
                <w:szCs w:val="18"/>
                <w:b w:val="1"/>
                <w:bCs w:val="1"/>
                <w:color w:val="auto"/>
              </w:rPr>
              <w:t>Andrew B. Schmitt</w:t>
            </w:r>
          </w:p>
        </w:tc>
        <w:tc>
          <w:tcPr>
            <w:tcW w:w="8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97"/>
        </w:trPr>
        <w:tc>
          <w:tcPr>
            <w:tcW w:w="4620" w:type="dxa"/>
            <w:vAlign w:val="bottom"/>
            <w:gridSpan w:val="27"/>
          </w:tcPr>
          <w:p>
            <w:pPr>
              <w:jc w:val="center"/>
              <w:ind w:left="910"/>
              <w:spacing w:after="0"/>
              <w:rPr>
                <w:sz w:val="20"/>
                <w:szCs w:val="20"/>
                <w:color w:val="auto"/>
              </w:rPr>
            </w:pPr>
            <w:r>
              <w:rPr>
                <w:rFonts w:ascii="Times New Roman" w:cs="Times New Roman" w:eastAsia="Times New Roman" w:hAnsi="Times New Roman"/>
                <w:sz w:val="18"/>
                <w:szCs w:val="18"/>
                <w:color w:val="auto"/>
                <w:w w:val="99"/>
              </w:rPr>
              <w:t>/s/ M. Jeannine Strandjord</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24"/>
          </w:tcPr>
          <w:p>
            <w:pPr>
              <w:jc w:val="center"/>
              <w:ind w:right="20"/>
              <w:spacing w:after="0" w:line="177" w:lineRule="exact"/>
              <w:rPr>
                <w:sz w:val="20"/>
                <w:szCs w:val="20"/>
                <w:color w:val="auto"/>
              </w:rPr>
            </w:pPr>
            <w:r>
              <w:rPr>
                <w:rFonts w:ascii="Times New Roman" w:cs="Times New Roman" w:eastAsia="Times New Roman" w:hAnsi="Times New Roman"/>
                <w:sz w:val="18"/>
                <w:szCs w:val="18"/>
                <w:b w:val="1"/>
                <w:bCs w:val="1"/>
                <w:color w:val="auto"/>
                <w:w w:val="99"/>
              </w:rPr>
              <w:t>M. Jeannine Strandjord</w:t>
            </w:r>
          </w:p>
        </w:tc>
        <w:tc>
          <w:tcPr>
            <w:tcW w:w="8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gridSpan w:val="24"/>
          </w:tcPr>
          <w:p>
            <w:pPr>
              <w:jc w:val="center"/>
              <w:ind w:right="920"/>
              <w:spacing w:after="0"/>
              <w:rPr>
                <w:sz w:val="20"/>
                <w:szCs w:val="20"/>
                <w:color w:val="auto"/>
              </w:rPr>
            </w:pPr>
            <w:r>
              <w:rPr>
                <w:rFonts w:ascii="Times New Roman" w:cs="Times New Roman" w:eastAsia="Times New Roman" w:hAnsi="Times New Roman"/>
                <w:sz w:val="18"/>
                <w:szCs w:val="18"/>
                <w:color w:val="auto"/>
                <w:w w:val="99"/>
              </w:rPr>
              <w:t>/s/ Ligia Torres Fentanes</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19"/>
          </w:tcPr>
          <w:p>
            <w:pPr>
              <w:jc w:val="center"/>
              <w:ind w:right="40"/>
              <w:spacing w:after="0" w:line="177" w:lineRule="exact"/>
              <w:rPr>
                <w:sz w:val="20"/>
                <w:szCs w:val="20"/>
                <w:color w:val="auto"/>
              </w:rPr>
            </w:pPr>
            <w:r>
              <w:rPr>
                <w:rFonts w:ascii="Times New Roman" w:cs="Times New Roman" w:eastAsia="Times New Roman" w:hAnsi="Times New Roman"/>
                <w:sz w:val="18"/>
                <w:szCs w:val="18"/>
                <w:b w:val="1"/>
                <w:bCs w:val="1"/>
                <w:color w:val="auto"/>
                <w:w w:val="98"/>
              </w:rPr>
              <w:t>Ligia Torres Fentanes</w:t>
            </w:r>
          </w:p>
        </w:tc>
        <w:tc>
          <w:tcPr>
            <w:tcW w:w="92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gridSpan w:val="19"/>
          </w:tcPr>
          <w:p>
            <w:pPr>
              <w:jc w:val="center"/>
              <w:ind w:right="1100"/>
              <w:spacing w:after="0"/>
              <w:rPr>
                <w:sz w:val="20"/>
                <w:szCs w:val="20"/>
                <w:color w:val="auto"/>
              </w:rPr>
            </w:pPr>
            <w:r>
              <w:rPr>
                <w:rFonts w:ascii="Times New Roman" w:cs="Times New Roman" w:eastAsia="Times New Roman" w:hAnsi="Times New Roman"/>
                <w:sz w:val="18"/>
                <w:szCs w:val="18"/>
                <w:color w:val="auto"/>
                <w:w w:val="99"/>
              </w:rPr>
              <w:t>/s/ Sergi N. Herrero</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10"/>
          </w:tcPr>
          <w:p>
            <w:pPr>
              <w:jc w:val="center"/>
              <w:ind w:right="20"/>
              <w:spacing w:after="0" w:line="177" w:lineRule="exact"/>
              <w:rPr>
                <w:sz w:val="20"/>
                <w:szCs w:val="20"/>
                <w:color w:val="auto"/>
              </w:rPr>
            </w:pPr>
            <w:r>
              <w:rPr>
                <w:rFonts w:ascii="Times New Roman" w:cs="Times New Roman" w:eastAsia="Times New Roman" w:hAnsi="Times New Roman"/>
                <w:sz w:val="18"/>
                <w:szCs w:val="18"/>
                <w:b w:val="1"/>
                <w:bCs w:val="1"/>
                <w:color w:val="auto"/>
                <w:w w:val="98"/>
              </w:rPr>
              <w:t>Sergi N. Herrero</w:t>
            </w:r>
          </w:p>
        </w:tc>
        <w:tc>
          <w:tcPr>
            <w:tcW w:w="1080" w:type="dxa"/>
            <w:vAlign w:val="bottom"/>
            <w:gridSpan w:val="8"/>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15"/>
          </w:tcPr>
          <w:p>
            <w:pPr>
              <w:jc w:val="center"/>
              <w:ind w:right="1280"/>
              <w:spacing w:after="0"/>
              <w:rPr>
                <w:sz w:val="20"/>
                <w:szCs w:val="20"/>
                <w:color w:val="auto"/>
              </w:rPr>
            </w:pPr>
            <w:r>
              <w:rPr>
                <w:rFonts w:ascii="Times New Roman" w:cs="Times New Roman" w:eastAsia="Times New Roman" w:hAnsi="Times New Roman"/>
                <w:sz w:val="18"/>
                <w:szCs w:val="18"/>
                <w:color w:val="auto"/>
              </w:rPr>
              <w:t>/s/ Sara Baack</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Borders>
              <w:top w:val="single" w:sz="8" w:color="auto"/>
            </w:tcBorders>
            <w:gridSpan w:val="3"/>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w w:val="99"/>
              </w:rPr>
              <w:t>Sara Baack</w:t>
            </w:r>
          </w:p>
        </w:tc>
        <w:tc>
          <w:tcPr>
            <w:tcW w:w="40" w:type="dxa"/>
            <w:vAlign w:val="bottom"/>
          </w:tcPr>
          <w:p>
            <w:pPr>
              <w:spacing w:after="0"/>
              <w:rPr>
                <w:sz w:val="15"/>
                <w:szCs w:val="15"/>
                <w:color w:val="auto"/>
              </w:rPr>
            </w:pPr>
          </w:p>
        </w:tc>
        <w:tc>
          <w:tcPr>
            <w:tcW w:w="1240" w:type="dxa"/>
            <w:vAlign w:val="bottom"/>
            <w:gridSpan w:val="11"/>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16"/>
          </w:tcPr>
          <w:p>
            <w:pPr>
              <w:jc w:val="center"/>
              <w:ind w:right="1240"/>
              <w:spacing w:after="0"/>
              <w:rPr>
                <w:sz w:val="20"/>
                <w:szCs w:val="20"/>
                <w:color w:val="auto"/>
              </w:rPr>
            </w:pPr>
            <w:r>
              <w:rPr>
                <w:rFonts w:ascii="Times New Roman" w:cs="Times New Roman" w:eastAsia="Times New Roman" w:hAnsi="Times New Roman"/>
                <w:sz w:val="18"/>
                <w:szCs w:val="18"/>
                <w:color w:val="auto"/>
                <w:w w:val="99"/>
              </w:rPr>
              <w:t>/s/ Brad Sprong</w:t>
            </w: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4"/>
          </w:tcPr>
          <w:p>
            <w:pPr>
              <w:jc w:val="center"/>
              <w:ind w:right="40"/>
              <w:spacing w:after="0" w:line="177" w:lineRule="exact"/>
              <w:rPr>
                <w:sz w:val="20"/>
                <w:szCs w:val="20"/>
                <w:color w:val="auto"/>
              </w:rPr>
            </w:pPr>
            <w:r>
              <w:rPr>
                <w:rFonts w:ascii="Times New Roman" w:cs="Times New Roman" w:eastAsia="Times New Roman" w:hAnsi="Times New Roman"/>
                <w:sz w:val="18"/>
                <w:szCs w:val="18"/>
                <w:b w:val="1"/>
                <w:bCs w:val="1"/>
                <w:color w:val="auto"/>
              </w:rPr>
              <w:t>Brad Sprong</w:t>
            </w:r>
          </w:p>
        </w:tc>
        <w:tc>
          <w:tcPr>
            <w:tcW w:w="1240" w:type="dxa"/>
            <w:vAlign w:val="bottom"/>
            <w:gridSpan w:val="11"/>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18"/>
          </w:tcPr>
          <w:p>
            <w:pPr>
              <w:jc w:val="center"/>
              <w:ind w:right="110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662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91"/>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Policy Relating to Insider Trading and Confidentiality of Information Amended on June 11, 2020</w:t>
      </w:r>
    </w:p>
    <w:p>
      <w:pPr>
        <w:spacing w:after="0" w:line="200" w:lineRule="exact"/>
        <w:rPr>
          <w:sz w:val="20"/>
          <w:szCs w:val="20"/>
          <w:color w:val="auto"/>
        </w:rPr>
      </w:pPr>
    </w:p>
    <w:p>
      <w:pPr>
        <w:spacing w:after="0" w:line="25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All Personnel, Consultants and Advisers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Michael J. Brown</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Euronet Worldwide, Inc. has listed its shares on The Nasdaq Global Select Market in the United States. As a result, we have legal and ethical responsibilities to establish rigorous internal procedures regarding the flow of information within the Company and from the Company to the public. U.S. federal securities laws prohibit the purchase or sale of securities by directors, officers, employees and others who are aware of material non-public information about a company, as well as the disclosure by such persons of material non-public information to others who may trade in that company’s securities. Public companies are also subject to liability if they fail to take reasonable steps to prevent insider trading by their personnel. In other words, the Company is required to take steps to ensure that directors, officers, employees and others do not directly or indirectly trade on “inside information.”</w:t>
      </w:r>
    </w:p>
    <w:p>
      <w:pPr>
        <w:spacing w:after="0" w:line="189" w:lineRule="exact"/>
        <w:rPr>
          <w:sz w:val="20"/>
          <w:szCs w:val="20"/>
          <w:color w:val="auto"/>
        </w:rPr>
      </w:pPr>
    </w:p>
    <w:p>
      <w:pPr>
        <w:ind w:right="60" w:firstLine="646"/>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the following Policy which applies to all directors, officers, employees, contractors, consultants and advisers of the Company. For purposes of this Policy, the “Company” includes Euronet Worldwide, Inc. and all of its subsidiaries and affiliated companies. It is your obligation to understand and comply with this Policy.</w:t>
      </w:r>
    </w:p>
    <w:p>
      <w:pPr>
        <w:spacing w:after="0" w:line="176" w:lineRule="exact"/>
        <w:rPr>
          <w:sz w:val="20"/>
          <w:szCs w:val="20"/>
          <w:color w:val="auto"/>
        </w:rPr>
      </w:pPr>
    </w:p>
    <w:p>
      <w:pPr>
        <w:ind w:right="1880" w:firstLine="645"/>
        <w:spacing w:after="0" w:line="282" w:lineRule="auto"/>
        <w:rPr>
          <w:sz w:val="20"/>
          <w:szCs w:val="20"/>
          <w:color w:val="auto"/>
        </w:rPr>
      </w:pPr>
      <w:r>
        <w:rPr>
          <w:rFonts w:ascii="Times New Roman" w:cs="Times New Roman" w:eastAsia="Times New Roman" w:hAnsi="Times New Roman"/>
          <w:sz w:val="18"/>
          <w:szCs w:val="18"/>
          <w:color w:val="auto"/>
        </w:rPr>
        <w:t>Should you have any questions regarding this Policy, please contact the Company’s General Counsel, Adam Godderz at agodderz@euronetworldwide.com.</w:t>
      </w:r>
    </w:p>
    <w:p>
      <w:pPr>
        <w:spacing w:after="0" w:line="162" w:lineRule="exact"/>
        <w:rPr>
          <w:sz w:val="20"/>
          <w:szCs w:val="20"/>
          <w:color w:val="auto"/>
        </w:rPr>
      </w:pPr>
    </w:p>
    <w:p>
      <w:pPr>
        <w:ind w:right="480" w:firstLine="657"/>
        <w:spacing w:after="0" w:line="282" w:lineRule="auto"/>
        <w:tabs>
          <w:tab w:leader="none" w:pos="12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Subject to this Policy</w:t>
      </w:r>
      <w:r>
        <w:rPr>
          <w:rFonts w:ascii="Times New Roman" w:cs="Times New Roman" w:eastAsia="Times New Roman" w:hAnsi="Times New Roman"/>
          <w:sz w:val="18"/>
          <w:szCs w:val="18"/>
          <w:color w:val="auto"/>
        </w:rPr>
        <w:t>. Because you are a director, officer, employee, contractor, consultant or adviser of the Company, this Policy applies to:</w:t>
      </w:r>
    </w:p>
    <w:p>
      <w:pPr>
        <w:spacing w:after="0" w:line="17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-80645</wp:posOffset>
            </wp:positionV>
            <wp:extent cx="59690"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your family members who reside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-80645</wp:posOffset>
            </wp:positionV>
            <wp:extent cx="59690"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anyone else who lives in your household,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-80645</wp:posOffset>
            </wp:positionV>
            <wp:extent cx="59690"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1520" w:right="400"/>
        <w:spacing w:after="0" w:line="269" w:lineRule="auto"/>
        <w:rPr>
          <w:sz w:val="20"/>
          <w:szCs w:val="20"/>
          <w:color w:val="auto"/>
        </w:rPr>
      </w:pPr>
      <w:r>
        <w:rPr>
          <w:rFonts w:ascii="Times New Roman" w:cs="Times New Roman" w:eastAsia="Times New Roman" w:hAnsi="Times New Roman"/>
          <w:sz w:val="18"/>
          <w:szCs w:val="18"/>
          <w:color w:val="auto"/>
        </w:rPr>
        <w:t>any family members who do not live in your household but whose transactions in Company securities are directed by you or are subject to your influence or control (such as parents or children who consult with you before they trade in Company securities), any entity controlled by you or by any of your related persons listed above, and any other person or entity designated by the Company's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-541020</wp:posOffset>
            </wp:positionV>
            <wp:extent cx="59690" cy="596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-258445</wp:posOffset>
            </wp:positionV>
            <wp:extent cx="59690"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-112395</wp:posOffset>
            </wp:positionV>
            <wp:extent cx="59690"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1" w:lineRule="exact"/>
        <w:rPr>
          <w:sz w:val="20"/>
          <w:szCs w:val="20"/>
          <w:color w:val="auto"/>
        </w:rPr>
      </w:pPr>
    </w:p>
    <w:p>
      <w:pPr>
        <w:ind w:right="100" w:firstLine="646"/>
        <w:spacing w:after="0" w:line="282" w:lineRule="auto"/>
        <w:rPr>
          <w:sz w:val="20"/>
          <w:szCs w:val="20"/>
          <w:color w:val="auto"/>
        </w:rPr>
      </w:pPr>
      <w:r>
        <w:rPr>
          <w:rFonts w:ascii="Times New Roman" w:cs="Times New Roman" w:eastAsia="Times New Roman" w:hAnsi="Times New Roman"/>
          <w:sz w:val="18"/>
          <w:szCs w:val="18"/>
          <w:color w:val="auto"/>
        </w:rPr>
        <w:t>You are responsible for the transactions of these other persons and entities and therefore you should make them aware of the need to confer with you before they purchase or sell or otherwise transfer the Company’s securities. As used below, “you” means anyone subject to this Policy.</w:t>
      </w:r>
    </w:p>
    <w:p>
      <w:pPr>
        <w:spacing w:after="0" w:line="16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Because of the opportunity to profit from information obtained while serving as a director, officer, employee, contractor, consultant or adviser of the Company, this Policy continues to apply to any director, officer, employee, contractor, consultant or adviser of the Company and their related persons described above for a period of six months after the director, officer, employee, contractor, consultant or adviser terminates his or her employment or affiliation with the Company, unless otherwise determined by the Company's General Counsel. In addition, if such persons are in possession of material non-public information when their employment or affiliation with the Company terminates, they may not purchase or sell or otherwise transfer Company securities prior to the time that such information has become public or is no longer material.</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17" w:right="419" w:bottom="1440" w:gutter="0" w:footer="0" w:header="0"/>
        </w:sectPr>
      </w:pPr>
    </w:p>
    <w:bookmarkStart w:id="108" w:name="page109"/>
    <w:bookmarkEnd w:id="108"/>
    <w:p>
      <w:pPr>
        <w:ind w:left="-100" w:right="60" w:firstLine="656"/>
        <w:spacing w:after="0" w:line="254"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Against Trading on or Disclosing Material Non-public Information</w:t>
      </w:r>
      <w:r>
        <w:rPr>
          <w:rFonts w:ascii="Times New Roman" w:cs="Times New Roman" w:eastAsia="Times New Roman" w:hAnsi="Times New Roman"/>
          <w:sz w:val="18"/>
          <w:szCs w:val="18"/>
          <w:color w:val="auto"/>
        </w:rPr>
        <w:t>. If you are aware of material non-public information relating to the Company or you are aware that the Company is in possession of material non-public information (often called “inside information”), you are prohibited from purchasing or selling or otherwise transferring our securities, directly or indirectly, and from disclosing such information to any other persons (including relatives, friends, brokers, investment advisers, etc.). You are subject to liability if you trade at the time you possess material non-public information, without regard to whether your decision to trade was based on that information. As used in this Policy, the term “securities” includes, (i) all securities issued by the Company, including common stock, options, preferred stock, notes, bonds and convertible securities, and (ii) in addition to securities issued by the Company, any put, call, straddle, option, derivative security or group or index of securities issued or created by a third party that relates to or includes Company securities, in each case whether or not publicly traded.</w:t>
      </w:r>
    </w:p>
    <w:p>
      <w:pPr>
        <w:spacing w:after="0" w:line="191" w:lineRule="exact"/>
        <w:rPr>
          <w:rFonts w:ascii="Times New Roman" w:cs="Times New Roman" w:eastAsia="Times New Roman" w:hAnsi="Times New Roman"/>
          <w:sz w:val="18"/>
          <w:szCs w:val="18"/>
          <w:color w:val="auto"/>
        </w:rPr>
      </w:pPr>
    </w:p>
    <w:p>
      <w:pPr>
        <w:ind w:left="560" w:right="360" w:firstLine="644"/>
        <w:spacing w:after="0" w:line="261" w:lineRule="auto"/>
        <w:tabs>
          <w:tab w:leader="none" w:pos="18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Information</w:t>
      </w:r>
      <w:r>
        <w:rPr>
          <w:rFonts w:ascii="Times New Roman" w:cs="Times New Roman" w:eastAsia="Times New Roman" w:hAnsi="Times New Roman"/>
          <w:sz w:val="18"/>
          <w:szCs w:val="18"/>
          <w:color w:val="auto"/>
        </w:rPr>
        <w:t>. Any information, positive or negative, is “material” if a reasonable investor is substantially likely to consider it important in determining whether to purchase, sell or hold our securities. Information is considered to be material if it would be expected to affect the market price of our securities. Information may be material for this purpose even if it would not alone determine the investor’s decision. Examples include:</w:t>
      </w:r>
    </w:p>
    <w:p>
      <w:pPr>
        <w:spacing w:after="0" w:line="18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 potential business acquisition or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-80645</wp:posOffset>
            </wp:positionV>
            <wp:extent cx="59690"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financial projections, forecasts or budgets,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-80645</wp:posOffset>
            </wp:positionV>
            <wp:extent cx="59690" cy="596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2060" w:right="380"/>
        <w:spacing w:after="0" w:line="258" w:lineRule="auto"/>
        <w:rPr>
          <w:sz w:val="20"/>
          <w:szCs w:val="20"/>
          <w:color w:val="auto"/>
        </w:rPr>
      </w:pPr>
      <w:r>
        <w:rPr>
          <w:rFonts w:ascii="Times New Roman" w:cs="Times New Roman" w:eastAsia="Times New Roman" w:hAnsi="Times New Roman"/>
          <w:sz w:val="18"/>
          <w:szCs w:val="18"/>
          <w:color w:val="auto"/>
        </w:rPr>
        <w:t>internal information about revenues, earnings or other aspects of financial performance which departs in any way from what the market would expect based upon prior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-234950</wp:posOffset>
            </wp:positionV>
            <wp:extent cx="59690"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060"/>
        <w:spacing w:after="0"/>
        <w:rPr>
          <w:sz w:val="20"/>
          <w:szCs w:val="20"/>
          <w:color w:val="auto"/>
        </w:rPr>
      </w:pPr>
      <w:r>
        <w:rPr>
          <w:rFonts w:ascii="Times New Roman" w:cs="Times New Roman" w:eastAsia="Times New Roman" w:hAnsi="Times New Roman"/>
          <w:sz w:val="18"/>
          <w:szCs w:val="18"/>
          <w:color w:val="auto"/>
        </w:rPr>
        <w:t>important business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-83185</wp:posOffset>
            </wp:positionV>
            <wp:extent cx="59690"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2060" w:right="2620"/>
        <w:spacing w:after="0" w:line="266" w:lineRule="auto"/>
        <w:rPr>
          <w:sz w:val="20"/>
          <w:szCs w:val="20"/>
          <w:color w:val="auto"/>
        </w:rPr>
      </w:pPr>
      <w:r>
        <w:rPr>
          <w:rFonts w:ascii="Times New Roman" w:cs="Times New Roman" w:eastAsia="Times New Roman" w:hAnsi="Times New Roman"/>
          <w:sz w:val="18"/>
          <w:szCs w:val="18"/>
          <w:color w:val="auto"/>
        </w:rPr>
        <w:t>the acquisition or loss of, or change in the terms of any contract with, a major customer, changes in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-243205</wp:posOffset>
            </wp:positionV>
            <wp:extent cx="59690"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-97790</wp:posOffset>
            </wp:positionV>
            <wp:extent cx="59690"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2060" w:right="3000"/>
        <w:spacing w:after="0" w:line="279" w:lineRule="auto"/>
        <w:rPr>
          <w:sz w:val="20"/>
          <w:szCs w:val="20"/>
          <w:color w:val="auto"/>
        </w:rPr>
      </w:pPr>
      <w:r>
        <w:rPr>
          <w:rFonts w:ascii="Times New Roman" w:cs="Times New Roman" w:eastAsia="Times New Roman" w:hAnsi="Times New Roman"/>
          <w:sz w:val="18"/>
          <w:szCs w:val="18"/>
          <w:color w:val="auto"/>
        </w:rPr>
        <w:t>major events regarding the Company’s securities, such as a dividend or stock split, actual or threatened major litigation, or the resolution of such litigation, or an important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-410210</wp:posOffset>
            </wp:positionV>
            <wp:extent cx="59690"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-264795</wp:posOffset>
            </wp:positionV>
            <wp:extent cx="59690"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1082040</wp:posOffset>
            </wp:positionH>
            <wp:positionV relativeFrom="paragraph">
              <wp:posOffset>-118745</wp:posOffset>
            </wp:positionV>
            <wp:extent cx="59690"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4"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We emphasize that this list is merely illustrative. In addition to historical information, information which is forward-looking or contingent may be material. If you are unsure whether information is material, you should consult with the Company's General Counsel before taking any action. When in doubt, information should be presumed to be “material.”</w:t>
      </w:r>
    </w:p>
    <w:p>
      <w:pPr>
        <w:spacing w:after="0" w:line="176" w:lineRule="exact"/>
        <w:rPr>
          <w:sz w:val="20"/>
          <w:szCs w:val="20"/>
          <w:color w:val="auto"/>
        </w:rPr>
      </w:pPr>
    </w:p>
    <w:p>
      <w:pPr>
        <w:jc w:val="both"/>
        <w:ind w:left="560" w:right="140" w:firstLine="644"/>
        <w:spacing w:after="0" w:line="270" w:lineRule="auto"/>
        <w:tabs>
          <w:tab w:leader="none" w:pos="186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Non-Public Information</w:t>
      </w:r>
      <w:r>
        <w:rPr>
          <w:rFonts w:ascii="Times New Roman" w:cs="Times New Roman" w:eastAsia="Times New Roman" w:hAnsi="Times New Roman"/>
          <w:sz w:val="17"/>
          <w:szCs w:val="17"/>
          <w:color w:val="auto"/>
        </w:rPr>
        <w:t>. Information may be considered “non-public” if it has not been disseminated in the Company’s SEC filings or has not been the subject of a prior widely-disseminated Company press release. The fact that information has been disclosed to a few members of the public or appears on the Company's website does not make it public for insider trading purposes. Unless the Company publicly confirms information reported by the news media, analysts or other third-party sources, such information may still be considered non-public.</w:t>
      </w:r>
    </w:p>
    <w:p>
      <w:pPr>
        <w:spacing w:after="0" w:line="2"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You should be aware that it is the Company’s policy not to comment on such information.</w:t>
      </w:r>
    </w:p>
    <w:p>
      <w:pPr>
        <w:spacing w:after="0" w:line="193" w:lineRule="exact"/>
        <w:rPr>
          <w:sz w:val="20"/>
          <w:szCs w:val="20"/>
          <w:color w:val="auto"/>
        </w:rPr>
      </w:pPr>
    </w:p>
    <w:p>
      <w:pPr>
        <w:ind w:left="560" w:right="80" w:firstLine="648"/>
        <w:spacing w:after="0" w:line="256" w:lineRule="auto"/>
        <w:rPr>
          <w:sz w:val="20"/>
          <w:szCs w:val="20"/>
          <w:color w:val="auto"/>
        </w:rPr>
      </w:pPr>
      <w:r>
        <w:rPr>
          <w:rFonts w:ascii="Times New Roman" w:cs="Times New Roman" w:eastAsia="Times New Roman" w:hAnsi="Times New Roman"/>
          <w:sz w:val="18"/>
          <w:szCs w:val="18"/>
          <w:color w:val="auto"/>
        </w:rPr>
        <w:t>Once all material information is publicly disseminated, trading can occur after a lapse of two full trading days, unless the Company determines that a shorter period is sufficient. Therefore, if an announcement is made before the commencement of trading on a Monday, a covered person may trade in the Company’s stock starting on the Wednesday of that week, because two full trading days would have elapsed by then (all of Monday and Tuesday). If the announcement is made on Monday after trading begins, covered persons may not trade in the Company’s stock until Thursday. Release of some material information does not allow insiders to trade if other material information remains undisclosed.</w:t>
      </w:r>
    </w:p>
    <w:p>
      <w:pPr>
        <w:spacing w:after="0" w:line="268" w:lineRule="exact"/>
        <w:rPr>
          <w:sz w:val="20"/>
          <w:szCs w:val="20"/>
          <w:color w:val="auto"/>
        </w:rPr>
      </w:pPr>
    </w:p>
    <w:p>
      <w:pPr>
        <w:ind w:left="560" w:firstLine="649"/>
        <w:spacing w:after="0" w:line="266" w:lineRule="auto"/>
        <w:rPr>
          <w:sz w:val="20"/>
          <w:szCs w:val="20"/>
          <w:color w:val="auto"/>
        </w:rPr>
      </w:pPr>
      <w:r>
        <w:rPr>
          <w:rFonts w:ascii="Times New Roman" w:cs="Times New Roman" w:eastAsia="Times New Roman" w:hAnsi="Times New Roman"/>
          <w:sz w:val="18"/>
          <w:szCs w:val="18"/>
          <w:color w:val="auto"/>
        </w:rPr>
        <w:t>Please consult the General Counsel of the Company, Scott Claassen, if you are uncertain whether information has been made public and when trading may commence following a public announcement by the Company. When in doubt, information should be presumed to be “non-public” and treated as confidential.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81915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621" w:right="459" w:bottom="1440" w:gutter="0" w:footer="0" w:header="0"/>
        </w:sectPr>
      </w:pPr>
    </w:p>
    <w:bookmarkStart w:id="109" w:name="page110"/>
    <w:bookmarkEnd w:id="109"/>
    <w:p>
      <w:pPr>
        <w:ind w:firstLine="656"/>
        <w:spacing w:after="0" w:line="254" w:lineRule="auto"/>
        <w:tabs>
          <w:tab w:leader="none" w:pos="12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Restrictions</w:t>
      </w:r>
      <w:r>
        <w:rPr>
          <w:rFonts w:ascii="Times New Roman" w:cs="Times New Roman" w:eastAsia="Times New Roman" w:hAnsi="Times New Roman"/>
          <w:sz w:val="18"/>
          <w:szCs w:val="18"/>
          <w:color w:val="auto"/>
        </w:rPr>
        <w:t>. The above prohibition against trading on or disclosing inside information generally reflects the requirements of law as well as the Company’s Policy. It is impossible to overstate the importance of understanding and complying with the insider trading laws. You need not be an officer or senior executive of the Company to be subject to the insider trading laws. Any employee or other person with access to inside information is subject to prosecution for a violation. As more fully discussed below, a breach of this Policy will subject you to disciplinary action by the Company and probably will constitute a serious legal violation as well. In all cases, the responsibility for determining whether you are in possession of material non-public information and in compliance with this Policy rests with you, and any action on the part of the Company, the General Counsel or any other employee or director pursuant to this Policy (or otherwise) does not in any way constitute legal advice or insulate you from liability under applicable securities laws.</w:t>
      </w:r>
    </w:p>
    <w:p>
      <w:pPr>
        <w:spacing w:after="0" w:line="191" w:lineRule="exact"/>
        <w:rPr>
          <w:rFonts w:ascii="Times New Roman" w:cs="Times New Roman" w:eastAsia="Times New Roman" w:hAnsi="Times New Roman"/>
          <w:sz w:val="18"/>
          <w:szCs w:val="18"/>
          <w:color w:val="auto"/>
        </w:rPr>
      </w:pPr>
    </w:p>
    <w:p>
      <w:pPr>
        <w:jc w:val="both"/>
        <w:ind w:right="80" w:firstLine="656"/>
        <w:spacing w:after="0" w:line="261" w:lineRule="auto"/>
        <w:tabs>
          <w:tab w:leader="none" w:pos="12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Generally</w:t>
      </w:r>
      <w:r>
        <w:rPr>
          <w:rFonts w:ascii="Times New Roman" w:cs="Times New Roman" w:eastAsia="Times New Roman" w:hAnsi="Times New Roman"/>
          <w:sz w:val="18"/>
          <w:szCs w:val="18"/>
          <w:color w:val="auto"/>
        </w:rPr>
        <w:t>. Serious problems could be caused for the Company by unauthorized disclosure of internal information about the Company (or confidential information about our customers or vendors), whether or not for the purpose of facilitating improper trading in our stock or other securities. You should not discuss internal Company matters or developments with anyone outside of the Company or with co-workers who are not involved in such matters, except as required in the performance of your regular duties on behalf of the Company.</w:t>
      </w:r>
    </w:p>
    <w:p>
      <w:pPr>
        <w:spacing w:after="0" w:line="18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This prohibition on disclosing confidential information applies specifically (but not exclusively) to inquiries about the Company which may be made by the financial press, investment analysts or others in the financial community. It is important that all such communications on behalf of the Company be made only pursuant to the Company’s Disclosure Policy. The Company is required under Regulation FD of the U.S. federal securities laws to avoid the selective disclosure of material non-public information. The Company has established procedures for releasing information in a manner that is designed to achieve broad public dissemination of the information. Unless you are expressly authorized to the contrary, if you receive any inquires of this nature, you should decline comment and refer the inquiry to the Head of Investor Relations or the General Counsel of the Company.</w:t>
      </w:r>
    </w:p>
    <w:p>
      <w:pPr>
        <w:spacing w:after="0" w:line="187" w:lineRule="exact"/>
        <w:rPr>
          <w:sz w:val="20"/>
          <w:szCs w:val="20"/>
          <w:color w:val="auto"/>
        </w:rPr>
      </w:pPr>
    </w:p>
    <w:p>
      <w:pPr>
        <w:ind w:right="180" w:firstLine="656"/>
        <w:spacing w:after="0" w:line="258" w:lineRule="auto"/>
        <w:tabs>
          <w:tab w:leader="none" w:pos="12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About Other Companies</w:t>
      </w:r>
      <w:r>
        <w:rPr>
          <w:rFonts w:ascii="Times New Roman" w:cs="Times New Roman" w:eastAsia="Times New Roman" w:hAnsi="Times New Roman"/>
          <w:sz w:val="18"/>
          <w:szCs w:val="18"/>
          <w:color w:val="auto"/>
        </w:rPr>
        <w:t>. In the course of your employment or affiliation with the Company, you may become aware of material non-public information about other public companies -- for example, other companies with which our Company has business dealings. You are prohibited from purchasing or selling or otherwise transferring the securities of any other public company at a time when you are in possession of material non-public information about such company. You are also prohibited from disclosing such information to another person who trades in such company's stock or other securities.</w:t>
      </w:r>
    </w:p>
    <w:p>
      <w:pPr>
        <w:spacing w:after="0" w:line="183" w:lineRule="exact"/>
        <w:rPr>
          <w:rFonts w:ascii="Times New Roman" w:cs="Times New Roman" w:eastAsia="Times New Roman" w:hAnsi="Times New Roman"/>
          <w:sz w:val="18"/>
          <w:szCs w:val="18"/>
          <w:color w:val="auto"/>
        </w:rPr>
      </w:pPr>
    </w:p>
    <w:p>
      <w:pPr>
        <w:ind w:right="40" w:firstLine="656"/>
        <w:spacing w:after="0" w:line="254"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Tipping</w:t>
      </w:r>
      <w:r>
        <w:rPr>
          <w:rFonts w:ascii="Times New Roman" w:cs="Times New Roman" w:eastAsia="Times New Roman" w:hAnsi="Times New Roman"/>
          <w:sz w:val="18"/>
          <w:szCs w:val="18"/>
          <w:color w:val="auto"/>
        </w:rPr>
        <w:t>. Improper disclosure of material non-public information to another person who trades in the stock or other securities (so-called “tipping”) is also a serious legal offense by the tipper and a violation of the terms of this Policy. If you disclose material non-public information about our Company, or material non-public information about any other public company which you acquire in connection with your employment or affiliation with our Company, or if you advise anyone to purchase or sell securities based upon such information, you may be fully responsible legally for the trading of the person receiving the information from you (your “tippee”) and even persons who receive the information directly or indirectly from your tippee, whether or not you are aware of any trading by such persons. Accordingly, in addition to your general obligations to maintain confidentiality of information obtained through your employment or affiliation with the Company and to refrain from trading while in possession of material non-public information, you must take utmost care not to discuss confidential or material non-public information with family members, friends or others who might abuse the information by trading in securities.</w:t>
      </w:r>
    </w:p>
    <w:p>
      <w:pPr>
        <w:spacing w:after="0" w:line="188" w:lineRule="exact"/>
        <w:rPr>
          <w:rFonts w:ascii="Times New Roman" w:cs="Times New Roman" w:eastAsia="Times New Roman" w:hAnsi="Times New Roman"/>
          <w:sz w:val="18"/>
          <w:szCs w:val="18"/>
          <w:color w:val="auto"/>
        </w:rPr>
      </w:pPr>
    </w:p>
    <w:p>
      <w:pPr>
        <w:ind w:right="200" w:firstLine="656"/>
        <w:spacing w:after="0" w:line="256" w:lineRule="auto"/>
        <w:tabs>
          <w:tab w:leader="none" w:pos="12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Certain Trading Activities</w:t>
      </w:r>
      <w:r>
        <w:rPr>
          <w:rFonts w:ascii="Times New Roman" w:cs="Times New Roman" w:eastAsia="Times New Roman" w:hAnsi="Times New Roman"/>
          <w:sz w:val="18"/>
          <w:szCs w:val="18"/>
          <w:color w:val="auto"/>
        </w:rPr>
        <w:t>. We encourage interested directors, officers and employees to own our securities as a long-term investment at levels consistent with their individual financial circumstance and risk bearing abilities (since ownership of any security entails risk). However, Company personnel (which shall include directors, officers and employees of the Company) may not trade in puts, calls or similar options on our stock or sell our stock “short.” Company personnel may not purchase financial instruments (including prepaid variable forward contracts, equity swaps, collars, and exchange funds) or otherwise engage in transactions that are designed to or have the effect of hedging or offsetting any decrease in the market value of our securities. (You may, of course, exercise any stock options granted to you by the Company as described in Section 9 below.)</w:t>
      </w:r>
    </w:p>
    <w:p>
      <w:pPr>
        <w:spacing w:after="0" w:line="187" w:lineRule="exact"/>
        <w:rPr>
          <w:rFonts w:ascii="Times New Roman" w:cs="Times New Roman" w:eastAsia="Times New Roman" w:hAnsi="Times New Roman"/>
          <w:sz w:val="18"/>
          <w:szCs w:val="18"/>
          <w:color w:val="auto"/>
        </w:rPr>
      </w:pPr>
    </w:p>
    <w:p>
      <w:pPr>
        <w:ind w:right="180" w:firstLine="656"/>
        <w:spacing w:after="0" w:line="261" w:lineRule="auto"/>
        <w:tabs>
          <w:tab w:leader="none" w:pos="12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Accounts and Pledges</w:t>
      </w:r>
      <w:r>
        <w:rPr>
          <w:rFonts w:ascii="Times New Roman" w:cs="Times New Roman" w:eastAsia="Times New Roman" w:hAnsi="Times New Roman"/>
          <w:sz w:val="18"/>
          <w:szCs w:val="18"/>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A margin sale or foreclosure sale may occur at a time when the pledgor is aware of material non-public information or otherwise is not permitted to trade in Company securities.</w:t>
      </w:r>
    </w:p>
    <w:p>
      <w:pPr>
        <w:spacing w:after="0" w:line="180" w:lineRule="exact"/>
        <w:rPr>
          <w:sz w:val="20"/>
          <w:szCs w:val="20"/>
          <w:color w:val="auto"/>
        </w:rPr>
      </w:pPr>
    </w:p>
    <w:p>
      <w:pPr>
        <w:ind w:firstLine="646"/>
        <w:spacing w:after="0" w:line="266" w:lineRule="auto"/>
        <w:rPr>
          <w:sz w:val="20"/>
          <w:szCs w:val="20"/>
          <w:color w:val="auto"/>
        </w:rPr>
      </w:pPr>
      <w:r>
        <w:rPr>
          <w:rFonts w:ascii="Times New Roman" w:cs="Times New Roman" w:eastAsia="Times New Roman" w:hAnsi="Times New Roman"/>
          <w:sz w:val="18"/>
          <w:szCs w:val="18"/>
          <w:color w:val="auto"/>
        </w:rPr>
        <w:t>Consequently, you are discouraged from holding Company securities in a margin account or pledging Company securities as collateral for a loan. In addition, persons subject to the Addendum as described below are prohibited from holding Company securities in a margin account and are restricted from pledging Company securities as collateral for a loan as described in the Addendum.</w:t>
      </w:r>
    </w:p>
    <w:p>
      <w:pPr>
        <w:spacing w:after="0" w:line="176" w:lineRule="exact"/>
        <w:rPr>
          <w:sz w:val="20"/>
          <w:szCs w:val="20"/>
          <w:color w:val="auto"/>
        </w:rPr>
      </w:pPr>
    </w:p>
    <w:p>
      <w:pPr>
        <w:ind w:right="1060" w:firstLine="657"/>
        <w:spacing w:after="0" w:line="282" w:lineRule="auto"/>
        <w:tabs>
          <w:tab w:leader="none" w:pos="12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under Company Stock Plans</w:t>
      </w:r>
      <w:r>
        <w:rPr>
          <w:rFonts w:ascii="Times New Roman" w:cs="Times New Roman" w:eastAsia="Times New Roman" w:hAnsi="Times New Roman"/>
          <w:sz w:val="18"/>
          <w:szCs w:val="18"/>
          <w:color w:val="auto"/>
        </w:rPr>
        <w:t>. Certain transactions in Company securities relating to Company stock plans are restricted under this Policy:</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553" w:right="439" w:bottom="1440" w:gutter="0" w:footer="0" w:header="0"/>
        </w:sectPr>
      </w:pPr>
    </w:p>
    <w:bookmarkStart w:id="110" w:name="page111"/>
    <w:bookmarkEnd w:id="110"/>
    <w:p>
      <w:pPr>
        <w:ind w:left="660" w:right="80" w:firstLine="644"/>
        <w:spacing w:after="0" w:line="258" w:lineRule="auto"/>
        <w:tabs>
          <w:tab w:leader="none" w:pos="195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Exercises; Tax Withholding</w:t>
      </w:r>
      <w:r>
        <w:rPr>
          <w:rFonts w:ascii="Times New Roman" w:cs="Times New Roman" w:eastAsia="Times New Roman" w:hAnsi="Times New Roman"/>
          <w:sz w:val="18"/>
          <w:szCs w:val="18"/>
          <w:color w:val="auto"/>
        </w:rPr>
        <w:t>. This Policy’s trading restrictions generally do not apply to the exercise of a stock option for cash. However, you may not sell the underlying shares of stock and you may not engage in a cashless exercise of a stock option through a broker (because this entails selling a portion of the underlying stock to cover the costs of exercise) while you possess material, non-public information. This Policy’s trading restrictions generally do not apply to the exercise of tax withholding rights pursuant to which you elect to have the Company withhold shares from an award to satisfy tax withholding requirements.</w:t>
      </w:r>
    </w:p>
    <w:p>
      <w:pPr>
        <w:spacing w:after="0" w:line="183" w:lineRule="exact"/>
        <w:rPr>
          <w:rFonts w:ascii="Times New Roman" w:cs="Times New Roman" w:eastAsia="Times New Roman" w:hAnsi="Times New Roman"/>
          <w:sz w:val="18"/>
          <w:szCs w:val="18"/>
          <w:color w:val="auto"/>
        </w:rPr>
      </w:pPr>
    </w:p>
    <w:p>
      <w:pPr>
        <w:jc w:val="both"/>
        <w:ind w:left="660" w:right="780" w:firstLine="644"/>
        <w:spacing w:after="0" w:line="266" w:lineRule="auto"/>
        <w:tabs>
          <w:tab w:leader="none" w:pos="1967"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Stock Purchase Plan</w:t>
      </w:r>
      <w:r>
        <w:rPr>
          <w:rFonts w:ascii="Times New Roman" w:cs="Times New Roman" w:eastAsia="Times New Roman" w:hAnsi="Times New Roman"/>
          <w:sz w:val="18"/>
          <w:szCs w:val="18"/>
          <w:color w:val="auto"/>
        </w:rPr>
        <w:t>. This Policy’s trading restrictions do not apply to purchases of Company stock in the employee stock purchase plan resulting from your periodic payroll contributions to the plan under an election you made at the time of enrollment in the plan. The trading restrictions do apply to your sales of Company stock purchased under the plan.</w:t>
      </w:r>
    </w:p>
    <w:p>
      <w:pPr>
        <w:spacing w:after="0" w:line="175" w:lineRule="exact"/>
        <w:rPr>
          <w:rFonts w:ascii="Times New Roman" w:cs="Times New Roman" w:eastAsia="Times New Roman" w:hAnsi="Times New Roman"/>
          <w:sz w:val="18"/>
          <w:szCs w:val="18"/>
          <w:color w:val="auto"/>
        </w:rPr>
      </w:pPr>
    </w:p>
    <w:p>
      <w:pPr>
        <w:ind w:left="660" w:firstLine="644"/>
        <w:spacing w:after="0" w:line="269" w:lineRule="auto"/>
        <w:tabs>
          <w:tab w:leader="none" w:pos="1958"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401(k)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This Policy’s trading restrictions do not apply to purchases of Company stock in the 401(k) plan resulting from the periodic contribution of money to the plan by the Company. The trading restrictions do apply, however, to elections you may make under the 401(k) plan (to the extent then permitted under the 401(k) plan) to (a) increase or decrease the percentage of your periodic contributions, if any, that will be allocated to the Company stock fund, (b) make an intra-plan transfer of an existing account balance into or out of the Company stock fund, (c) borrow money against your 401(k) plan account if the loan will cause a sale of some or all of the shares in the Company stock fund, and</w:t>
      </w:r>
    </w:p>
    <w:p>
      <w:pPr>
        <w:spacing w:after="0" w:line="2" w:lineRule="exact"/>
        <w:rPr>
          <w:rFonts w:ascii="Times New Roman" w:cs="Times New Roman" w:eastAsia="Times New Roman" w:hAnsi="Times New Roman"/>
          <w:sz w:val="17"/>
          <w:szCs w:val="17"/>
          <w:color w:val="auto"/>
        </w:rPr>
      </w:pPr>
    </w:p>
    <w:p>
      <w:pPr>
        <w:ind w:left="900" w:hanging="24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a plan loan if the pre-payment will result in allocation of loan proceeds to the Company stock fund.</w:t>
      </w:r>
    </w:p>
    <w:p>
      <w:pPr>
        <w:spacing w:after="0" w:line="206" w:lineRule="exact"/>
        <w:rPr>
          <w:rFonts w:ascii="Times New Roman" w:cs="Times New Roman" w:eastAsia="Times New Roman" w:hAnsi="Times New Roman"/>
          <w:sz w:val="18"/>
          <w:szCs w:val="18"/>
          <w:color w:val="auto"/>
        </w:rPr>
      </w:pPr>
    </w:p>
    <w:p>
      <w:pPr>
        <w:ind w:right="60" w:firstLine="656"/>
        <w:spacing w:after="0" w:line="261" w:lineRule="auto"/>
        <w:tabs>
          <w:tab w:leader="none" w:pos="132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Gifts</w:t>
      </w:r>
      <w:r>
        <w:rPr>
          <w:rFonts w:ascii="Times New Roman" w:cs="Times New Roman" w:eastAsia="Times New Roman" w:hAnsi="Times New Roman"/>
          <w:sz w:val="18"/>
          <w:szCs w:val="18"/>
          <w:color w:val="auto"/>
        </w:rPr>
        <w:t>. The Company may permit bona fide gifts of stock during periods when trading is restricted, as determined by the General Counsel. Whether a gift is bona fide will depend on the circumstances surrounding the gift, such as whether the gift is made to a charity or to a relative or friend of the donor and whether the shares are to be sold immediately thereafter. If you intend to make a gift during periods when trading is restricted, you must review the gift transaction with the General Counsel prior to making the gift.</w:t>
      </w:r>
    </w:p>
    <w:p>
      <w:pPr>
        <w:spacing w:after="0" w:line="179" w:lineRule="exact"/>
        <w:rPr>
          <w:rFonts w:ascii="Times New Roman" w:cs="Times New Roman" w:eastAsia="Times New Roman" w:hAnsi="Times New Roman"/>
          <w:sz w:val="18"/>
          <w:szCs w:val="18"/>
          <w:color w:val="auto"/>
        </w:rPr>
      </w:pPr>
    </w:p>
    <w:p>
      <w:pPr>
        <w:ind w:right="100" w:firstLine="656"/>
        <w:spacing w:after="0" w:line="255" w:lineRule="auto"/>
        <w:tabs>
          <w:tab w:leader="none" w:pos="13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Violation</w:t>
      </w:r>
      <w:r>
        <w:rPr>
          <w:rFonts w:ascii="Times New Roman" w:cs="Times New Roman" w:eastAsia="Times New Roman" w:hAnsi="Times New Roman"/>
          <w:sz w:val="18"/>
          <w:szCs w:val="18"/>
          <w:color w:val="auto"/>
        </w:rPr>
        <w:t>. The Company considers strict compliance with this Policy to be a matter of utmost importance. We would consider any violation of this Policy by any covered person as a threat to our reputation. Violation of this Policy could cause extreme embarrassment and possible legal liability to you and the Company. Violations of the letter or spirit of this Policy will be grounds for disciplinary action by the Company, including immediate dismissal from the Company. Violation of this Policy might expose the violator to severe criminal penalties, including fines of up to $5 million and imprisonment for up to 20 years, or both, and civil penalties to the SEC of up to three times the profit gained or loss avoided as a result of the violation. In addition violators may be subject to civil liability to any person injured by the violation. The monetary damages to persons injured may be as much as three times the profit realized or loss avoided by the violator, as well as the attorney’s fees of the persons injured.</w:t>
      </w:r>
    </w:p>
    <w:p>
      <w:pPr>
        <w:spacing w:after="0" w:line="18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Additionally, persons or entities who, at the time of the violation, directly or indirectly “controlled” the person who committed the violation are subject to civil penalties of up to the greater of $1 million or three times the profit gained or loss avoided as a result of the controlled person’s violation and criminal penalties of up to $25 million. The potential for such controlling person’s liability is particularly important for the Company, because the Company (and possibly directors and certain officers of the Company) may be considered to “control” Company employees for this purpose. In view of the potential legal exposure faced by the Company, as well as the potential for significant damage to its business and public relations, the Company will insist upon strict compliance with this Policy.</w:t>
      </w:r>
    </w:p>
    <w:p>
      <w:pPr>
        <w:spacing w:after="0" w:line="174" w:lineRule="exact"/>
        <w:rPr>
          <w:sz w:val="20"/>
          <w:szCs w:val="20"/>
          <w:color w:val="auto"/>
        </w:rPr>
      </w:pPr>
    </w:p>
    <w:p>
      <w:pPr>
        <w:ind w:right="280" w:firstLine="656"/>
        <w:spacing w:after="0" w:line="282" w:lineRule="auto"/>
        <w:tabs>
          <w:tab w:leader="none" w:pos="13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Resolving Doubts</w:t>
      </w:r>
      <w:r>
        <w:rPr>
          <w:rFonts w:ascii="Times New Roman" w:cs="Times New Roman" w:eastAsia="Times New Roman" w:hAnsi="Times New Roman"/>
          <w:sz w:val="18"/>
          <w:szCs w:val="18"/>
          <w:color w:val="auto"/>
        </w:rPr>
        <w:t>. If you have any doubt as to your responsibilities under this Policy, seek clarification and guidance before you act from our General Counsel. Do not try to resolve uncertainties on your own.</w:t>
      </w:r>
    </w:p>
    <w:p>
      <w:pPr>
        <w:spacing w:after="0" w:line="161" w:lineRule="exact"/>
        <w:rPr>
          <w:rFonts w:ascii="Times New Roman" w:cs="Times New Roman" w:eastAsia="Times New Roman" w:hAnsi="Times New Roman"/>
          <w:sz w:val="18"/>
          <w:szCs w:val="18"/>
          <w:color w:val="auto"/>
        </w:rPr>
      </w:pPr>
    </w:p>
    <w:p>
      <w:pPr>
        <w:ind w:right="240" w:firstLine="656"/>
        <w:spacing w:after="0" w:line="256" w:lineRule="auto"/>
        <w:tabs>
          <w:tab w:leader="none" w:pos="132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Periods, Pre-Clearance Procedures and Transaction Reporting</w:t>
      </w:r>
      <w:r>
        <w:rPr>
          <w:rFonts w:ascii="Times New Roman" w:cs="Times New Roman" w:eastAsia="Times New Roman" w:hAnsi="Times New Roman"/>
          <w:sz w:val="18"/>
          <w:szCs w:val="18"/>
          <w:color w:val="auto"/>
        </w:rPr>
        <w:t>. To help prevent violations of the applicable securities laws and to avoid even the appearance of trading on the basis of inside information, the Company has adopted an Addendum to this Policy that applies to (i) directors and executive officers of the Company subject to Section 16 of the Securities Exchange Act of 1934, as amended, (ii) persons who report directly to any such executive officer and (iii) other individuals designated from time to time by Euronet Worldwide, Inc. as being subject to the Addendum. If you fall within one of these categories, you must carefully review and comply with the additional requirements of the Addendum. The Company will notify you if you are subject to the Addendum under clause (ii) or (iii) above.</w:t>
      </w:r>
    </w:p>
    <w:p>
      <w:pPr>
        <w:spacing w:after="0" w:line="187" w:lineRule="exact"/>
        <w:rPr>
          <w:sz w:val="20"/>
          <w:szCs w:val="20"/>
          <w:color w:val="auto"/>
        </w:rPr>
      </w:pPr>
    </w:p>
    <w:p>
      <w:pPr>
        <w:ind w:right="80" w:firstLine="647"/>
        <w:spacing w:after="0" w:line="261" w:lineRule="auto"/>
        <w:rPr>
          <w:sz w:val="20"/>
          <w:szCs w:val="20"/>
          <w:color w:val="auto"/>
        </w:rPr>
      </w:pPr>
      <w:r>
        <w:rPr>
          <w:rFonts w:ascii="Times New Roman" w:cs="Times New Roman" w:eastAsia="Times New Roman" w:hAnsi="Times New Roman"/>
          <w:sz w:val="18"/>
          <w:szCs w:val="18"/>
          <w:color w:val="auto"/>
        </w:rPr>
        <w:t>The Addendum generally requires persons covered by it to pre-clear with the Company all transactions in the Company’s securities, prohibits such persons from engaging in transactions in the Company’s securities during quarterly earnings blackout periods and other blackout periods designated by the Company, permits such persons to adopt trading plans under certain circumstances, and specifies certain transaction reporting requirements of directors and executive officers.</w:t>
      </w:r>
    </w:p>
    <w:p>
      <w:pPr>
        <w:spacing w:after="0" w:line="180" w:lineRule="exact"/>
        <w:rPr>
          <w:sz w:val="20"/>
          <w:szCs w:val="20"/>
          <w:color w:val="auto"/>
        </w:rPr>
      </w:pPr>
    </w:p>
    <w:p>
      <w:pPr>
        <w:ind w:right="120" w:firstLine="656"/>
        <w:spacing w:after="0" w:line="258" w:lineRule="auto"/>
        <w:tabs>
          <w:tab w:leader="none" w:pos="132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 Caution About Possible Inability to Sell</w:t>
      </w:r>
      <w:r>
        <w:rPr>
          <w:rFonts w:ascii="Times New Roman" w:cs="Times New Roman" w:eastAsia="Times New Roman" w:hAnsi="Times New Roman"/>
          <w:sz w:val="18"/>
          <w:szCs w:val="18"/>
          <w:color w:val="auto"/>
        </w:rPr>
        <w:t>. Although the Company encourages directors, officers and employees to own our securities as a long-term investment (see Section 7), all personnel must recognize that trading in securities may be prohibited at a particular time because of the existence of material non-public information. Anyone purchasing our securities must consider the inherent risk that a sale of the securities could be prohibited at a time he or she might desire to sell them. The next opportunity to sell might not occur until after an extended period, during which the market price of the securities might decline.</w:t>
      </w:r>
    </w:p>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553" w:right="439" w:bottom="1440" w:gutter="0" w:footer="0" w:header="0"/>
        </w:sectPr>
      </w:pPr>
    </w:p>
    <w:bookmarkStart w:id="111" w:name="page112"/>
    <w:bookmarkEnd w:id="1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Addendum to</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Policy Relating to Insider Trading and Confidentiality of Information</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Amended and Restated as of June 16, 2015</w:t>
      </w:r>
    </w:p>
    <w:p>
      <w:pPr>
        <w:spacing w:after="0" w:line="229" w:lineRule="exact"/>
        <w:rPr>
          <w:sz w:val="20"/>
          <w:szCs w:val="20"/>
          <w:color w:val="auto"/>
        </w:rPr>
      </w:pPr>
    </w:p>
    <w:p>
      <w:pPr>
        <w:ind w:right="180" w:firstLine="647"/>
        <w:spacing w:after="0" w:line="254" w:lineRule="auto"/>
        <w:rPr>
          <w:sz w:val="20"/>
          <w:szCs w:val="20"/>
          <w:color w:val="auto"/>
        </w:rPr>
      </w:pPr>
      <w:r>
        <w:rPr>
          <w:rFonts w:ascii="Times New Roman" w:cs="Times New Roman" w:eastAsia="Times New Roman" w:hAnsi="Times New Roman"/>
          <w:sz w:val="18"/>
          <w:szCs w:val="18"/>
          <w:color w:val="auto"/>
        </w:rPr>
        <w:t>This Addendum applies to (i) directors and executive officers of the Company subject to Section 16 of the Securities Exchange Act of 1934, as amended (“Exchange Act”), (ii) persons who report directly to any such executive officer and (iii) other individuals designated from time to time by Euronet Worldwide, Inc. as being subject to this Addendum (collectively, with their family members, members of their households and persons and entities that they control or influence, as listed in Section 1 of the Policy Relating to Insider Trading and Confidentiality of Information, the “Covered Persons”). The Company will notify the persons described in clauses (ii) and (iii) that they are subject to this Addendum.</w:t>
      </w:r>
    </w:p>
    <w:p>
      <w:pPr>
        <w:spacing w:after="0" w:line="201" w:lineRule="exact"/>
        <w:rPr>
          <w:sz w:val="20"/>
          <w:szCs w:val="20"/>
          <w:color w:val="auto"/>
        </w:rPr>
      </w:pPr>
    </w:p>
    <w:p>
      <w:pPr>
        <w:ind w:right="180" w:firstLine="646"/>
        <w:spacing w:after="0" w:line="282" w:lineRule="auto"/>
        <w:rPr>
          <w:sz w:val="20"/>
          <w:szCs w:val="20"/>
          <w:color w:val="auto"/>
        </w:rPr>
      </w:pPr>
      <w:r>
        <w:rPr>
          <w:rFonts w:ascii="Times New Roman" w:cs="Times New Roman" w:eastAsia="Times New Roman" w:hAnsi="Times New Roman"/>
          <w:sz w:val="18"/>
          <w:szCs w:val="18"/>
          <w:color w:val="auto"/>
        </w:rPr>
        <w:t>This Addendum is in addition to and supplements the Company’s Policy Relating to Insider Trading and Confidentiality of Information. Terms defined in the Policy shall have the same meanings in this Addendum.</w:t>
      </w:r>
    </w:p>
    <w:p>
      <w:pPr>
        <w:spacing w:after="0" w:line="148" w:lineRule="exact"/>
        <w:rPr>
          <w:sz w:val="20"/>
          <w:szCs w:val="20"/>
          <w:color w:val="auto"/>
        </w:rPr>
      </w:pPr>
    </w:p>
    <w:p>
      <w:pPr>
        <w:ind w:right="80" w:firstLine="656"/>
        <w:spacing w:after="0" w:line="254" w:lineRule="auto"/>
        <w:tabs>
          <w:tab w:leader="none" w:pos="12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Pre-clearance Procedures</w:t>
      </w:r>
      <w:r>
        <w:rPr>
          <w:rFonts w:ascii="Times New Roman" w:cs="Times New Roman" w:eastAsia="Times New Roman" w:hAnsi="Times New Roman"/>
          <w:sz w:val="18"/>
          <w:szCs w:val="18"/>
          <w:color w:val="auto"/>
        </w:rPr>
        <w:t>. Covered Persons may not engage in any transaction involving our securities (including without limitation a gift, a loan or pledge, a hedge, a stock plan transaction such as an option exercise, a contribution to a trust, or any other transfer) without first obtaining pre-clearance of the transaction from the General Counsel. A request for pre- clearance must be submitted to the General Counsel at least two business days in advance of the proposed transaction. The General Counsel will then determine whether the transaction may proceed. The General Counsel may not engage in any transaction involving our securities unless the Chief Executive Officer approves the transaction in accordance with the procedures set forth in this Addendum. Neither the Chief Executive Officer nor the General Counsel is under any obligation to approve a transaction submitted for pre-clearance, and none of the Company, the Chief Executive Officer or the General Counsel will have any liability for any refusal to permit a transaction or for any delay in making or communicating a decision.</w:t>
      </w:r>
    </w:p>
    <w:p>
      <w:pPr>
        <w:spacing w:after="0" w:line="19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Periods</w:t>
      </w:r>
      <w:r>
        <w:rPr>
          <w:rFonts w:ascii="Times New Roman" w:cs="Times New Roman" w:eastAsia="Times New Roman" w:hAnsi="Times New Roman"/>
          <w:sz w:val="18"/>
          <w:szCs w:val="18"/>
          <w:color w:val="auto"/>
        </w:rPr>
        <w:t>. The persons specified below may not engage in any transaction involving our securities during “blackout periods”</w:t>
      </w:r>
    </w:p>
    <w:p>
      <w:pPr>
        <w:spacing w:after="0" w:line="27"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as described below. Persons subject to these provisions should note that even if a blackout period is not in effect, (a) Covered Persons must comply with the pre-clearance procedures set forth above and (b) at no time may anyone trade in Company securities if such person is aware of material, non-public information about the Company. For example, if the Company issues a quarterly earnings release and a person is aware of other material, non-public information not disclosed in the earnings release, the person may not trade in Company securities.</w:t>
      </w:r>
    </w:p>
    <w:p>
      <w:pPr>
        <w:spacing w:after="0" w:line="189" w:lineRule="exact"/>
        <w:rPr>
          <w:sz w:val="20"/>
          <w:szCs w:val="20"/>
          <w:color w:val="auto"/>
        </w:rPr>
      </w:pPr>
    </w:p>
    <w:p>
      <w:pPr>
        <w:ind w:left="660" w:right="100" w:firstLine="644"/>
        <w:spacing w:after="0" w:line="256" w:lineRule="auto"/>
        <w:tabs>
          <w:tab w:leader="none" w:pos="19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Blackout Periods</w:t>
      </w:r>
      <w:r>
        <w:rPr>
          <w:rFonts w:ascii="Times New Roman" w:cs="Times New Roman" w:eastAsia="Times New Roman" w:hAnsi="Times New Roman"/>
          <w:sz w:val="18"/>
          <w:szCs w:val="18"/>
          <w:color w:val="auto"/>
        </w:rPr>
        <w:t>. The Company’s announcement of its quarterly financial results generally has the potential to have a material effect on the market for the Company’s securities. Therefore, in order to avoid even the appearance of trading while in possession of material non-public information, with respect to each fiscal quarter of the Company, Covered Persons may not purchase or sell or otherwise transfer the Company’s securities during the period beginning 15 days prior to the end of the quarter and ending after the second full business day following the release of the Company’s financial results for that quarter. The announcement date of the quarterly results varies, but occurs normally toward the end of the month following the end of the fiscal quarter.</w:t>
      </w:r>
    </w:p>
    <w:p>
      <w:pPr>
        <w:spacing w:after="0" w:line="187" w:lineRule="exact"/>
        <w:rPr>
          <w:rFonts w:ascii="Times New Roman" w:cs="Times New Roman" w:eastAsia="Times New Roman" w:hAnsi="Times New Roman"/>
          <w:sz w:val="18"/>
          <w:szCs w:val="18"/>
          <w:color w:val="auto"/>
        </w:rPr>
      </w:pPr>
    </w:p>
    <w:p>
      <w:pPr>
        <w:ind w:left="660" w:right="40" w:firstLine="644"/>
        <w:spacing w:after="0" w:line="256" w:lineRule="auto"/>
        <w:tabs>
          <w:tab w:leader="none" w:pos="19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Blackout Periods</w:t>
      </w:r>
      <w:r>
        <w:rPr>
          <w:rFonts w:ascii="Times New Roman" w:cs="Times New Roman" w:eastAsia="Times New Roman" w:hAnsi="Times New Roman"/>
          <w:sz w:val="18"/>
          <w:szCs w:val="18"/>
          <w:color w:val="auto"/>
        </w:rPr>
        <w:t>. In addition, the Company may impose event specific restricted periods during which Covered Persons who are aware of the event may not purchase or sell or otherwise transfer any securities of the Company. These blackout periods may be imposed as a result of an event, contingency or potential transaction that may be material to the Company. Also, the Company may on occasion issue interim earnings guidance or other potentially material information by means of a press release, Form 8-K or other means designed to achieve widespread dissemination of the information. Transactions are unlikely to be pre-cleared while the Company is in the process of assembling the information to be released and until the information has been released and fully absorbed by the market.</w:t>
      </w:r>
    </w:p>
    <w:p>
      <w:pPr>
        <w:spacing w:after="0" w:line="187" w:lineRule="exact"/>
        <w:rPr>
          <w:sz w:val="20"/>
          <w:szCs w:val="20"/>
          <w:color w:val="auto"/>
        </w:rPr>
      </w:pPr>
    </w:p>
    <w:p>
      <w:pPr>
        <w:ind w:left="660" w:firstLine="650"/>
        <w:spacing w:after="0" w:line="256" w:lineRule="auto"/>
        <w:rPr>
          <w:sz w:val="20"/>
          <w:szCs w:val="20"/>
          <w:color w:val="auto"/>
        </w:rPr>
      </w:pPr>
      <w:r>
        <w:rPr>
          <w:rFonts w:ascii="Times New Roman" w:cs="Times New Roman" w:eastAsia="Times New Roman" w:hAnsi="Times New Roman"/>
          <w:sz w:val="18"/>
          <w:szCs w:val="18"/>
          <w:color w:val="auto"/>
        </w:rPr>
        <w:t>The existence of an event-specific blackout period may not be announced, or may be announced only to those who are aware of the transaction or event giving rise to the blackout period. If you are made aware of the existence of an event-specific blackout period, you should not disclose the existence of such blackout period to any other person or purchase or sell or otherwise transfer any Company securities. Individuals who are subject to event- specific blackout periods will be contacted when these periods are instituted from time to time. Whether or not you are designated as being subject to an event-specific blackout, you still have the obligation not to trade while aware of material non-public information.</w:t>
      </w:r>
    </w:p>
    <w:p>
      <w:pPr>
        <w:spacing w:after="0" w:line="1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630" w:right="439" w:bottom="1440" w:gutter="0" w:footer="0" w:header="0"/>
        </w:sectPr>
      </w:pPr>
    </w:p>
    <w:bookmarkStart w:id="112" w:name="page113"/>
    <w:bookmarkEnd w:id="112"/>
    <w:p>
      <w:pPr>
        <w:ind w:left="560" w:right="320" w:firstLine="644"/>
        <w:spacing w:after="0" w:line="256" w:lineRule="auto"/>
        <w:tabs>
          <w:tab w:leader="none" w:pos="185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Pension Fund Blackout Periods</w:t>
      </w:r>
      <w:r>
        <w:rPr>
          <w:rFonts w:ascii="Times New Roman" w:cs="Times New Roman" w:eastAsia="Times New Roman" w:hAnsi="Times New Roman"/>
          <w:sz w:val="18"/>
          <w:szCs w:val="18"/>
          <w:color w:val="auto"/>
        </w:rPr>
        <w:t>. Subject to certain exceptions, directors and executive officers of the Company may not purchase, sell or otherwise acquire or transfer any equity security of the Company during any “pension fund blackout period” with respect to such equity security, if the director or executive officer acquired the equity security in connection with his or her service or employment as a director or executive officer. A pension fund blackout period exists whenever 50% or more of the participants in a Company benefit plan are unable to conduct transactions in their Company equity security accounts for more than three consecutive business days. Individuals who are subject to these blackout periods will be contacted by the Company at such times as these blackout periods occur.</w:t>
      </w:r>
    </w:p>
    <w:p>
      <w:pPr>
        <w:spacing w:after="0" w:line="187" w:lineRule="exact"/>
        <w:rPr>
          <w:rFonts w:ascii="Times New Roman" w:cs="Times New Roman" w:eastAsia="Times New Roman" w:hAnsi="Times New Roman"/>
          <w:sz w:val="18"/>
          <w:szCs w:val="18"/>
          <w:color w:val="auto"/>
        </w:rPr>
      </w:pPr>
    </w:p>
    <w:p>
      <w:pPr>
        <w:ind w:left="560" w:firstLine="644"/>
        <w:spacing w:after="0" w:line="255" w:lineRule="auto"/>
        <w:tabs>
          <w:tab w:leader="none" w:pos="186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Hardship Exceptions</w:t>
      </w:r>
      <w:r>
        <w:rPr>
          <w:rFonts w:ascii="Times New Roman" w:cs="Times New Roman" w:eastAsia="Times New Roman" w:hAnsi="Times New Roman"/>
          <w:sz w:val="18"/>
          <w:szCs w:val="18"/>
          <w:color w:val="auto"/>
        </w:rPr>
        <w:t>. If you have an unexpected and urgent need to sell Company securities in order to generate cash you may, in appropriate circumstances, be permitted to sell Company securities during a quarterly earnings blackout period. Hardship exceptions may be granted only by the General Counsel and must be requested at least two business days in advance of the proposed transaction. A hardship exception will not be granted in any event if the General Counsel concludes that the Company’s financial results for the applicable quarter constitute material non-public information. The General Counsel is under no obligation to approve a hardship exception, and neither the Company nor its officers shall have any liability for any refusal to grant a hardship exception or for any delay in making or communicating a decision. Under no circumstances will a hardship exception be granted during an event-specific blackout period or pension fund blackout period.</w:t>
      </w:r>
    </w:p>
    <w:p>
      <w:pPr>
        <w:spacing w:after="0" w:line="175" w:lineRule="exact"/>
        <w:rPr>
          <w:rFonts w:ascii="Times New Roman" w:cs="Times New Roman" w:eastAsia="Times New Roman" w:hAnsi="Times New Roman"/>
          <w:sz w:val="18"/>
          <w:szCs w:val="18"/>
          <w:color w:val="auto"/>
        </w:rPr>
      </w:pPr>
    </w:p>
    <w:p>
      <w:pPr>
        <w:ind w:left="-100" w:right="120" w:firstLine="656"/>
        <w:spacing w:after="0" w:line="256" w:lineRule="auto"/>
        <w:tabs>
          <w:tab w:leader="none" w:pos="11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for Approved Rule 10b5-1 Trading Plans</w:t>
      </w:r>
      <w:r>
        <w:rPr>
          <w:rFonts w:ascii="Times New Roman" w:cs="Times New Roman" w:eastAsia="Times New Roman" w:hAnsi="Times New Roman"/>
          <w:sz w:val="18"/>
          <w:szCs w:val="18"/>
          <w:color w:val="auto"/>
        </w:rPr>
        <w:t>. Trades by Covered Persons in the Company’s securities that are executed pursuant to a Rule 10b5-1 trading plan are not subject to the prohibition on trading while in possession of material non-public information contained in the Policy Relating to Insider Trading and Confidentiality of Information or the restrictions set forth above relating to pre-clearance procedures and blackout periods. A Rule 10b5-1 trading plan is a trading plan adopted pursuant to Rule 10b5-1 (“Rule 10b5-1”) promulgated under the Exchange Act. Notwithstanding any approval of a Rule 10b5-1 trading plan, the Company and its officers assume no liability with respect to any transaction made pursuant to the plan. Rule 10b5-1 trading plans are subject to the following restrictions and limitations:</w:t>
      </w:r>
    </w:p>
    <w:p>
      <w:pPr>
        <w:spacing w:after="0" w:line="1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Rule 10b5-1 trading plan must be in writing and approved in advance by the General Counsel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-80645</wp:posOffset>
            </wp:positionV>
            <wp:extent cx="59690"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Rule 10b5-1 trading plan must comply with and be adopted in accordance with the provisions of Rule 10b5-1.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-80645</wp:posOffset>
            </wp:positionV>
            <wp:extent cx="59690" cy="596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7" w:lineRule="exact"/>
        <w:rPr>
          <w:sz w:val="20"/>
          <w:szCs w:val="20"/>
          <w:color w:val="auto"/>
        </w:rPr>
      </w:pPr>
    </w:p>
    <w:p>
      <w:pPr>
        <w:ind w:left="1420" w:right="380"/>
        <w:spacing w:after="0" w:line="282" w:lineRule="auto"/>
        <w:rPr>
          <w:sz w:val="20"/>
          <w:szCs w:val="20"/>
          <w:color w:val="auto"/>
        </w:rPr>
      </w:pPr>
      <w:r>
        <w:rPr>
          <w:rFonts w:ascii="Times New Roman" w:cs="Times New Roman" w:eastAsia="Times New Roman" w:hAnsi="Times New Roman"/>
          <w:sz w:val="18"/>
          <w:szCs w:val="18"/>
          <w:color w:val="auto"/>
        </w:rPr>
        <w:t>The Rule 10b5-1 trading plan generally may not be adopted during a blackout period or when a Covered Person is in possession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-257810</wp:posOffset>
            </wp:positionV>
            <wp:extent cx="59690" cy="59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4" w:lineRule="exact"/>
        <w:rPr>
          <w:sz w:val="20"/>
          <w:szCs w:val="20"/>
          <w:color w:val="auto"/>
        </w:rPr>
      </w:pPr>
    </w:p>
    <w:p>
      <w:pPr>
        <w:ind w:left="1420" w:right="420"/>
        <w:spacing w:after="0" w:line="282" w:lineRule="auto"/>
        <w:rPr>
          <w:sz w:val="20"/>
          <w:szCs w:val="20"/>
          <w:color w:val="auto"/>
        </w:rPr>
      </w:pPr>
      <w:r>
        <w:rPr>
          <w:rFonts w:ascii="Times New Roman" w:cs="Times New Roman" w:eastAsia="Times New Roman" w:hAnsi="Times New Roman"/>
          <w:sz w:val="18"/>
          <w:szCs w:val="18"/>
          <w:color w:val="auto"/>
        </w:rPr>
        <w:t>The Rule 10b5-1 trading plan must be entered into in good faith and not as part of a plan or scheme to evade the prohibitions of Rule 10b5-1.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-257810</wp:posOffset>
            </wp:positionV>
            <wp:extent cx="59690" cy="59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1" w:lineRule="exact"/>
        <w:rPr>
          <w:sz w:val="20"/>
          <w:szCs w:val="20"/>
          <w:color w:val="auto"/>
        </w:rPr>
      </w:pPr>
    </w:p>
    <w:p>
      <w:pPr>
        <w:ind w:left="1420" w:right="640"/>
        <w:spacing w:after="0" w:line="282" w:lineRule="auto"/>
        <w:rPr>
          <w:sz w:val="20"/>
          <w:szCs w:val="20"/>
          <w:color w:val="auto"/>
        </w:rPr>
      </w:pPr>
      <w:r>
        <w:rPr>
          <w:rFonts w:ascii="Times New Roman" w:cs="Times New Roman" w:eastAsia="Times New Roman" w:hAnsi="Times New Roman"/>
          <w:sz w:val="18"/>
          <w:szCs w:val="18"/>
          <w:color w:val="auto"/>
        </w:rPr>
        <w:t>A Covered Person may not amend or terminate his or her Rule 10b5-1 trading plan without the prior approval of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-257810</wp:posOffset>
            </wp:positionV>
            <wp:extent cx="59690"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4" w:lineRule="exact"/>
        <w:rPr>
          <w:sz w:val="20"/>
          <w:szCs w:val="20"/>
          <w:color w:val="auto"/>
        </w:rPr>
      </w:pPr>
    </w:p>
    <w:p>
      <w:pPr>
        <w:ind w:left="1420" w:right="380"/>
        <w:spacing w:after="0" w:line="282" w:lineRule="auto"/>
        <w:rPr>
          <w:sz w:val="20"/>
          <w:szCs w:val="20"/>
          <w:color w:val="auto"/>
        </w:rPr>
      </w:pPr>
      <w:r>
        <w:rPr>
          <w:rFonts w:ascii="Times New Roman" w:cs="Times New Roman" w:eastAsia="Times New Roman" w:hAnsi="Times New Roman"/>
          <w:sz w:val="18"/>
          <w:szCs w:val="18"/>
          <w:color w:val="auto"/>
        </w:rPr>
        <w:t>A Covered Person may not separately enter into a corresponding or hedging transaction or position with respect to the securities traded pursuant to the Rule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-257810</wp:posOffset>
            </wp:positionV>
            <wp:extent cx="59690" cy="596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4" w:lineRule="exact"/>
        <w:rPr>
          <w:sz w:val="20"/>
          <w:szCs w:val="20"/>
          <w:color w:val="auto"/>
        </w:rPr>
      </w:pPr>
    </w:p>
    <w:p>
      <w:pPr>
        <w:ind w:left="1420" w:right="220"/>
        <w:spacing w:after="0" w:line="266" w:lineRule="auto"/>
        <w:rPr>
          <w:sz w:val="20"/>
          <w:szCs w:val="20"/>
          <w:color w:val="auto"/>
        </w:rPr>
      </w:pPr>
      <w:r>
        <w:rPr>
          <w:rFonts w:ascii="Times New Roman" w:cs="Times New Roman" w:eastAsia="Times New Roman" w:hAnsi="Times New Roman"/>
          <w:sz w:val="18"/>
          <w:szCs w:val="18"/>
          <w:color w:val="auto"/>
        </w:rPr>
        <w:t>A Covered Person or his or her broker must inform the General Counsel of each transaction under the Rule 10b5-1 trading plan so that the Company may monitor compliance with the filing obligations of Section 16 of the Exchange Act and Rule 144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-386080</wp:posOffset>
            </wp:positionV>
            <wp:extent cx="59690" cy="59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4" w:lineRule="exact"/>
        <w:rPr>
          <w:sz w:val="20"/>
          <w:szCs w:val="20"/>
          <w:color w:val="auto"/>
        </w:rPr>
      </w:pPr>
    </w:p>
    <w:p>
      <w:pPr>
        <w:ind w:left="1420" w:right="120"/>
        <w:spacing w:after="0" w:line="261" w:lineRule="auto"/>
        <w:rPr>
          <w:sz w:val="20"/>
          <w:szCs w:val="20"/>
          <w:color w:val="auto"/>
        </w:rPr>
      </w:pPr>
      <w:r>
        <w:rPr>
          <w:rFonts w:ascii="Times New Roman" w:cs="Times New Roman" w:eastAsia="Times New Roman" w:hAnsi="Times New Roman"/>
          <w:sz w:val="18"/>
          <w:szCs w:val="18"/>
          <w:color w:val="auto"/>
        </w:rPr>
        <w:t>The Rule 10b5-1 trading plan must comply with and be adopted in accordance with the such other requirements as may be directed by the General Counsel, which may include without limitation the imposition of a cooling off period between the adoption or amendment of the Rule 10b5-1 trading plan and the first transaction under the Rule 10b5- 1 trading plan or between the termination of a Rule 10b5-1 trading plan and adoption of a new Rule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-520700</wp:posOffset>
            </wp:positionV>
            <wp:extent cx="59690"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553" w:right="439" w:bottom="1440" w:gutter="0" w:footer="0" w:header="0"/>
        </w:sectPr>
      </w:pPr>
    </w:p>
    <w:bookmarkStart w:id="113" w:name="page114"/>
    <w:bookmarkEnd w:id="113"/>
    <w:p>
      <w:pPr>
        <w:ind w:right="540" w:firstLine="656"/>
        <w:spacing w:after="0" w:line="258" w:lineRule="auto"/>
        <w:tabs>
          <w:tab w:leader="none" w:pos="12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Accounts and Pledges</w:t>
      </w:r>
      <w:r>
        <w:rPr>
          <w:rFonts w:ascii="Times New Roman" w:cs="Times New Roman" w:eastAsia="Times New Roman" w:hAnsi="Times New Roman"/>
          <w:sz w:val="18"/>
          <w:szCs w:val="18"/>
          <w:color w:val="auto"/>
        </w:rPr>
        <w:t>. Covered Persons are prohibited from holding Company securities in a margin account or pledging Company securities as collateral for a loan. An exception to this prohibition may be granted where a Covered Person wishes to pledge Company securities as collateral for a loan (not including margin debt) and clearly demonstrates the financial capacity to repay the loan without resort to the pledged securities. If a Covered Person wishes to pledge Company securities as collateral for a loan, the Covered Person must submit a request for approval to the General Counsel prior to the proposed execution of documents evidencing the proposed pledge.</w:t>
      </w:r>
    </w:p>
    <w:p>
      <w:pPr>
        <w:spacing w:after="0" w:line="183" w:lineRule="exact"/>
        <w:rPr>
          <w:rFonts w:ascii="Times New Roman" w:cs="Times New Roman" w:eastAsia="Times New Roman" w:hAnsi="Times New Roman"/>
          <w:sz w:val="18"/>
          <w:szCs w:val="18"/>
          <w:color w:val="auto"/>
        </w:rPr>
      </w:pPr>
    </w:p>
    <w:p>
      <w:pPr>
        <w:ind w:right="100" w:firstLine="656"/>
        <w:spacing w:after="0" w:line="258" w:lineRule="auto"/>
        <w:tabs>
          <w:tab w:leader="none" w:pos="12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Filing of Reports for Persons Subject to Section 16 of the Exchange Act</w:t>
      </w:r>
      <w:r>
        <w:rPr>
          <w:rFonts w:ascii="Times New Roman" w:cs="Times New Roman" w:eastAsia="Times New Roman" w:hAnsi="Times New Roman"/>
          <w:sz w:val="18"/>
          <w:szCs w:val="18"/>
          <w:color w:val="auto"/>
        </w:rPr>
        <w:t>. Directors and executive officers of the Company subject to Section 16 of the Exchange Act (“Section 16 Insiders”) must file beneficial ownership reports regarding their ownership of and transactions in Company securities pursuant to Section l6(a) of the Exchange Act, and are subject to disgorgement of “short-swing” profits pursuant to Section l6(b) of the Exchange Act. Under Section 16 of the Exchange Act, the due dates for beneficial ownership reports on Form 4 of Section 16 Insiders are as early as the second business day following a transaction that effects a change in the ownership of our securities.</w:t>
      </w:r>
    </w:p>
    <w:p>
      <w:pPr>
        <w:spacing w:after="0" w:line="183" w:lineRule="exact"/>
        <w:rPr>
          <w:sz w:val="20"/>
          <w:szCs w:val="20"/>
          <w:color w:val="auto"/>
        </w:rPr>
      </w:pPr>
    </w:p>
    <w:p>
      <w:pPr>
        <w:ind w:firstLine="647"/>
        <w:spacing w:after="0" w:line="258" w:lineRule="auto"/>
        <w:rPr>
          <w:sz w:val="20"/>
          <w:szCs w:val="20"/>
          <w:color w:val="auto"/>
        </w:rPr>
      </w:pPr>
      <w:r>
        <w:rPr>
          <w:rFonts w:ascii="Times New Roman" w:cs="Times New Roman" w:eastAsia="Times New Roman" w:hAnsi="Times New Roman"/>
          <w:sz w:val="18"/>
          <w:szCs w:val="18"/>
          <w:color w:val="auto"/>
        </w:rPr>
        <w:t>Given the short time frame for Section 16 Insiders to file their Form 4’s, it is critically important that Section 16 Insiders comply with the procedures in this Addendum to ensure compliance with the accelerated reporting requirements. These procedures will help prevent inadvertent violations of the federal securities laws, will help avoid the appearance of insider trading and will prevent potentially embarrassing proxy disclosures. You will be notified if you are a Section 16 Insider. In connection with sale transactions, in many instances you must also file a Form 144 Notice with the SEC under Rule 144 at the time the sale order is placed.</w:t>
      </w:r>
    </w:p>
    <w:p>
      <w:pPr>
        <w:spacing w:after="0" w:line="183" w:lineRule="exact"/>
        <w:rPr>
          <w:sz w:val="20"/>
          <w:szCs w:val="20"/>
          <w:color w:val="auto"/>
        </w:rPr>
      </w:pPr>
    </w:p>
    <w:p>
      <w:pPr>
        <w:ind w:right="80" w:firstLine="645"/>
        <w:spacing w:after="0" w:line="282" w:lineRule="auto"/>
        <w:rPr>
          <w:sz w:val="20"/>
          <w:szCs w:val="20"/>
          <w:color w:val="auto"/>
        </w:rPr>
      </w:pPr>
      <w:r>
        <w:rPr>
          <w:rFonts w:ascii="Times New Roman" w:cs="Times New Roman" w:eastAsia="Times New Roman" w:hAnsi="Times New Roman"/>
          <w:sz w:val="18"/>
          <w:szCs w:val="18"/>
          <w:color w:val="auto"/>
        </w:rPr>
        <w:t>To ensure compliance with the accelerated reporting requirements of Section 16 and to help prevent in advance any inadvertent violations of the federal securities laws, and to avoid even the appearance of trading on inside information, we have implemented the following procedures:</w:t>
      </w:r>
    </w:p>
    <w:p>
      <w:pPr>
        <w:spacing w:after="0" w:line="162" w:lineRule="exact"/>
        <w:rPr>
          <w:sz w:val="20"/>
          <w:szCs w:val="20"/>
          <w:color w:val="auto"/>
        </w:rPr>
      </w:pPr>
    </w:p>
    <w:p>
      <w:pPr>
        <w:ind w:left="1520" w:right="660"/>
        <w:spacing w:after="0" w:line="282" w:lineRule="auto"/>
        <w:rPr>
          <w:sz w:val="20"/>
          <w:szCs w:val="20"/>
          <w:color w:val="auto"/>
        </w:rPr>
      </w:pPr>
      <w:r>
        <w:rPr>
          <w:rFonts w:ascii="Times New Roman" w:cs="Times New Roman" w:eastAsia="Times New Roman" w:hAnsi="Times New Roman"/>
          <w:sz w:val="18"/>
          <w:szCs w:val="18"/>
          <w:u w:val="single" w:color="auto"/>
          <w:color w:val="auto"/>
        </w:rPr>
        <w:t>Mandatory Pre-clearance Procedures</w:t>
      </w:r>
      <w:r>
        <w:rPr>
          <w:rFonts w:ascii="Times New Roman" w:cs="Times New Roman" w:eastAsia="Times New Roman" w:hAnsi="Times New Roman"/>
          <w:sz w:val="18"/>
          <w:szCs w:val="18"/>
          <w:color w:val="auto"/>
        </w:rPr>
        <w:t>. All Section 16 Insiders must comply with the mandatory pre-clearance procedures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-257810</wp:posOffset>
            </wp:positionV>
            <wp:extent cx="59690"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 w:lineRule="exact"/>
        <w:rPr>
          <w:sz w:val="20"/>
          <w:szCs w:val="20"/>
          <w:color w:val="auto"/>
        </w:rPr>
      </w:pPr>
    </w:p>
    <w:p>
      <w:pPr>
        <w:ind w:left="1520"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Immediate Notification</w:t>
      </w:r>
      <w:r>
        <w:rPr>
          <w:rFonts w:ascii="Times New Roman" w:cs="Times New Roman" w:eastAsia="Times New Roman" w:hAnsi="Times New Roman"/>
          <w:sz w:val="18"/>
          <w:szCs w:val="18"/>
          <w:color w:val="auto"/>
        </w:rPr>
        <w:t>. All Section 16 Insiders must report to the General Counsel any transaction no later than the day in which it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-257810</wp:posOffset>
            </wp:positionV>
            <wp:extent cx="59690"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4" w:lineRule="exact"/>
        <w:rPr>
          <w:sz w:val="20"/>
          <w:szCs w:val="20"/>
          <w:color w:val="auto"/>
        </w:rPr>
      </w:pPr>
    </w:p>
    <w:p>
      <w:pPr>
        <w:ind w:left="1520"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In order to enable the Company to prepare and file the Forms 4 on a timely basis, it is imperative that you sign and return the Power of Attorney provided to you by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-257810</wp:posOffset>
            </wp:positionV>
            <wp:extent cx="59690" cy="596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4" w:lineRule="exact"/>
        <w:rPr>
          <w:sz w:val="20"/>
          <w:szCs w:val="20"/>
          <w:color w:val="auto"/>
        </w:rPr>
      </w:pPr>
    </w:p>
    <w:p>
      <w:pPr>
        <w:ind w:left="1520" w:right="260"/>
        <w:spacing w:after="0" w:line="282" w:lineRule="auto"/>
        <w:rPr>
          <w:sz w:val="20"/>
          <w:szCs w:val="20"/>
          <w:color w:val="auto"/>
        </w:rPr>
      </w:pPr>
      <w:r>
        <w:rPr>
          <w:rFonts w:ascii="Times New Roman" w:cs="Times New Roman" w:eastAsia="Times New Roman" w:hAnsi="Times New Roman"/>
          <w:sz w:val="18"/>
          <w:szCs w:val="18"/>
          <w:u w:val="single" w:color="auto"/>
          <w:color w:val="auto"/>
        </w:rPr>
        <w:t>Certifications</w:t>
      </w:r>
      <w:r>
        <w:rPr>
          <w:rFonts w:ascii="Times New Roman" w:cs="Times New Roman" w:eastAsia="Times New Roman" w:hAnsi="Times New Roman"/>
          <w:sz w:val="18"/>
          <w:szCs w:val="18"/>
          <w:color w:val="auto"/>
        </w:rPr>
        <w:t>. All Section 16 Insiders must certify their understanding of, and intent to comply with, the procedures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-257810</wp:posOffset>
            </wp:positionV>
            <wp:extent cx="59690" cy="596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1" w:lineRule="exact"/>
        <w:rPr>
          <w:sz w:val="20"/>
          <w:szCs w:val="20"/>
          <w:color w:val="auto"/>
        </w:rPr>
      </w:pPr>
    </w:p>
    <w:p>
      <w:pPr>
        <w:ind w:left="1520" w:right="400"/>
        <w:spacing w:after="0" w:line="282" w:lineRule="auto"/>
        <w:rPr>
          <w:sz w:val="20"/>
          <w:szCs w:val="20"/>
          <w:color w:val="auto"/>
        </w:rPr>
      </w:pPr>
      <w:r>
        <w:rPr>
          <w:rFonts w:ascii="Times New Roman" w:cs="Times New Roman" w:eastAsia="Times New Roman" w:hAnsi="Times New Roman"/>
          <w:sz w:val="18"/>
          <w:szCs w:val="18"/>
          <w:u w:val="single" w:color="auto"/>
          <w:color w:val="auto"/>
        </w:rPr>
        <w:t>Company Assistance</w:t>
      </w:r>
      <w:r>
        <w:rPr>
          <w:rFonts w:ascii="Times New Roman" w:cs="Times New Roman" w:eastAsia="Times New Roman" w:hAnsi="Times New Roman"/>
          <w:sz w:val="18"/>
          <w:szCs w:val="18"/>
          <w:color w:val="auto"/>
        </w:rPr>
        <w:t>. Any person who has a question about these procedures or its application to any proposed transaction may obtain additional guidance from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-257810</wp:posOffset>
            </wp:positionV>
            <wp:extent cx="59690" cy="59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4" w:lineRule="exact"/>
        <w:rPr>
          <w:sz w:val="20"/>
          <w:szCs w:val="20"/>
          <w:color w:val="auto"/>
        </w:rPr>
      </w:pPr>
    </w:p>
    <w:p>
      <w:pPr>
        <w:ind w:left="1520" w:right="400"/>
        <w:spacing w:after="0" w:line="266" w:lineRule="auto"/>
        <w:rPr>
          <w:sz w:val="20"/>
          <w:szCs w:val="20"/>
          <w:color w:val="auto"/>
        </w:rPr>
      </w:pPr>
      <w:r>
        <w:rPr>
          <w:rFonts w:ascii="Times New Roman" w:cs="Times New Roman" w:eastAsia="Times New Roman" w:hAnsi="Times New Roman"/>
          <w:sz w:val="18"/>
          <w:szCs w:val="18"/>
          <w:u w:val="single" w:color="auto"/>
          <w:color w:val="auto"/>
        </w:rPr>
        <w:t>Periodic Preventive E-mail Alerts/Reminders</w:t>
      </w:r>
      <w:r>
        <w:rPr>
          <w:rFonts w:ascii="Times New Roman" w:cs="Times New Roman" w:eastAsia="Times New Roman" w:hAnsi="Times New Roman"/>
          <w:sz w:val="18"/>
          <w:szCs w:val="18"/>
          <w:color w:val="auto"/>
        </w:rPr>
        <w:t>. Because the risk of inadvertent Form 4 filing violations is so high and because of heightened public scrutiny, we will continue our practice of sending you periodic preventive Reminders and Alerts during the course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-386080</wp:posOffset>
            </wp:positionV>
            <wp:extent cx="59690"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Notwithstanding the Company’s willingness to assist you with your filings, please remember that the reporting obligation is ultimately yours.</w:t>
      </w: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553" w:right="45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Euronet Worldwide, Inc. Subsidiaries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Euronet's wholly owned subsidiaries were:</w:t>
      </w:r>
    </w:p>
    <w:p>
      <w:pPr>
        <w:spacing w:after="0" w:line="11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Albania SPHK, incorporated in Albania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Australia Holdings Pty Ltd, incorporated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Australia Pty Ltd, incorporated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HiFX Australia Pty Ltd, incorporated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 Commerce Pty Limited, incorporated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Australia Pty. Ltd., incorporated in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Austria GmbH, incorporated in Austria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Austria GmbH, incorporated in Austria</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Middle East, WLL, incorporated in Bahrain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Belgium SPRL, incorporated in Belgium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Envia Financial Services Belgium SPRL, incorporated in Belgium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EOOD, incorporated in Bulgaria</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 Net S.A. Logistica Digital, incorporated in Brazil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Gescoro Inc., incorporated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Telecommunications of Canada Inc., incorporated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Corporation, incorporated in Canada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Chile Servicios Financieros SpA, incorporated in Chile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(Shanghai) Technology Development Co., Ltd. d.b.a. epay China, incorporated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EFT-Usluge d.o.o., incorporated in Croatia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Spol. s r.o., incorporated in the Czech Republic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Denmark ApS, incorporated in Denmark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de la Hispaniola, C.porA, incorporated in Dominican Republic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DRC SARL, incorporated in Democratic Republic of the Congo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de Centroamerica, S.A. de C.V., incorporated in El Salvador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S.A., incorporated in Ecuador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Middle East, Africa, and Pakistan, LLC, incorporated in Egypt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Estonia OU, incorporated in Estonia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Digital SAS, incorporated in France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SAS, incorporated in France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 Free France S.A.S.U., incorporated in France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France SAS, incorporated in France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cadooz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cadooz rewards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Delta Euronet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Payments Germany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Germany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Deutschland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Elektronische Zahlungssysteme GmbH, incorporated in Germany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Card Services S.A., incorporated in Greece</w:t>
      </w:r>
    </w:p>
    <w:p>
      <w:pPr>
        <w:spacing w:after="0" w:line="9"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Merchant Services Payment Institution Single Member S.A., incorporated in Greece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Greece Monoprosopi S.A., incorporated in Greece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Throo Technology, IKE, incorporated in Greece.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Asia Holdings Limited, incorporated in Hong Kong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Banktechnikai Szolgaltato Kft., incorporated in Hungary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Kft., incorporated in Hungary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India Pvt. Ltd., incorporated in India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Money Transfer Services Pvt. Ltd., incorporated in India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Infinitium Solutions Pvt. Ltd., incorporated in India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 Euronet Technologies Indonesia, incorporated in Indonesia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ind w:left="308" w:hanging="308"/>
        <w:spacing w:after="0"/>
        <w:tabs>
          <w:tab w:leader="none" w:pos="3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 Infinitium Solutions, incorporated in Indonesia</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360 Payments Limited, incorporated in Ireland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Payments Ireland Limited, incorporated in Ireland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Ireland Limited, incorporated in Ireland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Ireland Limited, incorporated in Ireland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Ireland Limited, incorporated in Ireland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Pure-Commerce Ltd, incorporated in Isle of Man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Italia SRL, incorporated in Italy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Pay &amp; Transaction Services S.R.L., incorporated in Italy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Italy S.R.L., incorporated in Italy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Italia S.R.L., incorporated in Italy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Japan KK, incorporated in Japan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Japan K.K., incorporated in Japan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Korea LLC, incorporated in Korea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Latvia SIA, incorporated in Latvia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Lithuania UAB, incorporated in Lithuania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Throo Holdings Europe, UAB, incorporated in Lithuania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Throo Payments Europe, UAB, incorporated in Lithuania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UAB Euronet 360 Finance Limited, incorporated in Lithuania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Malaysia Sdn. Bhd., incorporated in Malaysia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IME (M) Sdn Bhd, incorporated in Malaysia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Infinitium Holdings Sdn. Bhd., incorporated in Malaysia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Infinitium Infuture Sdn. Bhd., incorporated in Malaysia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Infinitium Solutions, Sdn. Bhd., incorporated in Malaysia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Infinitium Technology Services Sdn. Bhd., incorporated in Malaysia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epay Mexico, S. de R.L. de C.V., incorporated in Mexico</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Mexico Solution, S. de R.L. de C.V., incorporated in Mexico</w:t>
      </w:r>
    </w:p>
    <w:p>
      <w:pPr>
        <w:spacing w:after="0" w:line="9" w:lineRule="exact"/>
        <w:rPr>
          <w:rFonts w:ascii="Times New Roman" w:cs="Times New Roman" w:eastAsia="Times New Roman" w:hAnsi="Times New Roman"/>
          <w:sz w:val="18"/>
          <w:szCs w:val="18"/>
          <w:color w:val="auto"/>
        </w:rPr>
      </w:pPr>
    </w:p>
    <w:p>
      <w:pPr>
        <w:ind w:left="348" w:hanging="348"/>
        <w:spacing w:after="0"/>
        <w:tabs>
          <w:tab w:leader="none" w:pos="3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Mexico Payment Solutions, S. de R.L. de C.V., incorporated in Mexico</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Transfers de Mexico, S. de R.L. de C.V., incorporated in Mexico</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EFT Services Holding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Netherlands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Hanco Automated Teller Machines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Netherlands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Europe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Netherlands B.V., incorporated in the Netherlands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New Zealand Limited, incorporated in New Zealand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HiFX Limited, incorporated in New Zealand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New Zealand Limited, incorporated in New Zealand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Norway AS, incorporated in Norway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Technology Services, Inc., incorporated in the Philippines</w:t>
      </w:r>
    </w:p>
    <w:p>
      <w:pPr>
        <w:spacing w:after="0" w:line="9" w:lineRule="exact"/>
        <w:rPr>
          <w:rFonts w:ascii="Times New Roman" w:cs="Times New Roman" w:eastAsia="Times New Roman" w:hAnsi="Times New Roman"/>
          <w:sz w:val="18"/>
          <w:szCs w:val="18"/>
          <w:color w:val="auto"/>
        </w:rPr>
      </w:pPr>
    </w:p>
    <w:p>
      <w:pPr>
        <w:ind w:left="348" w:hanging="348"/>
        <w:spacing w:after="0"/>
        <w:tabs>
          <w:tab w:leader="none" w:pos="3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Money Transfer, Inc., incorporated in the Philippines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CT202 Spółka z o.o., incorporated in Poland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Polska Spolka z o.o., incorporated in Poland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MT101 Spółka z o.o., incorporated in Poland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EFT Services Portugal Unipessoal, LDA, incorporated in Portugal</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 Free Portugal Unipessoal Lda, incorporated in Portugal</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(Portugal), Unispessoal L.D.A., incorporated in Portugal</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Puerto Rico, Inc., incorporated in Puerto Rico</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S.R.L., incorporated in Romania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O.O.O., incorporated in Russia</w:t>
      </w:r>
    </w:p>
    <w:p>
      <w:pPr>
        <w:spacing w:after="0" w:line="234" w:lineRule="exact"/>
        <w:rPr>
          <w:sz w:val="20"/>
          <w:szCs w:val="20"/>
          <w:color w:val="auto"/>
        </w:rPr>
      </w:pPr>
    </w:p>
    <w:p>
      <w:pPr>
        <w:ind w:left="5248"/>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90170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337" w:right="1440" w:bottom="1440" w:gutter="0" w:footer="0" w:header="0"/>
        </w:sectPr>
      </w:pPr>
    </w:p>
    <w:bookmarkStart w:id="116" w:name="page117"/>
    <w:bookmarkEnd w:id="116"/>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Senegal S.A., incorporated in Senegal</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d.o.o., incorporated in Serbia</w:t>
      </w:r>
    </w:p>
    <w:p>
      <w:pPr>
        <w:spacing w:after="0" w:line="9"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Singapore Pte. Ltd., incorporate in Singapore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Infinitium Holdings Pte. Ltd., incorporated in Singapore</w:t>
      </w:r>
    </w:p>
    <w:p>
      <w:pPr>
        <w:spacing w:after="0" w:line="9" w:lineRule="exact"/>
        <w:rPr>
          <w:rFonts w:ascii="Times New Roman" w:cs="Times New Roman" w:eastAsia="Times New Roman" w:hAnsi="Times New Roman"/>
          <w:sz w:val="18"/>
          <w:szCs w:val="18"/>
          <w:color w:val="auto"/>
        </w:rPr>
      </w:pPr>
    </w:p>
    <w:p>
      <w:pPr>
        <w:ind w:left="348" w:hanging="348"/>
        <w:spacing w:after="0"/>
        <w:tabs>
          <w:tab w:leader="none" w:pos="3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Infinitium Solutions Pte. Ltd., incorporated in Singapore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 Processing Pte. Ltd., incorporated in Singapore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Singapore Pte. Ltd., incorporated in Singapore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Slovakia, spol. s r.o., incorporated in Slovakia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Business Holdings, S.L.U.,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Iberia S.L.,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Telerecarga, S.L.U.,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Magazine S.L.,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Group, S.L.,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Taxfree Spain, S.L.,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Payment Institution EP, S.A.U., incorporated in Spain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Spain Holdings S.L.U., incorporated in Spain</w:t>
      </w:r>
    </w:p>
    <w:p>
      <w:pPr>
        <w:spacing w:after="0" w:line="9" w:lineRule="exact"/>
        <w:rPr>
          <w:rFonts w:ascii="Times New Roman" w:cs="Times New Roman" w:eastAsia="Times New Roman" w:hAnsi="Times New Roman"/>
          <w:sz w:val="18"/>
          <w:szCs w:val="18"/>
          <w:color w:val="auto"/>
        </w:rPr>
      </w:pPr>
    </w:p>
    <w:p>
      <w:pPr>
        <w:ind w:left="348" w:hanging="348"/>
        <w:spacing w:after="0"/>
        <w:tabs>
          <w:tab w:leader="none" w:pos="3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Sikhona Forex (RF) (Pty) Limited, incorporated in South Africa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Sweden AB, incorporated in Sweden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Schweiz GmbH, incorporated in Switzerland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GmbH, incorporated in Switzerland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Euronet Elektronik Islem Hizmetleri Limited Sirketi, incorporated in Turkey</w:t>
      </w:r>
    </w:p>
    <w:p>
      <w:pPr>
        <w:spacing w:after="0" w:line="20"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Turkey Bilişim Danişmanliku Anonim Şirketi , incorporated in Turkey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Ukraine LLC, incorporated in Ukraine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Digital Middle East FZ-LLC, incorporated in United Arab Emirates</w:t>
      </w:r>
    </w:p>
    <w:p>
      <w:pPr>
        <w:spacing w:after="0" w:line="2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Gulf FZ-LLC, incorporated in United Arab Emirates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epay Ltd,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(London) UK Holdings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360 Finance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Payment Services Ltd,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HiFM Holdings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HiFM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HiFX Europe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IME UK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 Tax Free (UK)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Financial Services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Europe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Solutions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Holdings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ATM Systems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YourCash Limited, incorporated in United Kingdom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Payment Solutions, Inc., incorporated in California, U.S.A.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Dolphin Debit Access, LLC, incorporated in Texas, U.S.A.</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EFT Americas, Inc., incorporated in Delaware, U.S.A.</w:t>
      </w:r>
    </w:p>
    <w:p>
      <w:pPr>
        <w:spacing w:after="0" w:line="234" w:lineRule="exact"/>
        <w:rPr>
          <w:sz w:val="20"/>
          <w:szCs w:val="20"/>
          <w:color w:val="auto"/>
        </w:rPr>
      </w:pPr>
    </w:p>
    <w:p>
      <w:pPr>
        <w:ind w:left="5248"/>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90170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337" w:right="1440" w:bottom="1440" w:gutter="0" w:footer="0" w:header="0"/>
        </w:sectPr>
      </w:pPr>
    </w:p>
    <w:bookmarkStart w:id="117" w:name="page118"/>
    <w:bookmarkEnd w:id="117"/>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Pakistan Holdings Inc., incorporated in Delaware, U.S.A.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USA, LLC, incorporated in Arkansas,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Dandelion Payments, Inc., incorporated in 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PaySpot, LLC, incorporated in 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Envia, LLC, incorporated in 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Telecommunications of New York, Inc., incorporated in New York,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Telecomnet LLC, incorporated in Delaware,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Services LLC, incorporated in Kansas, U.S.A.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Vietnam Company Limited, incorporated in Vietnam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Euronet also had shareholdings in the following companies that are not wholly owned:</w:t>
      </w:r>
    </w:p>
    <w:p>
      <w:pPr>
        <w:spacing w:after="0" w:line="27" w:lineRule="exact"/>
        <w:rPr>
          <w:sz w:val="20"/>
          <w:szCs w:val="20"/>
          <w:color w:val="auto"/>
        </w:rPr>
      </w:pP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Cashlink Bangladesh Ltd., incorporated in Bangladesh, of which 10% is owned by EFT Services Holding B.V.</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Jiayintong (Beijing) Technology Development Co. Ltd. d.b.a. Euronet China, incorporated in China, of which 80% is owned by Euronet Asia Holdings Limited</w:t>
      </w: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Colombia SEDPE SA, incorporated in Colombia, of which 94.99% is owned by Euronet Business Holdings SLU</w:t>
      </w:r>
    </w:p>
    <w:p>
      <w:pPr>
        <w:spacing w:after="0" w:line="9" w:lineRule="exact"/>
        <w:rPr>
          <w:rFonts w:ascii="Times New Roman" w:cs="Times New Roman" w:eastAsia="Times New Roman" w:hAnsi="Times New Roman"/>
          <w:sz w:val="18"/>
          <w:szCs w:val="18"/>
          <w:color w:val="auto"/>
        </w:rPr>
      </w:pPr>
    </w:p>
    <w:p>
      <w:pPr>
        <w:ind w:left="660" w:right="260" w:hanging="328"/>
        <w:spacing w:after="0" w:line="236" w:lineRule="auto"/>
        <w:tabs>
          <w:tab w:leader="none" w:pos="6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HISPRONET Latam ATM Solutions DR S.A., incorporated in Dominican Republic of which 99% is owned by Latam ATM Solutions, S.L. and 0.51% by EFT Services Holding B.V</w:t>
      </w:r>
      <w:r>
        <w:rPr>
          <w:rFonts w:ascii="Calibri" w:cs="Calibri" w:eastAsia="Calibri" w:hAnsi="Calibri"/>
          <w:sz w:val="19"/>
          <w:szCs w:val="19"/>
          <w:color w:val="auto"/>
        </w:rPr>
        <w:t>.</w:t>
      </w: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Euronet Pakistan (Pvt.) Limited, incorporated in Pakistan, incorporated in Pakistan, of which 70% is owned by Euronet Pakistan Holdings, Inc.</w:t>
      </w:r>
    </w:p>
    <w:p>
      <w:pPr>
        <w:spacing w:after="0" w:line="22"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Ria Money Transfer Panama S. de R.L. incorporated in Panama of which 99% is owned by Euronet Business Holdings SLU</w:t>
      </w:r>
    </w:p>
    <w:p>
      <w:pPr>
        <w:spacing w:after="0" w:line="9" w:lineRule="exact"/>
        <w:rPr>
          <w:rFonts w:ascii="Times New Roman" w:cs="Times New Roman" w:eastAsia="Times New Roman" w:hAnsi="Times New Roman"/>
          <w:sz w:val="18"/>
          <w:szCs w:val="18"/>
          <w:color w:val="auto"/>
        </w:rPr>
      </w:pPr>
    </w:p>
    <w:p>
      <w:pPr>
        <w:ind w:left="660" w:hanging="328"/>
        <w:spacing w:after="0" w:line="258" w:lineRule="auto"/>
        <w:tabs>
          <w:tab w:leader="none" w:pos="59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HISPRONET Latam ATM Solutions Peru, S.A.C., incorporated in Peru of which 99.8% is owned by Latam ATM Solutions, S.L. and 0.1% by EFT Services Holding B.V.</w:t>
      </w: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Latam ATM Solutions, S.L., incorporated in Spain, of which 51% is owned by EFT Services Holding B.V.</w:t>
      </w:r>
    </w:p>
    <w:p>
      <w:pPr>
        <w:spacing w:after="0" w:line="9"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Trax, LLC incorporated in Nevada, incorporated in the U.S.A., of which 5% is owned by Euronet Worldwide, Inc.</w:t>
      </w:r>
    </w:p>
    <w:p>
      <w:pPr>
        <w:spacing w:after="0" w:line="9"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KOIN Mobile, LLC incorporated in Nevada, incorporated in the U.S.A., of which 5% is owned by Euronet Worldwide, Inc.</w:t>
      </w:r>
    </w:p>
    <w:p>
      <w:pPr>
        <w:sectPr>
          <w:pgSz w:w="11900" w:h="16838" w:orient="portrait"/>
          <w:cols w:equalWidth="0" w:num="1">
            <w:col w:w="11180"/>
          </w:cols>
          <w:pgMar w:left="320" w:top="121" w:right="3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333-264722) on Form S-3 and (Nos. 333-261016, 333-24539, 333-83555, 333-44890, 333-64634, 333-71766, 333-98013, 333-102875, 333-116920, 333-136485, 333-161245, 333-176238, and 333-190337) on Form S-8 of our report dated February 25, 2025, with respect to the consolidated financial statements of Euronet Worldwide, Inc. and the effectiveness of internal control over financial reporting.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17" w:right="339" w:bottom="1440" w:gutter="0" w:footer="0" w:header="0"/>
        </w:sectPr>
      </w:pPr>
    </w:p>
    <w:bookmarkStart w:id="119" w:name="page120"/>
    <w:bookmarkEnd w:id="11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117"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Euronet Worldwide,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980" w:hanging="323"/>
        <w:spacing w:after="0" w:line="26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3"/>
        <w:spacing w:after="0" w:line="26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3"/>
        <w:spacing w:after="0" w:line="26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40" w:hanging="323"/>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79"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690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212" w:lineRule="exact"/>
        <w:rPr>
          <w:sz w:val="20"/>
          <w:szCs w:val="20"/>
          <w:color w:val="auto"/>
        </w:rPr>
      </w:pPr>
    </w:p>
    <w:p>
      <w:pPr>
        <w:ind w:left="340" w:hanging="290"/>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Euronet Worldwide, Inc.;</w:t>
      </w:r>
    </w:p>
    <w:p>
      <w:pPr>
        <w:spacing w:after="0" w:line="333" w:lineRule="exact"/>
        <w:rPr>
          <w:rFonts w:ascii="Times New Roman" w:cs="Times New Roman" w:eastAsia="Times New Roman" w:hAnsi="Times New Roman"/>
          <w:sz w:val="18"/>
          <w:szCs w:val="18"/>
          <w:color w:val="auto"/>
        </w:rPr>
      </w:pPr>
    </w:p>
    <w:p>
      <w:pPr>
        <w:jc w:val="both"/>
        <w:ind w:left="340" w:right="40" w:hanging="290"/>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3" w:lineRule="exact"/>
        <w:rPr>
          <w:rFonts w:ascii="Times New Roman" w:cs="Times New Roman" w:eastAsia="Times New Roman" w:hAnsi="Times New Roman"/>
          <w:sz w:val="18"/>
          <w:szCs w:val="18"/>
          <w:color w:val="auto"/>
        </w:rPr>
      </w:pPr>
    </w:p>
    <w:p>
      <w:pPr>
        <w:ind w:left="340" w:right="40" w:hanging="290"/>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9" w:lineRule="exact"/>
        <w:rPr>
          <w:rFonts w:ascii="Times New Roman" w:cs="Times New Roman" w:eastAsia="Times New Roman" w:hAnsi="Times New Roman"/>
          <w:sz w:val="18"/>
          <w:szCs w:val="18"/>
          <w:color w:val="auto"/>
        </w:rPr>
      </w:pPr>
    </w:p>
    <w:p>
      <w:pPr>
        <w:jc w:val="both"/>
        <w:ind w:left="340" w:right="40" w:hanging="290"/>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8"/>
          <w:szCs w:val="18"/>
          <w:color w:val="auto"/>
        </w:rPr>
      </w:pPr>
    </w:p>
    <w:p>
      <w:pPr>
        <w:jc w:val="both"/>
        <w:ind w:left="800" w:right="40" w:hanging="273"/>
        <w:spacing w:after="0" w:line="266" w:lineRule="auto"/>
        <w:tabs>
          <w:tab w:leader="none" w:pos="8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3" w:lineRule="exact"/>
        <w:rPr>
          <w:rFonts w:ascii="Times New Roman" w:cs="Times New Roman" w:eastAsia="Times New Roman" w:hAnsi="Times New Roman"/>
          <w:sz w:val="18"/>
          <w:szCs w:val="18"/>
          <w:color w:val="auto"/>
        </w:rPr>
      </w:pPr>
    </w:p>
    <w:p>
      <w:pPr>
        <w:jc w:val="both"/>
        <w:ind w:left="800" w:right="40" w:hanging="278"/>
        <w:spacing w:after="0" w:line="266" w:lineRule="auto"/>
        <w:tabs>
          <w:tab w:leader="none" w:pos="8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3" w:lineRule="exact"/>
        <w:rPr>
          <w:rFonts w:ascii="Times New Roman" w:cs="Times New Roman" w:eastAsia="Times New Roman" w:hAnsi="Times New Roman"/>
          <w:sz w:val="18"/>
          <w:szCs w:val="18"/>
          <w:color w:val="auto"/>
        </w:rPr>
      </w:pPr>
    </w:p>
    <w:p>
      <w:pPr>
        <w:ind w:left="800" w:right="40" w:hanging="273"/>
        <w:spacing w:after="0" w:line="282" w:lineRule="auto"/>
        <w:tabs>
          <w:tab w:leader="none" w:pos="8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800" w:right="40" w:hanging="278"/>
        <w:spacing w:after="0" w:line="266" w:lineRule="auto"/>
        <w:tabs>
          <w:tab w:leader="none" w:pos="8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8"/>
          <w:szCs w:val="18"/>
          <w:color w:val="auto"/>
        </w:rPr>
      </w:pPr>
    </w:p>
    <w:p>
      <w:pPr>
        <w:ind w:left="340" w:right="40" w:hanging="290"/>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800" w:right="40" w:hanging="273"/>
        <w:spacing w:after="0" w:line="282" w:lineRule="auto"/>
        <w:tabs>
          <w:tab w:leader="none" w:pos="8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800" w:right="40" w:hanging="278"/>
        <w:spacing w:after="0" w:line="282" w:lineRule="auto"/>
        <w:tabs>
          <w:tab w:leader="none" w:pos="8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387"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690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Euronet Worldwide, Inc. (the “Company”) for the period ended December 31, 2024 as filed with the Securities and Exchange Commission on the date hereof (the “Report”), the undersigned hereby certifies, pursuant to 18 U.S.C. Section 1350, as adopted pursuant to Section 906 of the Sarbanes-Oxley Act of 2002, that:</w:t>
      </w:r>
    </w:p>
    <w:p>
      <w:pPr>
        <w:spacing w:after="0" w:line="135" w:lineRule="exact"/>
        <w:rPr>
          <w:sz w:val="20"/>
          <w:szCs w:val="20"/>
          <w:color w:val="auto"/>
        </w:rPr>
      </w:pPr>
    </w:p>
    <w:p>
      <w:pPr>
        <w:ind w:left="460" w:hanging="326"/>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460" w:hanging="326"/>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690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1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Euronet Worldwide, Inc. (the “Company”) for the period ended December 31, 2024 as filed with the Securities and Exchange Commission on the date hereof (the “Report”), the undersigned hereby certifies, pursuant to 18 U.S.C. Section 1350, as adopted pursuant to Section 906 of the Sarbanes-Oxley Act of 2002, that:</w:t>
      </w:r>
    </w:p>
    <w:p>
      <w:pPr>
        <w:spacing w:after="0" w:line="135" w:lineRule="exact"/>
        <w:rPr>
          <w:sz w:val="20"/>
          <w:szCs w:val="20"/>
          <w:color w:val="auto"/>
        </w:rPr>
      </w:pPr>
    </w:p>
    <w:p>
      <w:pPr>
        <w:ind w:left="460" w:hanging="326"/>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460" w:hanging="326"/>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6903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5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4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85"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31"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8"/>
          <w:szCs w:val="18"/>
          <w:b w:val="1"/>
          <w:bCs w:val="1"/>
          <w:color w:val="auto"/>
        </w:rPr>
        <w:t>POLICY FOR THE</w:t>
      </w:r>
    </w:p>
    <w:p>
      <w:pPr>
        <w:spacing w:after="0" w:line="9"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03" w:lineRule="exact"/>
        <w:rPr>
          <w:sz w:val="20"/>
          <w:szCs w:val="20"/>
          <w:color w:val="auto"/>
        </w:rPr>
      </w:pPr>
    </w:p>
    <w:p>
      <w:pPr>
        <w:ind w:left="4" w:right="100" w:hanging="4"/>
        <w:spacing w:after="0" w:line="286" w:lineRule="auto"/>
        <w:tabs>
          <w:tab w:leader="none" w:pos="12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this Policy is to describe the circumstances in which Executive Officers will be required to repay or return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Erroneously Awarded Compensation to members of the Company Group.</w:t>
      </w:r>
    </w:p>
    <w:p>
      <w:pPr>
        <w:spacing w:after="0" w:line="154" w:lineRule="exact"/>
        <w:rPr>
          <w:rFonts w:ascii="Times New Roman" w:cs="Times New Roman" w:eastAsia="Times New Roman" w:hAnsi="Times New Roman"/>
          <w:sz w:val="18"/>
          <w:szCs w:val="18"/>
          <w:color w:val="auto"/>
        </w:rPr>
      </w:pPr>
    </w:p>
    <w:p>
      <w:pPr>
        <w:ind w:left="4" w:right="120" w:hanging="4"/>
        <w:spacing w:after="0" w:line="286" w:lineRule="auto"/>
        <w:tabs>
          <w:tab w:leader="none" w:pos="122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This Policy shall be administered by the Committee. Any determinations made by the Committee shall be final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on all affected individuals.</w:t>
      </w:r>
    </w:p>
    <w:p>
      <w:pPr>
        <w:spacing w:after="0" w:line="154" w:lineRule="exact"/>
        <w:rPr>
          <w:rFonts w:ascii="Times New Roman" w:cs="Times New Roman" w:eastAsia="Times New Roman" w:hAnsi="Times New Roman"/>
          <w:sz w:val="18"/>
          <w:szCs w:val="18"/>
          <w:color w:val="auto"/>
        </w:rPr>
      </w:pPr>
    </w:p>
    <w:p>
      <w:pPr>
        <w:ind w:left="984" w:hanging="984"/>
        <w:spacing w:after="0"/>
        <w:tabs>
          <w:tab w:leader="none" w:pos="9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Policy, the following capitalized terms shall have the meanings set forth below.</w:t>
      </w:r>
    </w:p>
    <w:p>
      <w:pPr>
        <w:spacing w:after="0" w:line="225" w:lineRule="exact"/>
        <w:rPr>
          <w:rFonts w:ascii="Times New Roman" w:cs="Times New Roman" w:eastAsia="Times New Roman" w:hAnsi="Times New Roman"/>
          <w:sz w:val="18"/>
          <w:szCs w:val="18"/>
          <w:color w:val="auto"/>
        </w:rPr>
      </w:pPr>
    </w:p>
    <w:p>
      <w:pPr>
        <w:jc w:val="both"/>
        <w:ind w:left="4" w:right="100" w:firstLine="643"/>
        <w:spacing w:after="0" w:line="259" w:lineRule="auto"/>
        <w:tabs>
          <w:tab w:leader="none" w:pos="162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not corrected in the current period or left uncorrected in the current period (a “little r” restatement).</w:t>
      </w:r>
    </w:p>
    <w:p>
      <w:pPr>
        <w:spacing w:after="0" w:line="179" w:lineRule="exact"/>
        <w:rPr>
          <w:rFonts w:ascii="Times New Roman" w:cs="Times New Roman" w:eastAsia="Times New Roman" w:hAnsi="Times New Roman"/>
          <w:sz w:val="18"/>
          <w:szCs w:val="18"/>
          <w:color w:val="auto"/>
        </w:rPr>
      </w:pPr>
    </w:p>
    <w:p>
      <w:pPr>
        <w:ind w:left="1524" w:hanging="877"/>
        <w:spacing w:after="0"/>
        <w:tabs>
          <w:tab w:leader="none" w:pos="15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rFonts w:ascii="Times New Roman" w:cs="Times New Roman" w:eastAsia="Times New Roman" w:hAnsi="Times New Roman"/>
          <w:sz w:val="18"/>
          <w:szCs w:val="18"/>
          <w:color w:val="auto"/>
        </w:rPr>
      </w:pPr>
    </w:p>
    <w:p>
      <w:pPr>
        <w:jc w:val="both"/>
        <w:ind w:left="4" w:right="100" w:firstLine="643"/>
        <w:spacing w:after="0" w:line="257" w:lineRule="auto"/>
        <w:tabs>
          <w:tab w:leader="none" w:pos="15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Eligible Incentive Compensation</w:t>
      </w:r>
      <w:r>
        <w:rPr>
          <w:rFonts w:ascii="Times New Roman" w:cs="Times New Roman" w:eastAsia="Times New Roman" w:hAnsi="Times New Roman"/>
          <w:sz w:val="18"/>
          <w:szCs w:val="18"/>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while the Company has a class of securities listed on a national securities exchange or a national securities association, and (iv) during the applicable Clawback Period.</w:t>
      </w:r>
    </w:p>
    <w:p>
      <w:pPr>
        <w:spacing w:after="0" w:line="182" w:lineRule="exact"/>
        <w:rPr>
          <w:rFonts w:ascii="Times New Roman" w:cs="Times New Roman" w:eastAsia="Times New Roman" w:hAnsi="Times New Roman"/>
          <w:sz w:val="18"/>
          <w:szCs w:val="18"/>
          <w:color w:val="auto"/>
        </w:rPr>
      </w:pPr>
    </w:p>
    <w:p>
      <w:pPr>
        <w:jc w:val="both"/>
        <w:ind w:left="4" w:right="120" w:firstLine="643"/>
        <w:spacing w:after="0" w:line="268" w:lineRule="auto"/>
        <w:tabs>
          <w:tab w:leader="none" w:pos="171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Clawback Period</w:t>
      </w:r>
      <w:r>
        <w:rPr>
          <w:rFonts w:ascii="Times New Roman" w:cs="Times New Roman" w:eastAsia="Times New Roman" w:hAnsi="Times New Roman"/>
          <w:sz w:val="18"/>
          <w:szCs w:val="18"/>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70" w:lineRule="exact"/>
        <w:rPr>
          <w:rFonts w:ascii="Times New Roman" w:cs="Times New Roman" w:eastAsia="Times New Roman" w:hAnsi="Times New Roman"/>
          <w:sz w:val="18"/>
          <w:szCs w:val="18"/>
          <w:color w:val="auto"/>
        </w:rPr>
      </w:pPr>
    </w:p>
    <w:p>
      <w:pPr>
        <w:ind w:left="1564" w:hanging="916"/>
        <w:spacing w:after="0"/>
        <w:tabs>
          <w:tab w:leader="none" w:pos="15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shall mean the Compensation Committee of the Board.</w:t>
      </w:r>
    </w:p>
    <w:p>
      <w:pPr>
        <w:spacing w:after="0" w:line="225" w:lineRule="exact"/>
        <w:rPr>
          <w:rFonts w:ascii="Times New Roman" w:cs="Times New Roman" w:eastAsia="Times New Roman" w:hAnsi="Times New Roman"/>
          <w:sz w:val="18"/>
          <w:szCs w:val="18"/>
          <w:color w:val="auto"/>
        </w:rPr>
      </w:pPr>
    </w:p>
    <w:p>
      <w:pPr>
        <w:ind w:left="1544" w:hanging="896"/>
        <w:spacing w:after="0"/>
        <w:tabs>
          <w:tab w:leader="none" w:pos="154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mean Euronet Worldwide, Inc. a Delaware corporation.</w:t>
      </w:r>
    </w:p>
    <w:p>
      <w:pPr>
        <w:spacing w:after="0" w:line="225" w:lineRule="exact"/>
        <w:rPr>
          <w:rFonts w:ascii="Times New Roman" w:cs="Times New Roman" w:eastAsia="Times New Roman" w:hAnsi="Times New Roman"/>
          <w:sz w:val="18"/>
          <w:szCs w:val="18"/>
          <w:color w:val="auto"/>
        </w:rPr>
      </w:pPr>
    </w:p>
    <w:p>
      <w:pPr>
        <w:ind w:left="1524" w:hanging="876"/>
        <w:spacing w:after="0"/>
        <w:tabs>
          <w:tab w:leader="none" w:pos="15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shall mean the Company, together with each of its direct and indirect subsidiaries.</w:t>
      </w:r>
    </w:p>
    <w:p>
      <w:pPr>
        <w:spacing w:after="0" w:line="225" w:lineRule="exact"/>
        <w:rPr>
          <w:rFonts w:ascii="Times New Roman" w:cs="Times New Roman" w:eastAsia="Times New Roman" w:hAnsi="Times New Roman"/>
          <w:sz w:val="18"/>
          <w:szCs w:val="18"/>
          <w:color w:val="auto"/>
        </w:rPr>
      </w:pPr>
    </w:p>
    <w:p>
      <w:pPr>
        <w:ind w:left="1524" w:hanging="876"/>
        <w:spacing w:after="0"/>
        <w:tabs>
          <w:tab w:leader="none" w:pos="15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shall mean December 1, 2024.</w:t>
      </w:r>
    </w:p>
    <w:p>
      <w:pPr>
        <w:spacing w:after="0" w:line="256"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81915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4"/>
          </w:cols>
          <w:pgMar w:left="436" w:top="117" w:right="339" w:bottom="1440" w:gutter="0" w:footer="0" w:header="0"/>
        </w:sectPr>
      </w:pPr>
    </w:p>
    <w:bookmarkStart w:id="124" w:name="page125"/>
    <w:bookmarkEnd w:id="124"/>
    <w:p>
      <w:pPr>
        <w:jc w:val="both"/>
        <w:ind w:right="20" w:firstLine="644"/>
        <w:spacing w:after="0" w:line="268" w:lineRule="auto"/>
        <w:tabs>
          <w:tab w:leader="none" w:pos="17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70" w:lineRule="exact"/>
        <w:rPr>
          <w:rFonts w:ascii="Times New Roman" w:cs="Times New Roman" w:eastAsia="Times New Roman" w:hAnsi="Times New Roman"/>
          <w:sz w:val="18"/>
          <w:szCs w:val="18"/>
          <w:color w:val="auto"/>
        </w:rPr>
      </w:pPr>
    </w:p>
    <w:p>
      <w:pPr>
        <w:jc w:val="both"/>
        <w:ind w:firstLine="644"/>
        <w:spacing w:after="0" w:line="259" w:lineRule="auto"/>
        <w:tabs>
          <w:tab w:leader="none" w:pos="167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shall mean each individual who is or was designated as an “officer” of the Company in accordance with 17 C.F.R. 240.16a-1(f) (i.e., the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 Identification of an executive officer for purposes of this Policy would include at a minimum executive officers identified pursuant to 17 C.F.R. 229.401(b).</w:t>
      </w:r>
    </w:p>
    <w:p>
      <w:pPr>
        <w:spacing w:after="0" w:line="179" w:lineRule="exact"/>
        <w:rPr>
          <w:rFonts w:ascii="Times New Roman" w:cs="Times New Roman" w:eastAsia="Times New Roman" w:hAnsi="Times New Roman"/>
          <w:sz w:val="18"/>
          <w:szCs w:val="18"/>
          <w:color w:val="auto"/>
        </w:rPr>
      </w:pPr>
    </w:p>
    <w:p>
      <w:pPr>
        <w:jc w:val="both"/>
        <w:ind w:firstLine="644"/>
        <w:spacing w:after="0" w:line="259" w:lineRule="auto"/>
        <w:tabs>
          <w:tab w:leader="none" w:pos="180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79" w:lineRule="exact"/>
        <w:rPr>
          <w:rFonts w:ascii="Times New Roman" w:cs="Times New Roman" w:eastAsia="Times New Roman" w:hAnsi="Times New Roman"/>
          <w:sz w:val="18"/>
          <w:szCs w:val="18"/>
          <w:color w:val="auto"/>
        </w:rPr>
      </w:pPr>
    </w:p>
    <w:p>
      <w:pPr>
        <w:ind w:right="20" w:firstLine="644"/>
        <w:spacing w:after="0" w:line="286" w:lineRule="auto"/>
        <w:tabs>
          <w:tab w:leader="none" w:pos="1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shall mean any compensation that is granted, earned or vested based wholly or in part upon the attainment of a Financial Reporting Measure.</w:t>
      </w:r>
    </w:p>
    <w:p>
      <w:pPr>
        <w:spacing w:after="0" w:line="154" w:lineRule="exact"/>
        <w:rPr>
          <w:rFonts w:ascii="Times New Roman" w:cs="Times New Roman" w:eastAsia="Times New Roman" w:hAnsi="Times New Roman"/>
          <w:sz w:val="18"/>
          <w:szCs w:val="18"/>
          <w:color w:val="auto"/>
        </w:rPr>
      </w:pPr>
    </w:p>
    <w:p>
      <w:pPr>
        <w:ind w:left="1480" w:hanging="836"/>
        <w:spacing w:after="0"/>
        <w:tabs>
          <w:tab w:leader="none" w:pos="1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shall mean The Nasdaq Stock Market LLC.</w:t>
      </w:r>
    </w:p>
    <w:p>
      <w:pPr>
        <w:spacing w:after="0" w:line="225" w:lineRule="exact"/>
        <w:rPr>
          <w:rFonts w:ascii="Times New Roman" w:cs="Times New Roman" w:eastAsia="Times New Roman" w:hAnsi="Times New Roman"/>
          <w:sz w:val="18"/>
          <w:szCs w:val="18"/>
          <w:color w:val="auto"/>
        </w:rPr>
      </w:pPr>
    </w:p>
    <w:p>
      <w:pPr>
        <w:ind w:firstLine="644"/>
        <w:spacing w:after="0" w:line="286" w:lineRule="auto"/>
        <w:tabs>
          <w:tab w:leader="none" w:pos="17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shall mean this Policy for the Recovery of Erroneously Awarded Compensation, as the same may be amended and/or restated from time to time.</w:t>
      </w:r>
    </w:p>
    <w:p>
      <w:pPr>
        <w:spacing w:after="0" w:line="154" w:lineRule="exact"/>
        <w:rPr>
          <w:rFonts w:ascii="Times New Roman" w:cs="Times New Roman" w:eastAsia="Times New Roman" w:hAnsi="Times New Roman"/>
          <w:sz w:val="18"/>
          <w:szCs w:val="18"/>
          <w:color w:val="auto"/>
        </w:rPr>
      </w:pPr>
    </w:p>
    <w:p>
      <w:pPr>
        <w:jc w:val="both"/>
        <w:ind w:right="20" w:firstLine="644"/>
        <w:spacing w:after="0" w:line="268" w:lineRule="auto"/>
        <w:tabs>
          <w:tab w:leader="none" w:pos="19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70" w:lineRule="exact"/>
        <w:rPr>
          <w:rFonts w:ascii="Times New Roman" w:cs="Times New Roman" w:eastAsia="Times New Roman" w:hAnsi="Times New Roman"/>
          <w:sz w:val="18"/>
          <w:szCs w:val="18"/>
          <w:color w:val="auto"/>
        </w:rPr>
      </w:pPr>
    </w:p>
    <w:p>
      <w:pPr>
        <w:jc w:val="both"/>
        <w:ind w:firstLine="644"/>
        <w:spacing w:after="0" w:line="262" w:lineRule="auto"/>
        <w:tabs>
          <w:tab w:leader="none" w:pos="17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shall mean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spacing w:after="0" w:line="176" w:lineRule="exact"/>
        <w:rPr>
          <w:rFonts w:ascii="Times New Roman" w:cs="Times New Roman" w:eastAsia="Times New Roman" w:hAnsi="Times New Roman"/>
          <w:sz w:val="18"/>
          <w:szCs w:val="18"/>
          <w:color w:val="auto"/>
        </w:rPr>
      </w:pPr>
    </w:p>
    <w:p>
      <w:pPr>
        <w:ind w:left="1520" w:hanging="876"/>
        <w:spacing w:after="0"/>
        <w:tabs>
          <w:tab w:leader="none" w:pos="1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U.S. Securities and Exchange Commission.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549" w:right="439" w:bottom="1440" w:gutter="0" w:footer="0" w:header="0"/>
        </w:sectPr>
      </w:pPr>
    </w:p>
    <w:bookmarkStart w:id="125" w:name="page126"/>
    <w:bookmarkEnd w:id="125"/>
    <w:p>
      <w:pPr>
        <w:ind w:left="944" w:hanging="944"/>
        <w:spacing w:after="0"/>
        <w:tabs>
          <w:tab w:leader="none" w:pos="9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Repayment of Erroneously Awarded Compensation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Accounting Restatement, the Committee shall promptly determine the amount of any Erroneously Awarded Compensation for each Executive Officer in connection with such Accounting Restatement and shall promptly thereafter provide each Executive Officer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w:t>
      </w:r>
    </w:p>
    <w:p>
      <w:pPr>
        <w:spacing w:after="0" w:line="191" w:lineRule="exact"/>
        <w:rPr>
          <w:rFonts w:ascii="Times New Roman" w:cs="Times New Roman" w:eastAsia="Times New Roman" w:hAnsi="Times New Roman"/>
          <w:sz w:val="18"/>
          <w:szCs w:val="18"/>
          <w:color w:val="auto"/>
        </w:rPr>
      </w:pPr>
    </w:p>
    <w:p>
      <w:pPr>
        <w:jc w:val="both"/>
        <w:ind w:left="4" w:firstLine="643"/>
        <w:spacing w:after="0" w:line="253" w:lineRule="auto"/>
        <w:tabs>
          <w:tab w:leader="none" w:pos="15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broad discretion to determine the appropriate means of recovery of Erroneously Awarded Compensation based on all applicable facts and circumstances. To the extent that the Committee determines that any method of recovery (other than repayment by the Executive Officer in a lump sum in cash or property) is appropriate, the Company shall offer to enter into a repayment agreement (in a form reasonable acceptable to the Committee) with the Executive Officer. If the Executive Officer accepts such offer and signs the repayment agreement within thirty (30) calendar days after such offer is extended, the Company shall countersign such repayment agreement. If the Executive Officer fails to sign the repayment agreement within thirty (30) calendar days after such offer is extended, the Executive Officer will be required to repay the Erroneously Awarded Compensation in a lump sum in cash (or such property as the Committee agrees to accept with a value equal to such Erroneously Awarded Compensation) on or prior to the date that is one hundred twenty (120) calendar days following the Restatement Date. For the avoidance of doubt, except as set forth in Section 4(d) below, in no event may the Company Group accept an amount that is less than the amount of Erroneously Awarded Compensation in satisfaction of an Executive Officer’s obligations hereunder.</w:t>
      </w:r>
    </w:p>
    <w:p>
      <w:pPr>
        <w:spacing w:after="0" w:line="194" w:lineRule="exact"/>
        <w:rPr>
          <w:rFonts w:ascii="Times New Roman" w:cs="Times New Roman" w:eastAsia="Times New Roman" w:hAnsi="Times New Roman"/>
          <w:sz w:val="18"/>
          <w:szCs w:val="18"/>
          <w:color w:val="auto"/>
        </w:rPr>
      </w:pPr>
    </w:p>
    <w:p>
      <w:pPr>
        <w:jc w:val="both"/>
        <w:ind w:left="4" w:right="20" w:firstLine="643"/>
        <w:spacing w:after="0" w:line="266" w:lineRule="auto"/>
        <w:tabs>
          <w:tab w:leader="none" w:pos="159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Executive Officer fails to repay all Erroneously Awarded Compensation to the Company Group when due (as determined in accordance with Section 4(b) above), the Company shall, or shall cause one or more other members of the Company Group to, take all actions reasonable and appropriate to recover such Erroneously Awarded Compensation from the applicable Executive Officer.</w:t>
      </w:r>
    </w:p>
    <w:p>
      <w:pPr>
        <w:spacing w:after="0" w:line="175" w:lineRule="exact"/>
        <w:rPr>
          <w:rFonts w:ascii="Times New Roman" w:cs="Times New Roman" w:eastAsia="Times New Roman" w:hAnsi="Times New Roman"/>
          <w:sz w:val="18"/>
          <w:szCs w:val="18"/>
          <w:color w:val="auto"/>
        </w:rPr>
      </w:pPr>
    </w:p>
    <w:p>
      <w:pPr>
        <w:ind w:left="1644" w:hanging="996"/>
        <w:spacing w:after="0"/>
        <w:tabs>
          <w:tab w:leader="none" w:pos="16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take the actions contemplated by Section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4(b) above if the following conditions are met and the Committee determines that recovery would be impracticable:</w:t>
      </w:r>
    </w:p>
    <w:p>
      <w:pPr>
        <w:spacing w:after="0" w:line="206" w:lineRule="exact"/>
        <w:rPr>
          <w:rFonts w:ascii="Times New Roman" w:cs="Times New Roman" w:eastAsia="Times New Roman" w:hAnsi="Times New Roman"/>
          <w:sz w:val="18"/>
          <w:szCs w:val="18"/>
          <w:color w:val="auto"/>
        </w:rPr>
      </w:pPr>
    </w:p>
    <w:p>
      <w:pPr>
        <w:jc w:val="both"/>
        <w:ind w:left="4" w:right="20" w:firstLine="1292"/>
        <w:spacing w:after="0" w:line="266" w:lineRule="auto"/>
        <w:tabs>
          <w:tab w:leader="none" w:pos="2315"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Nasdaq;</w:t>
      </w:r>
    </w:p>
    <w:p>
      <w:pPr>
        <w:spacing w:after="0" w:line="175"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2221"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spacing w:after="0" w:line="179"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229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Group, to fail to meet the requirements of 26 U.S.C. 401(a)(13) or 26 U.S.C. 411(a)and regulations thereunder.</w:t>
      </w:r>
    </w:p>
    <w:p>
      <w:pPr>
        <w:spacing w:after="0" w:line="17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81915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4"/>
          </w:cols>
          <w:pgMar w:left="436" w:top="549" w:right="439" w:bottom="1440" w:gutter="0" w:footer="0" w:header="0"/>
        </w:sectPr>
      </w:pPr>
    </w:p>
    <w:bookmarkStart w:id="126" w:name="page127"/>
    <w:bookmarkEnd w:id="126"/>
    <w:p>
      <w:pPr>
        <w:ind w:left="5" w:right="20" w:hanging="4"/>
        <w:spacing w:after="0" w:line="286" w:lineRule="auto"/>
        <w:tabs>
          <w:tab w:leader="none" w:pos="11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Reporting and Disclosure</w:t>
      </w:r>
      <w:r>
        <w:rPr>
          <w:rFonts w:ascii="Times New Roman" w:cs="Times New Roman" w:eastAsia="Times New Roman" w:hAnsi="Times New Roman"/>
          <w:sz w:val="18"/>
          <w:szCs w:val="18"/>
          <w:color w:val="auto"/>
        </w:rPr>
        <w:t>. The Company shall file all disclosures with respect to this Policy in accordance with the requirement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securities laws, including the disclosure required by the applicable SEC filings.</w:t>
      </w:r>
    </w:p>
    <w:p>
      <w:pPr>
        <w:spacing w:after="0" w:line="154" w:lineRule="exact"/>
        <w:rPr>
          <w:rFonts w:ascii="Times New Roman" w:cs="Times New Roman" w:eastAsia="Times New Roman" w:hAnsi="Times New Roman"/>
          <w:sz w:val="18"/>
          <w:szCs w:val="18"/>
          <w:color w:val="auto"/>
        </w:rPr>
      </w:pPr>
    </w:p>
    <w:p>
      <w:pPr>
        <w:jc w:val="both"/>
        <w:ind w:left="5" w:hanging="4"/>
        <w:spacing w:after="0" w:line="259" w:lineRule="auto"/>
        <w:tabs>
          <w:tab w:leader="none" w:pos="11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Prohibition</w:t>
      </w:r>
      <w:r>
        <w:rPr>
          <w:rFonts w:ascii="Times New Roman" w:cs="Times New Roman" w:eastAsia="Times New Roman" w:hAnsi="Times New Roman"/>
          <w:sz w:val="18"/>
          <w:szCs w:val="18"/>
          <w:color w:val="auto"/>
        </w:rPr>
        <w:t>. No member of the Company Group shall be permitted to indemnify any Executive Officer against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179" w:lineRule="exact"/>
        <w:rPr>
          <w:rFonts w:ascii="Times New Roman" w:cs="Times New Roman" w:eastAsia="Times New Roman" w:hAnsi="Times New Roman"/>
          <w:sz w:val="18"/>
          <w:szCs w:val="18"/>
          <w:color w:val="auto"/>
        </w:rPr>
      </w:pPr>
    </w:p>
    <w:p>
      <w:pPr>
        <w:ind w:left="5" w:hanging="4"/>
        <w:spacing w:after="0" w:line="286" w:lineRule="auto"/>
        <w:tabs>
          <w:tab w:leader="none" w:pos="10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The Committee is authorized to interpret and construe this Policy and to make all determinations necessary, appropriate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advisable for the administration of this Policy.</w:t>
      </w:r>
    </w:p>
    <w:p>
      <w:pPr>
        <w:spacing w:after="0" w:line="154" w:lineRule="exact"/>
        <w:rPr>
          <w:rFonts w:ascii="Times New Roman" w:cs="Times New Roman" w:eastAsia="Times New Roman" w:hAnsi="Times New Roman"/>
          <w:sz w:val="18"/>
          <w:szCs w:val="18"/>
          <w:color w:val="auto"/>
        </w:rPr>
      </w:pPr>
    </w:p>
    <w:p>
      <w:pPr>
        <w:ind w:left="985" w:hanging="984"/>
        <w:spacing w:after="0"/>
        <w:tabs>
          <w:tab w:leader="none" w:pos="9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Policy shall be effective as of the Effective Date.</w:t>
      </w:r>
    </w:p>
    <w:p>
      <w:pPr>
        <w:spacing w:after="0" w:line="225" w:lineRule="exact"/>
        <w:rPr>
          <w:rFonts w:ascii="Times New Roman" w:cs="Times New Roman" w:eastAsia="Times New Roman" w:hAnsi="Times New Roman"/>
          <w:sz w:val="18"/>
          <w:szCs w:val="18"/>
          <w:color w:val="auto"/>
        </w:rPr>
      </w:pPr>
    </w:p>
    <w:p>
      <w:pPr>
        <w:ind w:left="5" w:hanging="4"/>
        <w:spacing w:after="0" w:line="286" w:lineRule="auto"/>
        <w:tabs>
          <w:tab w:leader="none" w:pos="10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to Policy by Executive Officers</w:t>
      </w:r>
      <w:r>
        <w:rPr>
          <w:rFonts w:ascii="Times New Roman" w:cs="Times New Roman" w:eastAsia="Times New Roman" w:hAnsi="Times New Roman"/>
          <w:sz w:val="18"/>
          <w:szCs w:val="18"/>
          <w:color w:val="auto"/>
        </w:rPr>
        <w:t>. The Committee shall take reasonable steps to inform Executive Officers of this Policy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their agreement to this Policy.</w:t>
      </w:r>
    </w:p>
    <w:p>
      <w:pPr>
        <w:spacing w:after="0" w:line="154" w:lineRule="exact"/>
        <w:rPr>
          <w:rFonts w:ascii="Times New Roman" w:cs="Times New Roman" w:eastAsia="Times New Roman" w:hAnsi="Times New Roman"/>
          <w:sz w:val="18"/>
          <w:szCs w:val="18"/>
          <w:color w:val="auto"/>
        </w:rPr>
      </w:pPr>
    </w:p>
    <w:p>
      <w:pPr>
        <w:jc w:val="both"/>
        <w:ind w:left="5" w:hanging="4"/>
        <w:spacing w:after="0" w:line="256" w:lineRule="auto"/>
        <w:tabs>
          <w:tab w:leader="none" w:pos="10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Termination</w:t>
      </w:r>
      <w:r>
        <w:rPr>
          <w:rFonts w:ascii="Times New Roman" w:cs="Times New Roman" w:eastAsia="Times New Roman" w:hAnsi="Times New Roman"/>
          <w:sz w:val="18"/>
          <w:szCs w:val="18"/>
          <w:color w:val="auto"/>
        </w:rPr>
        <w:t>. The Committee may amend this Policy from time to time in its discretion and shall amend this Policy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Section 10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spacing w:after="0" w:line="182" w:lineRule="exact"/>
        <w:rPr>
          <w:rFonts w:ascii="Times New Roman" w:cs="Times New Roman" w:eastAsia="Times New Roman" w:hAnsi="Times New Roman"/>
          <w:sz w:val="18"/>
          <w:szCs w:val="18"/>
          <w:color w:val="auto"/>
        </w:rPr>
      </w:pPr>
    </w:p>
    <w:p>
      <w:pPr>
        <w:jc w:val="both"/>
        <w:ind w:left="5" w:hanging="5"/>
        <w:spacing w:after="0" w:line="257" w:lineRule="auto"/>
        <w:tabs>
          <w:tab w:leader="none" w:pos="96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Recoupment Rights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 Additional Payments</w:t>
      </w:r>
      <w:r>
        <w:rPr>
          <w:rFonts w:ascii="Times New Roman" w:cs="Times New Roman" w:eastAsia="Times New Roman" w:hAnsi="Times New Roman"/>
          <w:sz w:val="18"/>
          <w:szCs w:val="18"/>
          <w:color w:val="auto"/>
        </w:rPr>
        <w:t>. The Committee intends that this Policy will be applied to the fullest extent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w:t>
      </w:r>
    </w:p>
    <w:p>
      <w:pPr>
        <w:spacing w:after="0" w:line="182" w:lineRule="exact"/>
        <w:rPr>
          <w:rFonts w:ascii="Times New Roman" w:cs="Times New Roman" w:eastAsia="Times New Roman" w:hAnsi="Times New Roman"/>
          <w:sz w:val="18"/>
          <w:szCs w:val="18"/>
          <w:color w:val="auto"/>
        </w:rPr>
      </w:pPr>
    </w:p>
    <w:p>
      <w:pPr>
        <w:ind w:left="5" w:right="960" w:hanging="4"/>
        <w:spacing w:after="0" w:line="286" w:lineRule="auto"/>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w:t>
      </w:r>
      <w:r>
        <w:rPr>
          <w:rFonts w:ascii="Times New Roman" w:cs="Times New Roman" w:eastAsia="Times New Roman" w:hAnsi="Times New Roman"/>
          <w:sz w:val="18"/>
          <w:szCs w:val="18"/>
          <w:color w:val="auto"/>
        </w:rPr>
        <w:t>. This Policy shall be binding and enforceable against all Executive Officers and their beneficiaries, heirs,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or other legal representatives.</w:t>
      </w:r>
    </w:p>
    <w:p>
      <w:pPr>
        <w:spacing w:after="0" w:line="374" w:lineRule="exact"/>
        <w:rPr>
          <w:rFonts w:ascii="Times New Roman" w:cs="Times New Roman" w:eastAsia="Times New Roman" w:hAnsi="Times New Roman"/>
          <w:sz w:val="18"/>
          <w:szCs w:val="18"/>
          <w:color w:val="auto"/>
        </w:rPr>
      </w:pPr>
    </w:p>
    <w:p>
      <w:pPr>
        <w:ind w:left="47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sectPr>
      <w:pgSz w:w="11900" w:h="16838" w:orient="portrait"/>
      <w:cols w:equalWidth="0" w:num="1">
        <w:col w:w="11025"/>
      </w:cols>
      <w:pgMar w:left="435" w:top="54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3"/>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1"/>
    </w:lvl>
    <w:lvl w:ilvl="1">
      <w:lvlJc w:val="left"/>
      <w:lvlText w:val="%2."/>
      <w:numFmt w:val="decimal"/>
      <w:start w:val="1"/>
    </w:lvl>
  </w:abstractNum>
  <w:abstractNum w:abstractNumId="14">
    <w:nsid w:val="3A95F874"/>
    <w:multiLevelType w:val="hybridMultilevel"/>
    <w:lvl w:ilvl="0">
      <w:lvlJc w:val="left"/>
      <w:lvlText w:val="%1"/>
      <w:numFmt w:val="decimal"/>
      <w:start w:val="104"/>
    </w:lvl>
  </w:abstractNum>
  <w:abstractNum w:abstractNumId="15">
    <w:nsid w:val="8138641"/>
    <w:multiLevelType w:val="hybridMultilevel"/>
    <w:lvl w:ilvl="0">
      <w:lvlJc w:val="left"/>
      <w:lvlText w:val="(%1)"/>
      <w:numFmt w:val="decimal"/>
      <w:start w:val="1"/>
    </w:lvl>
    <w:lvl w:ilvl="1">
      <w:lvlJc w:val="left"/>
      <w:lvlText w:val="(%2)"/>
      <w:numFmt w:val="decimal"/>
      <w:start w:val="2"/>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2"/>
    </w:lvl>
    <w:lvl w:ilvl="1">
      <w:lvlJc w:val="left"/>
      <w:lvlText w:val="(%2)"/>
      <w:numFmt w:val="lowerLetter"/>
      <w:start w:val="1"/>
    </w:lvl>
  </w:abstractNum>
  <w:abstractNum w:abstractNumId="18">
    <w:nsid w:val="737B8DDC"/>
    <w:multiLevelType w:val="hybridMultilevel"/>
    <w:lvl w:ilvl="0">
      <w:lvlJc w:val="left"/>
      <w:lvlText w:val="(%1)"/>
      <w:numFmt w:val="lowerLetter"/>
      <w:start w:val="2"/>
    </w:lvl>
  </w:abstractNum>
  <w:abstractNum w:abstractNumId="19">
    <w:nsid w:val="6CEAF087"/>
    <w:multiLevelType w:val="hybridMultilevel"/>
    <w:lvl w:ilvl="0">
      <w:lvlJc w:val="left"/>
      <w:lvlText w:val="%1."/>
      <w:numFmt w:val="decimal"/>
      <w:start w:val="3"/>
    </w:lvl>
  </w:abstractNum>
  <w:abstractNum w:abstractNumId="20">
    <w:nsid w:val="22221A70"/>
    <w:multiLevelType w:val="hybridMultilevel"/>
    <w:lvl w:ilvl="0">
      <w:lvlJc w:val="left"/>
      <w:lvlText w:val="%1."/>
      <w:numFmt w:val="decimal"/>
      <w:start w:val="5"/>
    </w:lvl>
  </w:abstractNum>
  <w:abstractNum w:abstractNumId="21">
    <w:nsid w:val="4516DDE9"/>
    <w:multiLevelType w:val="hybridMultilevel"/>
    <w:lvl w:ilvl="0">
      <w:lvlJc w:val="left"/>
      <w:lvlText w:val="%1."/>
      <w:numFmt w:val="decimal"/>
      <w:start w:val="9"/>
    </w:lvl>
  </w:abstractNum>
  <w:abstractNum w:abstractNumId="22">
    <w:nsid w:val="3006C83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
    <w:nsid w:val="614FD4A1"/>
    <w:multiLevelType w:val="hybridMultilevel"/>
    <w:lvl w:ilvl="0">
      <w:lvlJc w:val="left"/>
      <w:lvlText w:val="(%1)"/>
      <w:numFmt w:val="lowerLetter"/>
      <w:start w:val="4"/>
    </w:lvl>
    <w:lvl w:ilvl="1">
      <w:lvlJc w:val="left"/>
      <w:lvlText w:val="%2."/>
      <w:numFmt w:val="decimal"/>
      <w:start w:val="10"/>
    </w:lvl>
    <w:lvl w:ilvl="2">
      <w:lvlJc w:val="left"/>
      <w:lvlText w:val="%3"/>
      <w:numFmt w:val="lowerLetter"/>
      <w:start w:val="1"/>
    </w:lvl>
  </w:abstractNum>
  <w:abstractNum w:abstractNumId="24">
    <w:nsid w:val="419AC241"/>
    <w:multiLevelType w:val="hybridMultilevel"/>
    <w:lvl w:ilvl="0">
      <w:lvlJc w:val="left"/>
      <w:lvlText w:val="%1."/>
      <w:numFmt w:val="decimal"/>
      <w:start w:val="12"/>
    </w:lvl>
  </w:abstractNum>
  <w:abstractNum w:abstractNumId="25">
    <w:nsid w:val="5577F8E1"/>
    <w:multiLevelType w:val="hybridMultilevel"/>
    <w:lvl w:ilvl="0">
      <w:lvlJc w:val="left"/>
      <w:lvlText w:val="%1."/>
      <w:numFmt w:val="decimal"/>
      <w:start w:val="14"/>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decimal"/>
      <w:start w:val="1"/>
    </w:lvl>
    <w:lvl w:ilvl="1">
      <w:lvlJc w:val="left"/>
      <w:lvlText w:val="(%2)"/>
      <w:numFmt w:val="lowerLetter"/>
      <w:start w:val="3"/>
    </w:lvl>
  </w:abstractNum>
  <w:abstractNum w:abstractNumId="29">
    <w:nsid w:val="77465F01"/>
    <w:multiLevelType w:val="hybridMultilevel"/>
    <w:lvl w:ilvl="0">
      <w:lvlJc w:val="left"/>
      <w:lvlText w:val="%1."/>
      <w:numFmt w:val="decimal"/>
      <w:start w:val="3"/>
    </w:lvl>
    <w:lvl w:ilvl="1">
      <w:lvlJc w:val="left"/>
      <w:lvlText w:val="%2"/>
      <w:numFmt w:val="lowerLetter"/>
      <w:start w:val="1"/>
    </w:lvl>
  </w:abstractNum>
  <w:abstractNum w:abstractNumId="30">
    <w:nsid w:val="7724C67E"/>
    <w:multiLevelType w:val="hybridMultilevel"/>
    <w:lvl w:ilvl="0">
      <w:lvlJc w:val="left"/>
      <w:lvlText w:val="%1."/>
      <w:numFmt w:val="decimal"/>
      <w:start w:val="4"/>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lvl w:ilvl="1">
      <w:lvlJc w:val="left"/>
      <w:lvlText w:val="%2)"/>
      <w:numFmt w:val="lowerLetter"/>
      <w:start w:val="1"/>
    </w:lvl>
  </w:abstractNum>
  <w:abstractNum w:abstractNumId="37">
    <w:nsid w:val="153EA438"/>
    <w:multiLevelType w:val="hybridMultilevel"/>
    <w:lvl w:ilvl="0">
      <w:lvlJc w:val="left"/>
      <w:lvlText w:val="%1)"/>
      <w:numFmt w:val="decimal"/>
      <w:start w:val="1"/>
    </w:lvl>
    <w:lvl w:ilvl="1">
      <w:lvlJc w:val="left"/>
      <w:lvlText w:val="%2)"/>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lowerLetter"/>
      <w:start w:val="9"/>
    </w:lvl>
  </w:abstractNum>
  <w:abstractNum w:abstractNumId="42">
    <w:nsid w:val="1D4ED4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3">
    <w:nsid w:val="725A06FB"/>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4" Type="http://schemas.openxmlformats.org/officeDocument/2006/relationships/image" Target="media/image263.png"/><Relationship Id="rId295" Type="http://schemas.openxmlformats.org/officeDocument/2006/relationships/image" Target="media/image264.png"/><Relationship Id="rId296" Type="http://schemas.openxmlformats.org/officeDocument/2006/relationships/image" Target="media/image265.png"/><Relationship Id="rId297" Type="http://schemas.openxmlformats.org/officeDocument/2006/relationships/image" Target="media/image266.png"/><Relationship Id="rId298" Type="http://schemas.openxmlformats.org/officeDocument/2006/relationships/image" Target="media/image267.png"/><Relationship Id="rId299" Type="http://schemas.openxmlformats.org/officeDocument/2006/relationships/image" Target="media/image268.png"/><Relationship Id="rId300" Type="http://schemas.openxmlformats.org/officeDocument/2006/relationships/image" Target="media/image269.png"/><Relationship Id="rId301" Type="http://schemas.openxmlformats.org/officeDocument/2006/relationships/image" Target="media/image270.png"/><Relationship Id="rId302" Type="http://schemas.openxmlformats.org/officeDocument/2006/relationships/image" Target="media/image271.png"/><Relationship Id="rId303" Type="http://schemas.openxmlformats.org/officeDocument/2006/relationships/image" Target="media/image272.png"/><Relationship Id="rId304" Type="http://schemas.openxmlformats.org/officeDocument/2006/relationships/image" Target="media/image273.png"/><Relationship Id="rId305" Type="http://schemas.openxmlformats.org/officeDocument/2006/relationships/image" Target="media/image274.png"/><Relationship Id="rId306" Type="http://schemas.openxmlformats.org/officeDocument/2006/relationships/image" Target="media/image275.png"/><Relationship Id="rId307" Type="http://schemas.openxmlformats.org/officeDocument/2006/relationships/image" Target="media/image276.png"/><Relationship Id="rId308" Type="http://schemas.openxmlformats.org/officeDocument/2006/relationships/image" Target="media/image277.png"/><Relationship Id="rId309" Type="http://schemas.openxmlformats.org/officeDocument/2006/relationships/image" Target="media/image278.png"/><Relationship Id="rId310" Type="http://schemas.openxmlformats.org/officeDocument/2006/relationships/image" Target="media/image279.png"/><Relationship Id="rId311"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4"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247" Type="http://schemas.openxmlformats.org/officeDocument/2006/relationships/hyperlink" Target="http://www.sec.gov/Archives/edgar/data/1029199/000101410809000126/ewi-ex32toform8k_8353998v3.htm" TargetMode="External"/><Relationship Id="rId248" Type="http://schemas.openxmlformats.org/officeDocument/2006/relationships/hyperlink" Target="http://www.sec.gov/Archives/edgar/data/1029199/000101410809000126/ewi-ex31toform8k_8353998v3.htm" TargetMode="External"/><Relationship Id="rId249" Type="http://schemas.openxmlformats.org/officeDocument/2006/relationships/hyperlink" Target="http://www.sec.gov/Archives/edgar/data/1029199/000101410813000094/ex31-certofrights.htm" TargetMode="External"/><Relationship Id="rId250" Type="http://schemas.openxmlformats.org/officeDocument/2006/relationships/hyperlink" Target="http://www.sec.gov/Archives/edgar/data/1029199/000102919917000004/exhibit32-amendedandrestat.htm" TargetMode="External"/><Relationship Id="rId251" Type="http://schemas.openxmlformats.org/officeDocument/2006/relationships/hyperlink" Target="http://www.sec.gov/Archives/edgar/data/1029199/000119312514398639/d817126dex41.htm" TargetMode="External"/><Relationship Id="rId252" Type="http://schemas.openxmlformats.org/officeDocument/2006/relationships/hyperlink" Target="http://www.sec.gov/Archives/edgar/data/1029199/000119312519154044/d727874dex42.htm" TargetMode="External"/><Relationship Id="rId253" Type="http://schemas.openxmlformats.org/officeDocument/2006/relationships/hyperlink" Target="http://www.sec.gov/Archives/edgar/data/1029199/000102919919000025/exhibit41indenture.htm" TargetMode="External"/><Relationship Id="rId256" Type="http://schemas.openxmlformats.org/officeDocument/2006/relationships/hyperlink" Target="http://www.sec.gov/Archives/edgar/data/1029199/000102919920000009/eeft12312019ex46.htm" TargetMode="External"/><Relationship Id="rId257" Type="http://schemas.openxmlformats.org/officeDocument/2006/relationships/hyperlink" Target="http://www.sec.gov/Archives/edgar/data/1029199/000095013706008670/c07036exv10w8.htm" TargetMode="External"/><Relationship Id="rId258" Type="http://schemas.openxmlformats.org/officeDocument/2006/relationships/hyperlink" Target="http://www.sec.gov/Archives/edgar/data/1029199/000101410807000144/ewi-ex101toform8k_7640045.htm" TargetMode="External"/><Relationship Id="rId259" Type="http://schemas.openxmlformats.org/officeDocument/2006/relationships/hyperlink" Target="http://www.sec.gov/Archives/edgar/data/1029199/000095013708007169/c26311exv10w3.htm" TargetMode="External"/><Relationship Id="rId260" Type="http://schemas.openxmlformats.org/officeDocument/2006/relationships/hyperlink" Target="http://www.sec.gov/Archives/edgar/data/1029199/000095013708007169/c26311exv10w4.htm" TargetMode="External"/><Relationship Id="rId261" Type="http://schemas.openxmlformats.org/officeDocument/2006/relationships/hyperlink" Target="http://www.sec.gov/Archives/edgar/data/1029199/000095013708007169/c26311exv10w6.htm" TargetMode="External"/><Relationship Id="rId262" Type="http://schemas.openxmlformats.org/officeDocument/2006/relationships/hyperlink" Target="http://www.sec.gov/Archives/edgar/data/1029199/000095015208010588/c48372exv10w1.htm" TargetMode="External"/><Relationship Id="rId263" Type="http://schemas.openxmlformats.org/officeDocument/2006/relationships/hyperlink" Target="http://www.sec.gov/Archives/edgar/data/1029199/000121390021020144/MainDocument.htm" TargetMode="External"/><Relationship Id="rId264" Type="http://schemas.openxmlformats.org/officeDocument/2006/relationships/hyperlink" Target="http://www.sec.gov/Archives/edgar/data/1029199/000095012310046071/c57991exv10w2.htm" TargetMode="External"/><Relationship Id="rId265" Type="http://schemas.openxmlformats.org/officeDocument/2006/relationships/hyperlink" Target="http://www.sec.gov/Archives/edgar/data/1029199/000095012311018840/c61623exv10w25.htm" TargetMode="External"/><Relationship Id="rId266" Type="http://schemas.openxmlformats.org/officeDocument/2006/relationships/hyperlink" Target="http://www.sec.gov/Archives/edgar/data/1029199/000102919917000080/exhibit101nikosfountasempl.htm" TargetMode="External"/><Relationship Id="rId267" Type="http://schemas.openxmlformats.org/officeDocument/2006/relationships/hyperlink" Target="http://www.sec.gov/Archives/edgar/data/1029199/000095012311018840/c61623exv10w26.htm" TargetMode="External"/><Relationship Id="rId270" Type="http://schemas.openxmlformats.org/officeDocument/2006/relationships/hyperlink" Target="http://www.sec.gov/Archives/edgar/data/1029199/000102919916000143/eeft12312015ex1018.htm" TargetMode="External"/><Relationship Id="rId271" Type="http://schemas.openxmlformats.org/officeDocument/2006/relationships/hyperlink" Target="http://www.sec.gov/Archives/edgar/data/1029199/000102919916000159/def14aproxystatement-2016.htm" TargetMode="External"/><Relationship Id="rId272" Type="http://schemas.openxmlformats.org/officeDocument/2006/relationships/hyperlink" Target="http://www.sec.gov/Archives/edgar/data/1029199/000102919918000015/eeft12312017ex1019.htm" TargetMode="External"/><Relationship Id="rId273" Type="http://schemas.openxmlformats.org/officeDocument/2006/relationships/hyperlink" Target="http://www.sec.gov/Archives/edgar/data/1029199/000102919918000015/eeft12312017ex1020.htm" TargetMode="External"/><Relationship Id="rId274" Type="http://schemas.openxmlformats.org/officeDocument/2006/relationships/hyperlink" Target="http://www.sec.gov/Archives/edgar/data/1029199/000121390024110405/ea022515701ex10-1_eurone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2025-02-25T15:22:33Z</dcterms:created>
  <dcterms:modified xsi:type="dcterms:W3CDTF">2025-02-25T15:22:33Z</dcterms:modified>
</cp:coreProperties>
</file>