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1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19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21, 2026</w:t>
      </w:r>
    </w:p>
    <w:p>
      <w:pPr>
        <w:spacing w:after="0" w:line="3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6"/>
          <w:szCs w:val="36"/>
          <w:b w:val="1"/>
          <w:bCs w:val="1"/>
          <w:color w:val="auto"/>
        </w:rPr>
        <w:t>EURONET WORLDWIDE INC</w:t>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100"/>
          </w:cols>
          <w:pgMar w:left="320" w:top="209" w:right="479" w:bottom="1440" w:gutter="0" w:footer="0" w:header="0"/>
        </w:sectPr>
      </w:pPr>
    </w:p>
    <w:p>
      <w:pPr>
        <w:spacing w:after="0" w:line="224"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63"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001-31648</w:t>
      </w:r>
    </w:p>
    <w:p>
      <w:pPr>
        <w:spacing w:after="0" w:line="6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74-2806888</w:t>
      </w:r>
    </w:p>
    <w:p>
      <w:pPr>
        <w:spacing w:after="0" w:line="6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42" w:lineRule="exact"/>
        <w:rPr>
          <w:sz w:val="24"/>
          <w:szCs w:val="24"/>
          <w:color w:val="auto"/>
        </w:rPr>
      </w:pPr>
    </w:p>
    <w:p>
      <w:pPr>
        <w:sectPr>
          <w:pgSz w:w="11900" w:h="16838" w:orient="portrait"/>
          <w:cols w:equalWidth="0" w:num="3">
            <w:col w:w="3900" w:space="720"/>
            <w:col w:w="2480" w:space="720"/>
            <w:col w:w="3280"/>
          </w:cols>
          <w:pgMar w:left="320" w:top="209" w:right="47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365"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11400 Tomahawk Creek Parkway, Suite 300</w:t>
      </w:r>
    </w:p>
    <w:p>
      <w:pPr>
        <w:sectPr>
          <w:pgSz w:w="11900" w:h="16838" w:orient="portrait"/>
          <w:cols w:equalWidth="0" w:num="1">
            <w:col w:w="11100"/>
          </w:cols>
          <w:pgMar w:left="320" w:top="209" w:right="479" w:bottom="1440" w:gutter="0" w:footer="0" w:header="0"/>
          <w:type w:val="continuous"/>
        </w:sectPr>
      </w:pPr>
    </w:p>
    <w:p>
      <w:pPr>
        <w:spacing w:after="0" w:line="7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Leawood, Kansas</w:t>
      </w:r>
    </w:p>
    <w:p>
      <w:pPr>
        <w:spacing w:after="0" w:line="63"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66211</w:t>
      </w:r>
    </w:p>
    <w:p>
      <w:pPr>
        <w:spacing w:after="0" w:line="63"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61" w:lineRule="exact"/>
        <w:rPr>
          <w:sz w:val="24"/>
          <w:szCs w:val="24"/>
          <w:color w:val="auto"/>
        </w:rPr>
      </w:pPr>
    </w:p>
    <w:p>
      <w:pPr>
        <w:sectPr>
          <w:pgSz w:w="11900" w:h="16838" w:orient="portrait"/>
          <w:cols w:equalWidth="0" w:num="2">
            <w:col w:w="8060" w:space="720"/>
            <w:col w:w="2320"/>
          </w:cols>
          <w:pgMar w:left="320" w:top="209"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(913) 327-4200</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100"/>
          </w:cols>
          <w:pgMar w:left="320" w:top="209" w:right="479" w:bottom="1440" w:gutter="0" w:footer="0" w:header="0"/>
          <w:type w:val="continuous"/>
        </w:sectPr>
      </w:pPr>
    </w:p>
    <w:p>
      <w:pPr>
        <w:spacing w:after="0" w:line="3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1" w:lineRule="exact"/>
        <w:rPr>
          <w:sz w:val="24"/>
          <w:szCs w:val="24"/>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 w:lineRule="exact"/>
        <w:rPr>
          <w:sz w:val="24"/>
          <w:szCs w:val="24"/>
          <w:color w:val="auto"/>
        </w:rPr>
      </w:pPr>
    </w:p>
    <w:p>
      <w:pPr>
        <w:ind w:left="340" w:hanging="299"/>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40" w:hanging="299"/>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40" w:hanging="299"/>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40" w:hanging="299"/>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209" w:right="479" w:bottom="1440" w:gutter="0" w:footer="0" w:header="0"/>
          <w:type w:val="continuous"/>
        </w:sectPr>
      </w:pPr>
    </w:p>
    <w:p>
      <w:pPr>
        <w:spacing w:after="0" w:line="3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63" w:lineRule="exact"/>
        <w:rPr>
          <w:sz w:val="24"/>
          <w:szCs w:val="24"/>
          <w:color w:val="auto"/>
        </w:rPr>
      </w:pPr>
    </w:p>
    <w:p>
      <w:pPr>
        <w:sectPr>
          <w:pgSz w:w="11900" w:h="16838" w:orient="portrait"/>
          <w:cols w:equalWidth="0" w:num="3">
            <w:col w:w="1840" w:space="720"/>
            <w:col w:w="1940" w:space="720"/>
            <w:col w:w="5880"/>
          </w:cols>
          <w:pgMar w:left="320" w:top="209" w:right="4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EEFT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Nasdaq Global Select Market</w:t>
      </w:r>
    </w:p>
    <w:p>
      <w:pPr>
        <w:spacing w:after="0" w:line="211" w:lineRule="exact"/>
        <w:rPr>
          <w:sz w:val="24"/>
          <w:szCs w:val="24"/>
          <w:color w:val="auto"/>
        </w:rPr>
      </w:pPr>
    </w:p>
    <w:p>
      <w:pPr>
        <w:sectPr>
          <w:pgSz w:w="11900" w:h="16838" w:orient="portrait"/>
          <w:cols w:equalWidth="0" w:num="3">
            <w:col w:w="1840" w:space="720"/>
            <w:col w:w="1940" w:space="720"/>
            <w:col w:w="5880"/>
          </w:cols>
          <w:pgMar w:left="320" w:top="209" w:right="479" w:bottom="1440" w:gutter="0" w:footer="0" w:header="0"/>
          <w:type w:val="continuous"/>
        </w:sectPr>
      </w:pPr>
    </w:p>
    <w:p>
      <w:pPr>
        <w:spacing w:after="0" w:line="187"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42" w:lineRule="exact"/>
        <w:rPr>
          <w:sz w:val="24"/>
          <w:szCs w:val="24"/>
          <w:color w:val="auto"/>
        </w:rPr>
      </w:pPr>
    </w:p>
    <w:p>
      <w:pPr>
        <w:ind w:left="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1748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209"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May 21, 2026, Euronet Worldwide, Inc. (the "Company") held its 2026 Annual Meeting of Stockholders. Set forth below are the final voting results for each of the proposals submitted to a vote of the stockholders.</w:t>
      </w:r>
    </w:p>
    <w:p>
      <w:pPr>
        <w:spacing w:after="0" w:line="162" w:lineRule="exact"/>
        <w:rPr>
          <w:sz w:val="20"/>
          <w:szCs w:val="20"/>
          <w:color w:val="auto"/>
        </w:rPr>
      </w:pPr>
    </w:p>
    <w:p>
      <w:pPr>
        <w:ind w:right="580" w:firstLine="8"/>
        <w:spacing w:after="0" w:line="282"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elected Sara Baack and Ligia Torres Fentanes to serve as Class II directors for a term of three years expiring at the 2029 Annual Meeting.</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40" w:type="dxa"/>
            <w:vAlign w:val="bottom"/>
          </w:tcPr>
          <w:p>
            <w:pPr>
              <w:spacing w:after="0"/>
              <w:rPr>
                <w:sz w:val="21"/>
                <w:szCs w:val="21"/>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0" w:type="dxa"/>
            <w:vAlign w:val="bottom"/>
          </w:tcPr>
          <w:p>
            <w:pPr>
              <w:spacing w:after="0"/>
              <w:rPr>
                <w:sz w:val="21"/>
                <w:szCs w:val="21"/>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Sara Baack</w:t>
            </w:r>
          </w:p>
        </w:tc>
        <w:tc>
          <w:tcPr>
            <w:tcW w:w="20" w:type="dxa"/>
            <w:vAlign w:val="bottom"/>
            <w:vMerge w:val="continue"/>
          </w:tcPr>
          <w:p>
            <w:pPr>
              <w:spacing w:after="0"/>
              <w:rPr>
                <w:sz w:val="21"/>
                <w:szCs w:val="21"/>
                <w:color w:val="auto"/>
              </w:rPr>
            </w:pP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29,624,371</w:t>
            </w:r>
          </w:p>
        </w:tc>
        <w:tc>
          <w:tcPr>
            <w:tcW w:w="40" w:type="dxa"/>
            <w:vAlign w:val="bottom"/>
            <w:vMerge w:val="continue"/>
          </w:tcPr>
          <w:p>
            <w:pPr>
              <w:spacing w:after="0"/>
              <w:rPr>
                <w:sz w:val="21"/>
                <w:szCs w:val="21"/>
                <w:color w:val="auto"/>
              </w:rPr>
            </w:pP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24,078</w:t>
            </w:r>
          </w:p>
        </w:tc>
        <w:tc>
          <w:tcPr>
            <w:tcW w:w="20" w:type="dxa"/>
            <w:vAlign w:val="bottom"/>
            <w:vMerge w:val="continue"/>
          </w:tcPr>
          <w:p>
            <w:pPr>
              <w:spacing w:after="0"/>
              <w:rPr>
                <w:sz w:val="21"/>
                <w:szCs w:val="21"/>
                <w:color w:val="auto"/>
              </w:rPr>
            </w:pP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2,257,477</w:t>
            </w:r>
          </w:p>
        </w:tc>
        <w:tc>
          <w:tcPr>
            <w:tcW w:w="0" w:type="dxa"/>
            <w:vAlign w:val="bottom"/>
          </w:tcPr>
          <w:p>
            <w:pPr>
              <w:spacing w:after="0"/>
              <w:rPr>
                <w:sz w:val="1"/>
                <w:szCs w:val="1"/>
                <w:color w:val="auto"/>
              </w:rPr>
            </w:pPr>
          </w:p>
        </w:tc>
      </w:tr>
      <w:tr>
        <w:trPr>
          <w:trHeight w:val="257"/>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Ligia Torres Fentanes</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28,652,474</w:t>
            </w:r>
          </w:p>
        </w:tc>
        <w:tc>
          <w:tcPr>
            <w:tcW w:w="2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30,023</w:t>
            </w:r>
          </w:p>
        </w:tc>
        <w:tc>
          <w:tcPr>
            <w:tcW w:w="2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2,257,477</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stockholders approved the amendments to the amended 2006 Stock Incentive Plan.</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0" w:type="dxa"/>
            <w:vAlign w:val="bottom"/>
          </w:tcPr>
          <w:p>
            <w:pPr>
              <w:spacing w:after="0"/>
              <w:rPr>
                <w:sz w:val="21"/>
                <w:szCs w:val="21"/>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40" w:type="dxa"/>
            <w:vAlign w:val="bottom"/>
          </w:tcPr>
          <w:p>
            <w:pPr>
              <w:spacing w:after="0"/>
              <w:rPr>
                <w:sz w:val="21"/>
                <w:szCs w:val="21"/>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0" w:type="dxa"/>
            <w:vAlign w:val="bottom"/>
          </w:tcPr>
          <w:p>
            <w:pPr>
              <w:spacing w:after="0"/>
              <w:rPr>
                <w:sz w:val="21"/>
                <w:szCs w:val="21"/>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24,983,633</w:t>
            </w:r>
          </w:p>
        </w:tc>
        <w:tc>
          <w:tcPr>
            <w:tcW w:w="20" w:type="dxa"/>
            <w:vAlign w:val="bottom"/>
            <w:vMerge w:val="continue"/>
          </w:tcPr>
          <w:p>
            <w:pPr>
              <w:spacing w:after="0"/>
              <w:rPr>
                <w:sz w:val="21"/>
                <w:szCs w:val="21"/>
                <w:color w:val="auto"/>
              </w:rPr>
            </w:pPr>
          </w:p>
        </w:tc>
        <w:tc>
          <w:tcPr>
            <w:tcW w:w="278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5,775,466</w:t>
            </w:r>
          </w:p>
        </w:tc>
        <w:tc>
          <w:tcPr>
            <w:tcW w:w="40" w:type="dxa"/>
            <w:vAlign w:val="bottom"/>
            <w:vMerge w:val="continue"/>
          </w:tcPr>
          <w:p>
            <w:pPr>
              <w:spacing w:after="0"/>
              <w:rPr>
                <w:sz w:val="21"/>
                <w:szCs w:val="21"/>
                <w:color w:val="auto"/>
              </w:rPr>
            </w:pPr>
          </w:p>
        </w:tc>
        <w:tc>
          <w:tcPr>
            <w:tcW w:w="27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45,463</w:t>
            </w:r>
          </w:p>
        </w:tc>
        <w:tc>
          <w:tcPr>
            <w:tcW w:w="20" w:type="dxa"/>
            <w:vAlign w:val="bottom"/>
            <w:vMerge w:val="continue"/>
          </w:tcPr>
          <w:p>
            <w:pPr>
              <w:spacing w:after="0"/>
              <w:rPr>
                <w:sz w:val="21"/>
                <w:szCs w:val="21"/>
                <w:color w:val="auto"/>
              </w:rPr>
            </w:pPr>
          </w:p>
        </w:tc>
        <w:tc>
          <w:tcPr>
            <w:tcW w:w="278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2,257,477</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The stockholders approved, by a non-binding advisory vote, executive compensation as described in the Company's Proxy Statement.</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0" w:type="dxa"/>
            <w:vAlign w:val="bottom"/>
          </w:tcPr>
          <w:p>
            <w:pPr>
              <w:spacing w:after="0"/>
              <w:rPr>
                <w:sz w:val="21"/>
                <w:szCs w:val="21"/>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40" w:type="dxa"/>
            <w:vAlign w:val="bottom"/>
          </w:tcPr>
          <w:p>
            <w:pPr>
              <w:spacing w:after="0"/>
              <w:rPr>
                <w:sz w:val="21"/>
                <w:szCs w:val="21"/>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0" w:type="dxa"/>
            <w:vAlign w:val="bottom"/>
          </w:tcPr>
          <w:p>
            <w:pPr>
              <w:spacing w:after="0"/>
              <w:rPr>
                <w:sz w:val="21"/>
                <w:szCs w:val="21"/>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27,252,219</w:t>
            </w:r>
          </w:p>
        </w:tc>
        <w:tc>
          <w:tcPr>
            <w:tcW w:w="20" w:type="dxa"/>
            <w:vAlign w:val="bottom"/>
            <w:vMerge w:val="continue"/>
          </w:tcPr>
          <w:p>
            <w:pPr>
              <w:spacing w:after="0"/>
              <w:rPr>
                <w:sz w:val="21"/>
                <w:szCs w:val="21"/>
                <w:color w:val="auto"/>
              </w:rPr>
            </w:pPr>
          </w:p>
        </w:tc>
        <w:tc>
          <w:tcPr>
            <w:tcW w:w="278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3,507,771</w:t>
            </w:r>
          </w:p>
        </w:tc>
        <w:tc>
          <w:tcPr>
            <w:tcW w:w="40" w:type="dxa"/>
            <w:vAlign w:val="bottom"/>
            <w:vMerge w:val="continue"/>
          </w:tcPr>
          <w:p>
            <w:pPr>
              <w:spacing w:after="0"/>
              <w:rPr>
                <w:sz w:val="21"/>
                <w:szCs w:val="21"/>
                <w:color w:val="auto"/>
              </w:rPr>
            </w:pPr>
          </w:p>
        </w:tc>
        <w:tc>
          <w:tcPr>
            <w:tcW w:w="27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44,572</w:t>
            </w:r>
          </w:p>
        </w:tc>
        <w:tc>
          <w:tcPr>
            <w:tcW w:w="20" w:type="dxa"/>
            <w:vAlign w:val="bottom"/>
            <w:vMerge w:val="continue"/>
          </w:tcPr>
          <w:p>
            <w:pPr>
              <w:spacing w:after="0"/>
              <w:rPr>
                <w:sz w:val="21"/>
                <w:szCs w:val="21"/>
                <w:color w:val="auto"/>
              </w:rPr>
            </w:pPr>
          </w:p>
        </w:tc>
        <w:tc>
          <w:tcPr>
            <w:tcW w:w="278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2,257,477</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right="300" w:firstLine="8"/>
        <w:spacing w:after="0" w:line="282"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approved the ratification of the appointment of KPMG LLP as the Company's independent registered public accounting firm for the 2026 fiscal year.</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0" w:type="dxa"/>
            <w:vAlign w:val="bottom"/>
          </w:tcPr>
          <w:p>
            <w:pPr>
              <w:spacing w:after="0"/>
              <w:rPr>
                <w:sz w:val="21"/>
                <w:szCs w:val="21"/>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40" w:type="dxa"/>
            <w:vAlign w:val="bottom"/>
          </w:tcPr>
          <w:p>
            <w:pPr>
              <w:spacing w:after="0"/>
              <w:rPr>
                <w:sz w:val="21"/>
                <w:szCs w:val="21"/>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0" w:type="dxa"/>
            <w:vAlign w:val="bottom"/>
          </w:tcPr>
          <w:p>
            <w:pPr>
              <w:spacing w:after="0"/>
              <w:rPr>
                <w:sz w:val="21"/>
                <w:szCs w:val="21"/>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27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31,950,877</w:t>
            </w:r>
          </w:p>
        </w:tc>
        <w:tc>
          <w:tcPr>
            <w:tcW w:w="20" w:type="dxa"/>
            <w:vAlign w:val="bottom"/>
            <w:vMerge w:val="continue"/>
          </w:tcPr>
          <w:p>
            <w:pPr>
              <w:spacing w:after="0"/>
              <w:rPr>
                <w:sz w:val="21"/>
                <w:szCs w:val="21"/>
                <w:color w:val="auto"/>
              </w:rPr>
            </w:pPr>
          </w:p>
        </w:tc>
        <w:tc>
          <w:tcPr>
            <w:tcW w:w="278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995,870</w:t>
            </w:r>
          </w:p>
        </w:tc>
        <w:tc>
          <w:tcPr>
            <w:tcW w:w="40" w:type="dxa"/>
            <w:vAlign w:val="bottom"/>
            <w:vMerge w:val="continue"/>
          </w:tcPr>
          <w:p>
            <w:pPr>
              <w:spacing w:after="0"/>
              <w:rPr>
                <w:sz w:val="21"/>
                <w:szCs w:val="21"/>
                <w:color w:val="auto"/>
              </w:rPr>
            </w:pPr>
          </w:p>
        </w:tc>
        <w:tc>
          <w:tcPr>
            <w:tcW w:w="276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115,292</w:t>
            </w:r>
          </w:p>
        </w:tc>
        <w:tc>
          <w:tcPr>
            <w:tcW w:w="20" w:type="dxa"/>
            <w:vAlign w:val="bottom"/>
          </w:tcPr>
          <w:p>
            <w:pPr>
              <w:spacing w:after="0"/>
              <w:rPr>
                <w:sz w:val="21"/>
                <w:szCs w:val="21"/>
                <w:color w:val="auto"/>
              </w:rPr>
            </w:pP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2"/>
        </w:trPr>
        <w:tc>
          <w:tcPr>
            <w:tcW w:w="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Euronet Worldwide, Inc.</w:t>
      </w:r>
    </w:p>
    <w:p>
      <w:pPr>
        <w:spacing w:after="0" w:line="333" w:lineRule="exact"/>
        <w:rPr>
          <w:sz w:val="20"/>
          <w:szCs w:val="20"/>
          <w:color w:val="auto"/>
        </w:rPr>
      </w:pPr>
    </w:p>
    <w:p>
      <w:pPr>
        <w:ind w:left="5180"/>
        <w:spacing w:after="0"/>
        <w:tabs>
          <w:tab w:leader="none" w:pos="5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Brian Kimzey</w:t>
      </w:r>
    </w:p>
    <w:p>
      <w:pPr>
        <w:spacing w:after="0" w:line="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Brian Kimzey</w:t>
      </w:r>
    </w:p>
    <w:p>
      <w:pPr>
        <w:spacing w:after="0" w:line="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Acting General Counsel and Secretary</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748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0760"/>
      </w:cols>
      <w:pgMar w:left="320" w:top="333"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2026-05-22T12:54:36Z</dcterms:created>
  <dcterms:modified xsi:type="dcterms:W3CDTF">2026-05-22T12:54:36Z</dcterms:modified>
</cp:coreProperties>
</file>